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D6F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F176F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12F7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4D4D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5E4C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E674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D8D3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F2D62E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许昌市重点项目建设服务中心</w:t>
      </w:r>
      <w:r>
        <w:rPr>
          <w:rFonts w:hint="eastAsia" w:ascii="黑体" w:hAnsi="宋体" w:eastAsia="黑体" w:cs="黑体"/>
          <w:kern w:val="2"/>
          <w:sz w:val="44"/>
          <w:szCs w:val="44"/>
          <w:lang w:val="en-US" w:eastAsia="zh-CN"/>
        </w:rPr>
        <w:t>单位决算</w:t>
      </w:r>
    </w:p>
    <w:p w14:paraId="529B9F2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64CD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BFA936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2BE72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AE83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9BA2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24586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811760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F0D7B9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许昌市重点项目建设服务中心概况</w:t>
      </w:r>
    </w:p>
    <w:p w14:paraId="0C6A96C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4515F6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5316EC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54A9D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1E2D7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6BB8D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26F74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15142B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ED855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B474D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7D455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99AAE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C8E57D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A0A3B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1B43A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FC130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370DA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BB72F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ABCA5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1E78F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0A3B3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C7E9F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30D0A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EC9F1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4FB2C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06F32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29A217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70552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D716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927F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E749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07CB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F79C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F4ABD4B">
      <w:pPr>
        <w:bidi w:val="0"/>
        <w:rPr>
          <w:rFonts w:hint="eastAsia"/>
          <w:lang w:val="en-US" w:eastAsia="zh-CN"/>
        </w:rPr>
      </w:pPr>
    </w:p>
    <w:p w14:paraId="01A1B181">
      <w:pPr>
        <w:bidi w:val="0"/>
        <w:rPr>
          <w:rFonts w:hint="eastAsia"/>
          <w:lang w:val="en-US" w:eastAsia="zh-CN"/>
        </w:rPr>
      </w:pPr>
    </w:p>
    <w:p w14:paraId="2691970C">
      <w:pPr>
        <w:bidi w:val="0"/>
        <w:rPr>
          <w:rFonts w:hint="eastAsia"/>
          <w:lang w:val="en-US" w:eastAsia="zh-CN"/>
        </w:rPr>
      </w:pPr>
    </w:p>
    <w:p w14:paraId="77526B15">
      <w:pPr>
        <w:bidi w:val="0"/>
        <w:rPr>
          <w:rFonts w:hint="eastAsia"/>
          <w:lang w:val="en-US" w:eastAsia="zh-CN"/>
        </w:rPr>
      </w:pPr>
    </w:p>
    <w:p w14:paraId="23B7561C">
      <w:pPr>
        <w:bidi w:val="0"/>
        <w:rPr>
          <w:rFonts w:hint="eastAsia"/>
          <w:lang w:val="en-US" w:eastAsia="zh-CN"/>
        </w:rPr>
      </w:pPr>
    </w:p>
    <w:p w14:paraId="16DD7F1C">
      <w:pPr>
        <w:bidi w:val="0"/>
        <w:rPr>
          <w:rFonts w:hint="eastAsia"/>
          <w:lang w:val="en-US" w:eastAsia="zh-CN"/>
        </w:rPr>
      </w:pPr>
    </w:p>
    <w:p w14:paraId="11AF3E03">
      <w:pPr>
        <w:bidi w:val="0"/>
        <w:rPr>
          <w:rFonts w:hint="eastAsia"/>
          <w:lang w:val="en-US" w:eastAsia="zh-CN"/>
        </w:rPr>
      </w:pPr>
    </w:p>
    <w:p w14:paraId="7AFA5012">
      <w:pPr>
        <w:bidi w:val="0"/>
        <w:rPr>
          <w:rFonts w:hint="eastAsia"/>
          <w:lang w:val="en-US" w:eastAsia="zh-CN"/>
        </w:rPr>
      </w:pPr>
    </w:p>
    <w:p w14:paraId="36C48350">
      <w:pPr>
        <w:bidi w:val="0"/>
        <w:rPr>
          <w:rFonts w:hint="eastAsia"/>
          <w:lang w:val="en-US" w:eastAsia="zh-CN"/>
        </w:rPr>
      </w:pPr>
    </w:p>
    <w:p w14:paraId="4DE261A5">
      <w:pPr>
        <w:bidi w:val="0"/>
        <w:rPr>
          <w:rFonts w:hint="eastAsia"/>
          <w:lang w:val="en-US" w:eastAsia="zh-CN"/>
        </w:rPr>
      </w:pPr>
    </w:p>
    <w:p w14:paraId="08AE384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第一部分许昌市重点项目建设服务中心概况</w:t>
      </w:r>
    </w:p>
    <w:p w14:paraId="639F7909">
      <w:pPr>
        <w:bidi w:val="0"/>
        <w:rPr>
          <w:rFonts w:hint="eastAsia"/>
        </w:rPr>
      </w:pPr>
    </w:p>
    <w:p w14:paraId="34B601E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7904E8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6B8C33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（1）研究国家、省、市重大项目建设相关政策，为全市重大项目谋划储备和统计入库提供政策咨询和技术支持。</w:t>
      </w:r>
    </w:p>
    <w:p w14:paraId="074D1E2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（2）协调有关职能部门加快办理项目开工前的立项、用地、规划、环评等审批手续，为项目单位开展前期工作提供指导服务。</w:t>
      </w:r>
    </w:p>
    <w:p w14:paraId="6451FC7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（3）配合有关职能部门，协调解决好项目落地实施过程中遇到的困难和问题，提出加快推进项目建设的意见建议，为市委、市政府提供决策依据。</w:t>
      </w:r>
    </w:p>
    <w:p w14:paraId="33F4E1B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（4）对纳入省、市重点项目管理的各类项目开展常态化、全流程实地查看及提供各项业务指导。</w:t>
      </w:r>
    </w:p>
    <w:p w14:paraId="054231C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（5）完成市委、市政府交办的其他任务。</w:t>
      </w:r>
    </w:p>
    <w:p w14:paraId="4DA2523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E8C128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许昌市重点项目建设服务中心内设机构5个，包括：综合信息科、谋划储备科、调度管理科、要素保障科、督导督办科。</w:t>
      </w:r>
    </w:p>
    <w:p w14:paraId="6181360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纳入本单位2025年度部门决算范围的为许昌市重点项目建设服务中心</w:t>
      </w:r>
      <w:bookmarkStart w:id="0" w:name="_GoBack"/>
      <w:bookmarkEnd w:id="0"/>
      <w:r>
        <w:rPr>
          <w:rFonts w:hint="eastAsia" w:ascii="仿宋" w:hAnsi="仿宋" w:eastAsia="仿宋" w:cs="仿宋"/>
          <w:kern w:val="0"/>
          <w:sz w:val="32"/>
          <w:szCs w:val="32"/>
          <w:lang w:val="en-US" w:eastAsia="zh-CN" w:bidi="ar-SA"/>
        </w:rPr>
        <w:t>。</w:t>
      </w:r>
    </w:p>
    <w:p w14:paraId="0E2D393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98A77DC">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60268705">
      <w:pPr>
        <w:bidi w:val="0"/>
        <w:rPr>
          <w:rFonts w:hint="eastAsia"/>
          <w:lang w:val="en-US" w:eastAsia="zh-CN"/>
        </w:rPr>
      </w:pPr>
    </w:p>
    <w:p w14:paraId="3B88820B">
      <w:pPr>
        <w:bidi w:val="0"/>
        <w:rPr>
          <w:rFonts w:hint="eastAsia"/>
          <w:lang w:val="en-US" w:eastAsia="zh-CN"/>
        </w:rPr>
      </w:pPr>
    </w:p>
    <w:p w14:paraId="640E3E61">
      <w:pPr>
        <w:bidi w:val="0"/>
        <w:rPr>
          <w:lang w:val="en-US" w:eastAsia="zh-CN"/>
        </w:rPr>
      </w:pPr>
    </w:p>
    <w:p w14:paraId="7AF6F070">
      <w:pPr>
        <w:bidi w:val="0"/>
        <w:rPr>
          <w:rFonts w:hint="eastAsia"/>
          <w:lang w:val="en-US" w:eastAsia="zh-CN"/>
        </w:rPr>
      </w:pPr>
      <w:r>
        <w:rPr>
          <w:rFonts w:hint="eastAsia"/>
          <w:lang w:val="en-US" w:eastAsia="zh-CN"/>
        </w:rPr>
        <w:t xml:space="preserve"> </w:t>
      </w:r>
    </w:p>
    <w:p w14:paraId="1F38902C">
      <w:pPr>
        <w:bidi w:val="0"/>
        <w:rPr>
          <w:rFonts w:hint="eastAsia"/>
        </w:rPr>
      </w:pPr>
      <w:r>
        <w:rPr>
          <w:rFonts w:hint="eastAsia"/>
          <w:lang w:val="en-US" w:eastAsia="zh-CN"/>
        </w:rPr>
        <w:t xml:space="preserve"> </w:t>
      </w:r>
    </w:p>
    <w:p w14:paraId="19D4140E">
      <w:pPr>
        <w:bidi w:val="0"/>
        <w:rPr>
          <w:rFonts w:hint="eastAsia"/>
        </w:rPr>
      </w:pPr>
      <w:r>
        <w:rPr>
          <w:rFonts w:hint="eastAsia"/>
          <w:lang w:val="en-US" w:eastAsia="zh-CN"/>
        </w:rPr>
        <w:t xml:space="preserve"> </w:t>
      </w:r>
    </w:p>
    <w:p w14:paraId="598D4EAC">
      <w:pPr>
        <w:bidi w:val="0"/>
        <w:rPr>
          <w:rFonts w:hint="eastAsia"/>
        </w:rPr>
      </w:pPr>
      <w:r>
        <w:rPr>
          <w:rFonts w:hint="eastAsia"/>
          <w:lang w:val="en-US" w:eastAsia="zh-CN"/>
        </w:rPr>
        <w:t xml:space="preserve"> </w:t>
      </w:r>
    </w:p>
    <w:p w14:paraId="6154BF94">
      <w:pPr>
        <w:bidi w:val="0"/>
        <w:rPr>
          <w:rFonts w:hint="eastAsia"/>
        </w:rPr>
      </w:pPr>
      <w:r>
        <w:rPr>
          <w:rFonts w:hint="eastAsia"/>
          <w:lang w:val="en-US" w:eastAsia="zh-CN"/>
        </w:rPr>
        <w:t xml:space="preserve"> </w:t>
      </w:r>
    </w:p>
    <w:p w14:paraId="5F89943F">
      <w:pPr>
        <w:bidi w:val="0"/>
        <w:rPr>
          <w:rFonts w:hint="eastAsia"/>
        </w:rPr>
      </w:pPr>
      <w:r>
        <w:rPr>
          <w:rFonts w:hint="eastAsia"/>
          <w:lang w:val="en-US" w:eastAsia="zh-CN"/>
        </w:rPr>
        <w:t xml:space="preserve"> </w:t>
      </w:r>
    </w:p>
    <w:p w14:paraId="68BA03B8">
      <w:pPr>
        <w:bidi w:val="0"/>
        <w:rPr>
          <w:rFonts w:hint="eastAsia"/>
        </w:rPr>
      </w:pPr>
      <w:r>
        <w:rPr>
          <w:rFonts w:hint="eastAsia"/>
          <w:lang w:val="en-US" w:eastAsia="zh-CN"/>
        </w:rPr>
        <w:t xml:space="preserve"> </w:t>
      </w:r>
    </w:p>
    <w:p w14:paraId="236DBC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2819F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1B1895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ED2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5D2C4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AC52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037D15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单位：许昌市重点项目建设服务中心</w:t>
            </w:r>
          </w:p>
        </w:tc>
        <w:tc>
          <w:tcPr>
            <w:tcW w:w="2000" w:type="dxa"/>
            <w:noWrap w:val="0"/>
            <w:vAlign w:val="center"/>
          </w:tcPr>
          <w:p w14:paraId="0C8FBC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69247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AD362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E8BC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7221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AF51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31AC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126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CD56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9508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6EB1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1CF7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4961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54D2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78F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EAF24B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81C3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9F94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985280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D014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1953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BEA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6329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C66A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426.77</w:t>
            </w:r>
          </w:p>
        </w:tc>
        <w:tc>
          <w:tcPr>
            <w:tcW w:w="3780" w:type="dxa"/>
            <w:noWrap w:val="0"/>
            <w:vAlign w:val="center"/>
          </w:tcPr>
          <w:p w14:paraId="1DB73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77C7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0F6F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366.70</w:t>
            </w:r>
          </w:p>
        </w:tc>
      </w:tr>
      <w:tr w14:paraId="4783C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DA2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35E3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B742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A10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62F4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50AC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244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BB8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9CDC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597C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E20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DFEE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35F6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B03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994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C6A8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7B30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69E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609B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A967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D4C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47D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8F57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92C6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AF0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AE36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F475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21E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3A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1276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87F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1E6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6E95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4F40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014B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BFA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1D84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0460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4E9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4BA00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05E4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54E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24B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B718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58D8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01E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577B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FB9C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24.51</w:t>
            </w:r>
          </w:p>
        </w:tc>
      </w:tr>
      <w:tr w14:paraId="11F9E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94C4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F42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DBD72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DA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CE98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E6C2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11.90</w:t>
            </w:r>
          </w:p>
        </w:tc>
      </w:tr>
      <w:tr w14:paraId="3A18F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CF08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BC8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F2515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AD0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E153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5FE9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925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F574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B6A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0ED4D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86B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2E9D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4038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C96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D919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97E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8A59C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CDD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5D3B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8D2E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w:t>
            </w:r>
          </w:p>
        </w:tc>
      </w:tr>
      <w:tr w14:paraId="1117E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E97C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387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38D7E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53A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016D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0924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EC4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0C5E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792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B7FE5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285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E474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C39F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EDB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76F0B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1B2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922B7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B84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A74F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9EDC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EF8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A253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4FC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A992C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22C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A740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6D6F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F76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89ED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D2B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F3475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2F7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2759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B4EF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FED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095D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F68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D1BBB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4B6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F638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43F1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E87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BBF0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3E6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639DC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04E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BAA2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6B6F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21.70</w:t>
            </w:r>
          </w:p>
        </w:tc>
      </w:tr>
      <w:tr w14:paraId="013D4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248E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2047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B0974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5A6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5E24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318A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94A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977C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B2A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CC050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96C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8653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F564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E7D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F8AB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68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92099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E5B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C891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7C6E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D57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7226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698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0B871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9F8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EB95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9645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4E4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D471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60D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7EDD58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0F2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4389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3DEB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0EB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F7C3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93E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F32E8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8B2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7AB3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ADD2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B9D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F481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A72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61B93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E4D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17DE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DBC7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A68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99EE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9DB2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37EE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426.78</w:t>
            </w:r>
          </w:p>
        </w:tc>
        <w:tc>
          <w:tcPr>
            <w:tcW w:w="3780" w:type="dxa"/>
            <w:noWrap w:val="0"/>
            <w:vAlign w:val="center"/>
          </w:tcPr>
          <w:p w14:paraId="532E7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5BDC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AE27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426.77</w:t>
            </w:r>
          </w:p>
        </w:tc>
      </w:tr>
      <w:tr w14:paraId="489EA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4AB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DC49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A8E0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1A3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CCA7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1D19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EF9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E63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321E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307E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C85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3562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4FD8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143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FC7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747F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3964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426.78</w:t>
            </w:r>
          </w:p>
        </w:tc>
        <w:tc>
          <w:tcPr>
            <w:tcW w:w="3780" w:type="dxa"/>
            <w:noWrap w:val="0"/>
            <w:vAlign w:val="center"/>
          </w:tcPr>
          <w:p w14:paraId="6DDBC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B3B5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E749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426.78</w:t>
            </w:r>
          </w:p>
        </w:tc>
      </w:tr>
      <w:tr w14:paraId="63FBF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1CFB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F614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449A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006666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FA51DF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FF22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FD273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6743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CE63A8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单位：许昌市重点项目建设服务中心</w:t>
            </w:r>
          </w:p>
        </w:tc>
        <w:tc>
          <w:tcPr>
            <w:tcW w:w="2000" w:type="dxa"/>
            <w:noWrap w:val="0"/>
            <w:vAlign w:val="center"/>
          </w:tcPr>
          <w:p w14:paraId="28692C1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2C8EF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01E4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8E54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6639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94B9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10F4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036E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62A6C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0D97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B036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60752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0412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38B5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CCFD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44C0E2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AABD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ACB2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5B18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51EE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FBA8A4">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FE4F31C">
            <w:pPr>
              <w:widowControl w:val="0"/>
              <w:jc w:val="both"/>
              <w:rPr>
                <w:rFonts w:ascii="Calibri" w:hAnsi="Calibri" w:eastAsia="仿宋_GB2312" w:cs="Arial"/>
                <w:kern w:val="2"/>
                <w:sz w:val="32"/>
                <w:szCs w:val="24"/>
                <w:lang w:val="en-US" w:eastAsia="zh-CN" w:bidi="ar-SA"/>
              </w:rPr>
            </w:pPr>
          </w:p>
        </w:tc>
      </w:tr>
      <w:tr w14:paraId="37980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C8F422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75B9C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3913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E281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8719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909E6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B37D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B7587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43ABF94">
            <w:pPr>
              <w:widowControl w:val="0"/>
              <w:jc w:val="both"/>
              <w:rPr>
                <w:rFonts w:ascii="Calibri" w:hAnsi="Calibri" w:eastAsia="仿宋_GB2312" w:cs="Arial"/>
                <w:kern w:val="2"/>
                <w:sz w:val="32"/>
                <w:szCs w:val="24"/>
                <w:lang w:val="en-US" w:eastAsia="zh-CN" w:bidi="ar-SA"/>
              </w:rPr>
            </w:pPr>
          </w:p>
        </w:tc>
      </w:tr>
      <w:tr w14:paraId="37299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9FA2B8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BF9A9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BB31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F912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224C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45842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8522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ABB58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AEB4CC6">
            <w:pPr>
              <w:widowControl w:val="0"/>
              <w:jc w:val="both"/>
              <w:rPr>
                <w:rFonts w:ascii="Calibri" w:hAnsi="Calibri" w:eastAsia="仿宋_GB2312" w:cs="Arial"/>
                <w:kern w:val="2"/>
                <w:sz w:val="32"/>
                <w:szCs w:val="24"/>
                <w:lang w:val="en-US" w:eastAsia="zh-CN" w:bidi="ar-SA"/>
              </w:rPr>
            </w:pPr>
          </w:p>
        </w:tc>
      </w:tr>
      <w:tr w14:paraId="51305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66FB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C4BF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02D0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EE92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CE93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73FB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5E1D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D4A3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B548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72E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12DA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426.78</w:t>
            </w:r>
          </w:p>
        </w:tc>
        <w:tc>
          <w:tcPr>
            <w:tcW w:w="880" w:type="dxa"/>
            <w:noWrap w:val="0"/>
            <w:vAlign w:val="center"/>
          </w:tcPr>
          <w:p w14:paraId="5DB28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426.77</w:t>
            </w:r>
          </w:p>
        </w:tc>
        <w:tc>
          <w:tcPr>
            <w:tcW w:w="880" w:type="dxa"/>
            <w:noWrap w:val="0"/>
            <w:vAlign w:val="center"/>
          </w:tcPr>
          <w:p w14:paraId="156A1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097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C23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E7E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621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889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ECC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0276F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5CA9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366.71</w:t>
            </w:r>
          </w:p>
        </w:tc>
        <w:tc>
          <w:tcPr>
            <w:tcW w:w="880" w:type="dxa"/>
            <w:noWrap w:val="0"/>
            <w:vAlign w:val="center"/>
          </w:tcPr>
          <w:p w14:paraId="438C6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366.70</w:t>
            </w:r>
          </w:p>
        </w:tc>
        <w:tc>
          <w:tcPr>
            <w:tcW w:w="880" w:type="dxa"/>
            <w:noWrap w:val="0"/>
            <w:vAlign w:val="center"/>
          </w:tcPr>
          <w:p w14:paraId="77B60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938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A0E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9B3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DFF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8BA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FEF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w:t>
            </w:r>
          </w:p>
        </w:tc>
        <w:tc>
          <w:tcPr>
            <w:tcW w:w="2080" w:type="dxa"/>
            <w:noWrap w:val="0"/>
            <w:vAlign w:val="center"/>
          </w:tcPr>
          <w:p w14:paraId="60255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发展与改革事务</w:t>
            </w:r>
          </w:p>
        </w:tc>
        <w:tc>
          <w:tcPr>
            <w:tcW w:w="880" w:type="dxa"/>
            <w:noWrap w:val="0"/>
            <w:vAlign w:val="center"/>
          </w:tcPr>
          <w:p w14:paraId="58AD2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366.71</w:t>
            </w:r>
          </w:p>
        </w:tc>
        <w:tc>
          <w:tcPr>
            <w:tcW w:w="880" w:type="dxa"/>
            <w:noWrap w:val="0"/>
            <w:vAlign w:val="center"/>
          </w:tcPr>
          <w:p w14:paraId="4664B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366.70</w:t>
            </w:r>
          </w:p>
        </w:tc>
        <w:tc>
          <w:tcPr>
            <w:tcW w:w="880" w:type="dxa"/>
            <w:noWrap w:val="0"/>
            <w:vAlign w:val="center"/>
          </w:tcPr>
          <w:p w14:paraId="10F42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0AF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223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24A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839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C1A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A8B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2010450</w:t>
            </w:r>
          </w:p>
        </w:tc>
        <w:tc>
          <w:tcPr>
            <w:tcW w:w="2080" w:type="dxa"/>
            <w:noWrap w:val="0"/>
            <w:vAlign w:val="center"/>
          </w:tcPr>
          <w:p w14:paraId="5581D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24F3F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366.71</w:t>
            </w:r>
          </w:p>
        </w:tc>
        <w:tc>
          <w:tcPr>
            <w:tcW w:w="880" w:type="dxa"/>
            <w:noWrap w:val="0"/>
            <w:vAlign w:val="center"/>
          </w:tcPr>
          <w:p w14:paraId="5D303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366.70</w:t>
            </w:r>
          </w:p>
        </w:tc>
        <w:tc>
          <w:tcPr>
            <w:tcW w:w="880" w:type="dxa"/>
            <w:noWrap w:val="0"/>
            <w:vAlign w:val="center"/>
          </w:tcPr>
          <w:p w14:paraId="1FEC6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A4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FB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AC4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C70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31B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234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488E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D7E1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24.51</w:t>
            </w:r>
          </w:p>
        </w:tc>
        <w:tc>
          <w:tcPr>
            <w:tcW w:w="880" w:type="dxa"/>
            <w:noWrap w:val="0"/>
            <w:vAlign w:val="center"/>
          </w:tcPr>
          <w:p w14:paraId="10AEA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24.51</w:t>
            </w:r>
          </w:p>
        </w:tc>
        <w:tc>
          <w:tcPr>
            <w:tcW w:w="880" w:type="dxa"/>
            <w:noWrap w:val="0"/>
            <w:vAlign w:val="center"/>
          </w:tcPr>
          <w:p w14:paraId="0DA10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B48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7F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4A4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0AD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41D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34F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C687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9100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24.51</w:t>
            </w:r>
          </w:p>
        </w:tc>
        <w:tc>
          <w:tcPr>
            <w:tcW w:w="880" w:type="dxa"/>
            <w:noWrap w:val="0"/>
            <w:vAlign w:val="center"/>
          </w:tcPr>
          <w:p w14:paraId="0E7A1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24.51</w:t>
            </w:r>
          </w:p>
        </w:tc>
        <w:tc>
          <w:tcPr>
            <w:tcW w:w="880" w:type="dxa"/>
            <w:noWrap w:val="0"/>
            <w:vAlign w:val="center"/>
          </w:tcPr>
          <w:p w14:paraId="0783D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D98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E7A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1C3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41D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E1C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7D5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FA65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B69C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24.51</w:t>
            </w:r>
          </w:p>
        </w:tc>
        <w:tc>
          <w:tcPr>
            <w:tcW w:w="880" w:type="dxa"/>
            <w:noWrap w:val="0"/>
            <w:vAlign w:val="center"/>
          </w:tcPr>
          <w:p w14:paraId="46650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24.51</w:t>
            </w:r>
          </w:p>
        </w:tc>
        <w:tc>
          <w:tcPr>
            <w:tcW w:w="880" w:type="dxa"/>
            <w:noWrap w:val="0"/>
            <w:vAlign w:val="center"/>
          </w:tcPr>
          <w:p w14:paraId="3FD08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6F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1B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0BC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068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4D7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B90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76FB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DC0C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11.90</w:t>
            </w:r>
          </w:p>
        </w:tc>
        <w:tc>
          <w:tcPr>
            <w:tcW w:w="880" w:type="dxa"/>
            <w:noWrap w:val="0"/>
            <w:vAlign w:val="center"/>
          </w:tcPr>
          <w:p w14:paraId="09AEC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11.90</w:t>
            </w:r>
          </w:p>
        </w:tc>
        <w:tc>
          <w:tcPr>
            <w:tcW w:w="880" w:type="dxa"/>
            <w:noWrap w:val="0"/>
            <w:vAlign w:val="center"/>
          </w:tcPr>
          <w:p w14:paraId="2BEDD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FB5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029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958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E9F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D66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9CD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4AC3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F3E5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11.90</w:t>
            </w:r>
          </w:p>
        </w:tc>
        <w:tc>
          <w:tcPr>
            <w:tcW w:w="880" w:type="dxa"/>
            <w:noWrap w:val="0"/>
            <w:vAlign w:val="center"/>
          </w:tcPr>
          <w:p w14:paraId="4AE3C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11.90</w:t>
            </w:r>
          </w:p>
        </w:tc>
        <w:tc>
          <w:tcPr>
            <w:tcW w:w="880" w:type="dxa"/>
            <w:noWrap w:val="0"/>
            <w:vAlign w:val="center"/>
          </w:tcPr>
          <w:p w14:paraId="34123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668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5EA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BBE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75F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0E2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A27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549B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F004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11.90</w:t>
            </w:r>
          </w:p>
        </w:tc>
        <w:tc>
          <w:tcPr>
            <w:tcW w:w="880" w:type="dxa"/>
            <w:noWrap w:val="0"/>
            <w:vAlign w:val="center"/>
          </w:tcPr>
          <w:p w14:paraId="59B03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11.90</w:t>
            </w:r>
          </w:p>
        </w:tc>
        <w:tc>
          <w:tcPr>
            <w:tcW w:w="880" w:type="dxa"/>
            <w:noWrap w:val="0"/>
            <w:vAlign w:val="center"/>
          </w:tcPr>
          <w:p w14:paraId="23E1D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5BF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55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6DF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E9B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F25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3EB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C42E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49F8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w:t>
            </w:r>
          </w:p>
        </w:tc>
        <w:tc>
          <w:tcPr>
            <w:tcW w:w="880" w:type="dxa"/>
            <w:noWrap w:val="0"/>
            <w:vAlign w:val="center"/>
          </w:tcPr>
          <w:p w14:paraId="0ED82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w:t>
            </w:r>
          </w:p>
        </w:tc>
        <w:tc>
          <w:tcPr>
            <w:tcW w:w="880" w:type="dxa"/>
            <w:noWrap w:val="0"/>
            <w:vAlign w:val="center"/>
          </w:tcPr>
          <w:p w14:paraId="1ED32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15D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EFE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033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8B0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41A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346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0120A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927E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w:t>
            </w:r>
          </w:p>
        </w:tc>
        <w:tc>
          <w:tcPr>
            <w:tcW w:w="880" w:type="dxa"/>
            <w:noWrap w:val="0"/>
            <w:vAlign w:val="center"/>
          </w:tcPr>
          <w:p w14:paraId="2822D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w:t>
            </w:r>
          </w:p>
        </w:tc>
        <w:tc>
          <w:tcPr>
            <w:tcW w:w="880" w:type="dxa"/>
            <w:noWrap w:val="0"/>
            <w:vAlign w:val="center"/>
          </w:tcPr>
          <w:p w14:paraId="64BCD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64F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21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A4C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D4E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7BA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661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3ED9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76B77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w:t>
            </w:r>
          </w:p>
        </w:tc>
        <w:tc>
          <w:tcPr>
            <w:tcW w:w="880" w:type="dxa"/>
            <w:noWrap w:val="0"/>
            <w:vAlign w:val="center"/>
          </w:tcPr>
          <w:p w14:paraId="392A1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1.97</w:t>
            </w:r>
          </w:p>
        </w:tc>
        <w:tc>
          <w:tcPr>
            <w:tcW w:w="880" w:type="dxa"/>
            <w:noWrap w:val="0"/>
            <w:vAlign w:val="center"/>
          </w:tcPr>
          <w:p w14:paraId="26978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AF9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850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8DE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BBA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278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1F4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4FE3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8603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880" w:type="dxa"/>
            <w:noWrap w:val="0"/>
            <w:vAlign w:val="center"/>
          </w:tcPr>
          <w:p w14:paraId="6F55F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880" w:type="dxa"/>
            <w:noWrap w:val="0"/>
            <w:vAlign w:val="center"/>
          </w:tcPr>
          <w:p w14:paraId="1A190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C9D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A1C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78E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9A4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BC1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A64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8BA5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8F59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880" w:type="dxa"/>
            <w:noWrap w:val="0"/>
            <w:vAlign w:val="center"/>
          </w:tcPr>
          <w:p w14:paraId="3BDC4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880" w:type="dxa"/>
            <w:noWrap w:val="0"/>
            <w:vAlign w:val="center"/>
          </w:tcPr>
          <w:p w14:paraId="64ACE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243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665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664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B21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5BD8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7E9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3FCE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8824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880" w:type="dxa"/>
            <w:noWrap w:val="0"/>
            <w:vAlign w:val="center"/>
          </w:tcPr>
          <w:p w14:paraId="73CFC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21.70</w:t>
            </w:r>
          </w:p>
        </w:tc>
        <w:tc>
          <w:tcPr>
            <w:tcW w:w="880" w:type="dxa"/>
            <w:noWrap w:val="0"/>
            <w:vAlign w:val="center"/>
          </w:tcPr>
          <w:p w14:paraId="68175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8BB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34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EB9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68A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85B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67EB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D807FCF">
      <w:pPr>
        <w:sectPr>
          <w:pgSz w:w="11906" w:h="16838"/>
          <w:pgMar w:top="873" w:right="1417" w:bottom="873" w:left="1440" w:header="720" w:footer="720" w:gutter="0"/>
          <w:pgNumType w:fmt="numberInDash"/>
          <w:cols w:space="720" w:num="1"/>
          <w:docGrid w:type="lines" w:linePitch="312" w:charSpace="0"/>
        </w:sectPr>
      </w:pPr>
    </w:p>
    <w:p w14:paraId="30A668E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1BE2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FC4A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A9A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D3C4EA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单位：许昌市重点项目建设服务中心</w:t>
            </w:r>
          </w:p>
        </w:tc>
        <w:tc>
          <w:tcPr>
            <w:tcW w:w="2000" w:type="dxa"/>
            <w:noWrap w:val="0"/>
            <w:vAlign w:val="center"/>
          </w:tcPr>
          <w:p w14:paraId="74557AA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96CB3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82DC30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3B27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5883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D988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DDD9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824AB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212D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E4C7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63B7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AAB3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169E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51F1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66E94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F683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5AAE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D142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00992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B11D593">
            <w:pPr>
              <w:widowControl w:val="0"/>
              <w:jc w:val="both"/>
              <w:rPr>
                <w:rFonts w:ascii="Calibri" w:hAnsi="Calibri" w:eastAsia="仿宋_GB2312" w:cs="Arial"/>
                <w:kern w:val="2"/>
                <w:sz w:val="32"/>
                <w:szCs w:val="24"/>
                <w:lang w:val="en-US" w:eastAsia="zh-CN" w:bidi="ar-SA"/>
              </w:rPr>
            </w:pPr>
          </w:p>
        </w:tc>
      </w:tr>
      <w:tr w14:paraId="04109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DEBE3A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AADEE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9C47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B279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D147C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7ED4D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B2E4A9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AE8A0B5">
            <w:pPr>
              <w:widowControl w:val="0"/>
              <w:jc w:val="both"/>
              <w:rPr>
                <w:rFonts w:ascii="Calibri" w:hAnsi="Calibri" w:eastAsia="仿宋_GB2312" w:cs="Arial"/>
                <w:kern w:val="2"/>
                <w:sz w:val="32"/>
                <w:szCs w:val="24"/>
                <w:lang w:val="en-US" w:eastAsia="zh-CN" w:bidi="ar-SA"/>
              </w:rPr>
            </w:pPr>
          </w:p>
        </w:tc>
      </w:tr>
      <w:tr w14:paraId="27897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BBF53F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9C2AA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101C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2095C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F4A6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62BF9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EEFF7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A094148">
            <w:pPr>
              <w:widowControl w:val="0"/>
              <w:jc w:val="both"/>
              <w:rPr>
                <w:rFonts w:ascii="Calibri" w:hAnsi="Calibri" w:eastAsia="仿宋_GB2312" w:cs="Arial"/>
                <w:kern w:val="2"/>
                <w:sz w:val="32"/>
                <w:szCs w:val="24"/>
                <w:lang w:val="en-US" w:eastAsia="zh-CN" w:bidi="ar-SA"/>
              </w:rPr>
            </w:pPr>
          </w:p>
        </w:tc>
      </w:tr>
      <w:tr w14:paraId="32BE4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AA5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E8ED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71FF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FB71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2032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C692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A7E6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FDA4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DA9F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5B26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426.77</w:t>
            </w:r>
          </w:p>
        </w:tc>
        <w:tc>
          <w:tcPr>
            <w:tcW w:w="960" w:type="dxa"/>
            <w:noWrap w:val="0"/>
            <w:vAlign w:val="center"/>
          </w:tcPr>
          <w:p w14:paraId="04F7C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409.07</w:t>
            </w:r>
          </w:p>
        </w:tc>
        <w:tc>
          <w:tcPr>
            <w:tcW w:w="960" w:type="dxa"/>
            <w:noWrap w:val="0"/>
            <w:vAlign w:val="center"/>
          </w:tcPr>
          <w:p w14:paraId="11D1D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17.71</w:t>
            </w:r>
          </w:p>
        </w:tc>
        <w:tc>
          <w:tcPr>
            <w:tcW w:w="960" w:type="dxa"/>
            <w:noWrap w:val="0"/>
            <w:vAlign w:val="center"/>
          </w:tcPr>
          <w:p w14:paraId="294AA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B335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D3CC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94F4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BE0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2063F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471D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366.70</w:t>
            </w:r>
          </w:p>
        </w:tc>
        <w:tc>
          <w:tcPr>
            <w:tcW w:w="960" w:type="dxa"/>
            <w:noWrap w:val="0"/>
            <w:vAlign w:val="center"/>
          </w:tcPr>
          <w:p w14:paraId="68CAF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349.00</w:t>
            </w:r>
          </w:p>
        </w:tc>
        <w:tc>
          <w:tcPr>
            <w:tcW w:w="960" w:type="dxa"/>
            <w:noWrap w:val="0"/>
            <w:vAlign w:val="center"/>
          </w:tcPr>
          <w:p w14:paraId="4380D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17.71</w:t>
            </w:r>
          </w:p>
        </w:tc>
        <w:tc>
          <w:tcPr>
            <w:tcW w:w="960" w:type="dxa"/>
            <w:noWrap w:val="0"/>
            <w:vAlign w:val="center"/>
          </w:tcPr>
          <w:p w14:paraId="09712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07F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3D2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DB1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C13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w:t>
            </w:r>
          </w:p>
        </w:tc>
        <w:tc>
          <w:tcPr>
            <w:tcW w:w="2340" w:type="dxa"/>
            <w:noWrap w:val="0"/>
            <w:vAlign w:val="center"/>
          </w:tcPr>
          <w:p w14:paraId="3D78C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发展与改革事务</w:t>
            </w:r>
          </w:p>
        </w:tc>
        <w:tc>
          <w:tcPr>
            <w:tcW w:w="960" w:type="dxa"/>
            <w:noWrap w:val="0"/>
            <w:vAlign w:val="center"/>
          </w:tcPr>
          <w:p w14:paraId="35E94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366.70</w:t>
            </w:r>
          </w:p>
        </w:tc>
        <w:tc>
          <w:tcPr>
            <w:tcW w:w="960" w:type="dxa"/>
            <w:noWrap w:val="0"/>
            <w:vAlign w:val="center"/>
          </w:tcPr>
          <w:p w14:paraId="4BB44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349.00</w:t>
            </w:r>
          </w:p>
        </w:tc>
        <w:tc>
          <w:tcPr>
            <w:tcW w:w="960" w:type="dxa"/>
            <w:noWrap w:val="0"/>
            <w:vAlign w:val="center"/>
          </w:tcPr>
          <w:p w14:paraId="58F07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17.71</w:t>
            </w:r>
          </w:p>
        </w:tc>
        <w:tc>
          <w:tcPr>
            <w:tcW w:w="960" w:type="dxa"/>
            <w:noWrap w:val="0"/>
            <w:vAlign w:val="center"/>
          </w:tcPr>
          <w:p w14:paraId="7EF75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9FA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77D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D2A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720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2010450</w:t>
            </w:r>
          </w:p>
        </w:tc>
        <w:tc>
          <w:tcPr>
            <w:tcW w:w="2340" w:type="dxa"/>
            <w:noWrap w:val="0"/>
            <w:vAlign w:val="center"/>
          </w:tcPr>
          <w:p w14:paraId="0F80C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09BE6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366.70</w:t>
            </w:r>
          </w:p>
        </w:tc>
        <w:tc>
          <w:tcPr>
            <w:tcW w:w="960" w:type="dxa"/>
            <w:noWrap w:val="0"/>
            <w:vAlign w:val="center"/>
          </w:tcPr>
          <w:p w14:paraId="376C9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349.00</w:t>
            </w:r>
          </w:p>
        </w:tc>
        <w:tc>
          <w:tcPr>
            <w:tcW w:w="960" w:type="dxa"/>
            <w:noWrap w:val="0"/>
            <w:vAlign w:val="center"/>
          </w:tcPr>
          <w:p w14:paraId="28017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17.71</w:t>
            </w:r>
          </w:p>
        </w:tc>
        <w:tc>
          <w:tcPr>
            <w:tcW w:w="960" w:type="dxa"/>
            <w:noWrap w:val="0"/>
            <w:vAlign w:val="center"/>
          </w:tcPr>
          <w:p w14:paraId="66C04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371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595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BA5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40F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2DA1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6A7E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24.51</w:t>
            </w:r>
          </w:p>
        </w:tc>
        <w:tc>
          <w:tcPr>
            <w:tcW w:w="960" w:type="dxa"/>
            <w:noWrap w:val="0"/>
            <w:vAlign w:val="center"/>
          </w:tcPr>
          <w:p w14:paraId="11796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24.51</w:t>
            </w:r>
          </w:p>
        </w:tc>
        <w:tc>
          <w:tcPr>
            <w:tcW w:w="960" w:type="dxa"/>
            <w:noWrap w:val="0"/>
            <w:vAlign w:val="center"/>
          </w:tcPr>
          <w:p w14:paraId="60ABD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791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CC8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86B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A10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37F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9989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2412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24.51</w:t>
            </w:r>
          </w:p>
        </w:tc>
        <w:tc>
          <w:tcPr>
            <w:tcW w:w="960" w:type="dxa"/>
            <w:noWrap w:val="0"/>
            <w:vAlign w:val="center"/>
          </w:tcPr>
          <w:p w14:paraId="3E02F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24.51</w:t>
            </w:r>
          </w:p>
        </w:tc>
        <w:tc>
          <w:tcPr>
            <w:tcW w:w="960" w:type="dxa"/>
            <w:noWrap w:val="0"/>
            <w:vAlign w:val="center"/>
          </w:tcPr>
          <w:p w14:paraId="5BF78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99C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F0B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26D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0E1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19E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42C9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AACC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24.51</w:t>
            </w:r>
          </w:p>
        </w:tc>
        <w:tc>
          <w:tcPr>
            <w:tcW w:w="960" w:type="dxa"/>
            <w:noWrap w:val="0"/>
            <w:vAlign w:val="center"/>
          </w:tcPr>
          <w:p w14:paraId="3977C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24.51</w:t>
            </w:r>
          </w:p>
        </w:tc>
        <w:tc>
          <w:tcPr>
            <w:tcW w:w="960" w:type="dxa"/>
            <w:noWrap w:val="0"/>
            <w:vAlign w:val="center"/>
          </w:tcPr>
          <w:p w14:paraId="6C2A5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78C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AB9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1CD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440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603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4461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5E10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w:t>
            </w:r>
          </w:p>
        </w:tc>
        <w:tc>
          <w:tcPr>
            <w:tcW w:w="960" w:type="dxa"/>
            <w:noWrap w:val="0"/>
            <w:vAlign w:val="center"/>
          </w:tcPr>
          <w:p w14:paraId="6B592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w:t>
            </w:r>
          </w:p>
        </w:tc>
        <w:tc>
          <w:tcPr>
            <w:tcW w:w="960" w:type="dxa"/>
            <w:noWrap w:val="0"/>
            <w:vAlign w:val="center"/>
          </w:tcPr>
          <w:p w14:paraId="37CE1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C82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655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15F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82B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70B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7464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5C01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w:t>
            </w:r>
          </w:p>
        </w:tc>
        <w:tc>
          <w:tcPr>
            <w:tcW w:w="960" w:type="dxa"/>
            <w:noWrap w:val="0"/>
            <w:vAlign w:val="center"/>
          </w:tcPr>
          <w:p w14:paraId="7F446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w:t>
            </w:r>
          </w:p>
        </w:tc>
        <w:tc>
          <w:tcPr>
            <w:tcW w:w="960" w:type="dxa"/>
            <w:noWrap w:val="0"/>
            <w:vAlign w:val="center"/>
          </w:tcPr>
          <w:p w14:paraId="163F1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494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C2E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EF0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34A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75C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9589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2781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w:t>
            </w:r>
          </w:p>
        </w:tc>
        <w:tc>
          <w:tcPr>
            <w:tcW w:w="960" w:type="dxa"/>
            <w:noWrap w:val="0"/>
            <w:vAlign w:val="center"/>
          </w:tcPr>
          <w:p w14:paraId="2479A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11.90</w:t>
            </w:r>
          </w:p>
        </w:tc>
        <w:tc>
          <w:tcPr>
            <w:tcW w:w="960" w:type="dxa"/>
            <w:noWrap w:val="0"/>
            <w:vAlign w:val="center"/>
          </w:tcPr>
          <w:p w14:paraId="453AC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05A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635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28E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067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959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03E7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924F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64B7F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16132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32D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0D6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53E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233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108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E2E2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93A2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062D7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48CF5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076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340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88A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18B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F0A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C70B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9DC6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1A8F6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6CE63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614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FCE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266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CD2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2DB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9AAA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CFEA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21.70</w:t>
            </w:r>
          </w:p>
        </w:tc>
        <w:tc>
          <w:tcPr>
            <w:tcW w:w="960" w:type="dxa"/>
            <w:noWrap w:val="0"/>
            <w:vAlign w:val="center"/>
          </w:tcPr>
          <w:p w14:paraId="7C5B8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21.70</w:t>
            </w:r>
          </w:p>
        </w:tc>
        <w:tc>
          <w:tcPr>
            <w:tcW w:w="960" w:type="dxa"/>
            <w:noWrap w:val="0"/>
            <w:vAlign w:val="center"/>
          </w:tcPr>
          <w:p w14:paraId="43067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4E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85B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5B0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522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39C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8822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614D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21.70</w:t>
            </w:r>
          </w:p>
        </w:tc>
        <w:tc>
          <w:tcPr>
            <w:tcW w:w="960" w:type="dxa"/>
            <w:noWrap w:val="0"/>
            <w:vAlign w:val="center"/>
          </w:tcPr>
          <w:p w14:paraId="784B8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21.70</w:t>
            </w:r>
          </w:p>
        </w:tc>
        <w:tc>
          <w:tcPr>
            <w:tcW w:w="960" w:type="dxa"/>
            <w:noWrap w:val="0"/>
            <w:vAlign w:val="center"/>
          </w:tcPr>
          <w:p w14:paraId="2202E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2AB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BE2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F57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76D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C22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E081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5C29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21.70</w:t>
            </w:r>
          </w:p>
        </w:tc>
        <w:tc>
          <w:tcPr>
            <w:tcW w:w="960" w:type="dxa"/>
            <w:noWrap w:val="0"/>
            <w:vAlign w:val="center"/>
          </w:tcPr>
          <w:p w14:paraId="7D208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21.70</w:t>
            </w:r>
          </w:p>
        </w:tc>
        <w:tc>
          <w:tcPr>
            <w:tcW w:w="960" w:type="dxa"/>
            <w:noWrap w:val="0"/>
            <w:vAlign w:val="center"/>
          </w:tcPr>
          <w:p w14:paraId="6D05E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1AB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B39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A33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D58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DD3F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0C3E8C7">
      <w:pPr>
        <w:sectPr>
          <w:pgSz w:w="11906" w:h="16838"/>
          <w:pgMar w:top="873" w:right="1440" w:bottom="873" w:left="1440" w:header="720" w:footer="720" w:gutter="0"/>
          <w:pgNumType w:fmt="numberInDash"/>
          <w:cols w:space="720" w:num="1"/>
          <w:docGrid w:type="lines" w:linePitch="312" w:charSpace="0"/>
        </w:sectPr>
      </w:pPr>
    </w:p>
    <w:p w14:paraId="45702A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DDCC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747FC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F465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73C896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单位：许昌市重点项目建设服务中心</w:t>
            </w:r>
          </w:p>
        </w:tc>
        <w:tc>
          <w:tcPr>
            <w:tcW w:w="2000" w:type="dxa"/>
            <w:noWrap w:val="0"/>
            <w:vAlign w:val="center"/>
          </w:tcPr>
          <w:p w14:paraId="6550D3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33AA2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7E303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5F53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0A1D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4D31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2B8B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7011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C15F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7C13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644B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3C2A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634E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187D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28B0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C690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B116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924449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65FDC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8712B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272E81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0518D6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27D34D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DFA6B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9A602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851040D">
            <w:pPr>
              <w:widowControl w:val="0"/>
              <w:jc w:val="both"/>
              <w:rPr>
                <w:rFonts w:ascii="Calibri" w:hAnsi="Calibri" w:eastAsia="仿宋_GB2312" w:cs="Arial"/>
                <w:kern w:val="2"/>
                <w:sz w:val="32"/>
                <w:szCs w:val="24"/>
                <w:lang w:val="en-US" w:eastAsia="zh-CN" w:bidi="ar-SA"/>
              </w:rPr>
            </w:pPr>
          </w:p>
        </w:tc>
      </w:tr>
      <w:tr w14:paraId="1C26C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EF7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563FCA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595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D3842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175EDF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B6A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15F1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B085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8F23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0D21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CA1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5072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2963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426.77</w:t>
            </w:r>
          </w:p>
        </w:tc>
        <w:tc>
          <w:tcPr>
            <w:tcW w:w="2800" w:type="dxa"/>
            <w:noWrap w:val="0"/>
            <w:vAlign w:val="center"/>
          </w:tcPr>
          <w:p w14:paraId="0A0B0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37CD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14C1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366.70</w:t>
            </w:r>
          </w:p>
        </w:tc>
        <w:tc>
          <w:tcPr>
            <w:tcW w:w="1280" w:type="dxa"/>
            <w:noWrap w:val="0"/>
            <w:vAlign w:val="center"/>
          </w:tcPr>
          <w:p w14:paraId="7D51D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366.70</w:t>
            </w:r>
          </w:p>
        </w:tc>
        <w:tc>
          <w:tcPr>
            <w:tcW w:w="1280" w:type="dxa"/>
            <w:noWrap w:val="0"/>
            <w:vAlign w:val="center"/>
          </w:tcPr>
          <w:p w14:paraId="3AFC9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47A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83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6B0C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6CE1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1949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FAF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CF34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D62C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A8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268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008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17DE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5D0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ACB4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C834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001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8C48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6753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DD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BE7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938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1D6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2FD3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503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D717B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B4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A32F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3991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234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F9F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DA5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D5D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8198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1EB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43A4A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833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705E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5855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C54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7CD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DA1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1FD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5996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1C0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C8D42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42C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6BAD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541E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18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0D5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BB1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B74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C869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D1C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C2B7B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CE8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E152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B8BC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12D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D62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34F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698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7DBC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FE7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F3A34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359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6575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6055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24.51</w:t>
            </w:r>
          </w:p>
        </w:tc>
        <w:tc>
          <w:tcPr>
            <w:tcW w:w="1280" w:type="dxa"/>
            <w:noWrap w:val="0"/>
            <w:vAlign w:val="center"/>
          </w:tcPr>
          <w:p w14:paraId="0B661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24.51</w:t>
            </w:r>
          </w:p>
        </w:tc>
        <w:tc>
          <w:tcPr>
            <w:tcW w:w="1280" w:type="dxa"/>
            <w:noWrap w:val="0"/>
            <w:vAlign w:val="center"/>
          </w:tcPr>
          <w:p w14:paraId="29471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517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CCA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B948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8EC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19368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557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E728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7DC4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11.90</w:t>
            </w:r>
          </w:p>
        </w:tc>
        <w:tc>
          <w:tcPr>
            <w:tcW w:w="1280" w:type="dxa"/>
            <w:noWrap w:val="0"/>
            <w:vAlign w:val="center"/>
          </w:tcPr>
          <w:p w14:paraId="2125A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11.90</w:t>
            </w:r>
          </w:p>
        </w:tc>
        <w:tc>
          <w:tcPr>
            <w:tcW w:w="1280" w:type="dxa"/>
            <w:noWrap w:val="0"/>
            <w:vAlign w:val="center"/>
          </w:tcPr>
          <w:p w14:paraId="08931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20F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D8A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E27B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2DD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D4574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259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23E2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994A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341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C9F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90C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B80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B36B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44D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A873D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501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5D9D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52E6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86E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74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4A9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D11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918A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35F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25E6B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7BE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56AE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84F1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w:t>
            </w:r>
          </w:p>
        </w:tc>
        <w:tc>
          <w:tcPr>
            <w:tcW w:w="1280" w:type="dxa"/>
            <w:noWrap w:val="0"/>
            <w:vAlign w:val="center"/>
          </w:tcPr>
          <w:p w14:paraId="7BF0E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1.97</w:t>
            </w:r>
          </w:p>
        </w:tc>
        <w:tc>
          <w:tcPr>
            <w:tcW w:w="1280" w:type="dxa"/>
            <w:noWrap w:val="0"/>
            <w:vAlign w:val="center"/>
          </w:tcPr>
          <w:p w14:paraId="6E8CF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3B6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C93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195F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CEE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CF833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BCE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DA34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7945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65F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CAC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9A8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E50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33F3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F6E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11F38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D1B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79D2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BE7E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23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1C9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FDF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5A5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A827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E3E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939FD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3B2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B986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665A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354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0C6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0F8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761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C4A7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6CA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1F641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82D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221A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A85C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9CE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79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320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955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03D8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C39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22E4F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AB7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9D5E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1F85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95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6B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DDE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8510A6">
        <w:tblPrEx>
          <w:tblCellMar>
            <w:top w:w="0" w:type="dxa"/>
            <w:left w:w="80" w:type="dxa"/>
            <w:bottom w:w="0" w:type="dxa"/>
            <w:right w:w="80" w:type="dxa"/>
          </w:tblCellMar>
        </w:tblPrEx>
        <w:trPr>
          <w:trHeight w:val="343" w:hRule="exact"/>
          <w:jc w:val="center"/>
        </w:trPr>
        <w:tc>
          <w:tcPr>
            <w:tcW w:w="2660" w:type="dxa"/>
            <w:noWrap w:val="0"/>
            <w:vAlign w:val="center"/>
          </w:tcPr>
          <w:p w14:paraId="355F8F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CA2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3EEA8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689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4FE2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C9D8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43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EDB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902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EA8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F493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5D9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BC628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473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46E27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BF84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21.70</w:t>
            </w:r>
          </w:p>
        </w:tc>
        <w:tc>
          <w:tcPr>
            <w:tcW w:w="1280" w:type="dxa"/>
            <w:noWrap w:val="0"/>
            <w:vAlign w:val="center"/>
          </w:tcPr>
          <w:p w14:paraId="2976D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21.70</w:t>
            </w:r>
          </w:p>
        </w:tc>
        <w:tc>
          <w:tcPr>
            <w:tcW w:w="1280" w:type="dxa"/>
            <w:noWrap w:val="0"/>
            <w:vAlign w:val="center"/>
          </w:tcPr>
          <w:p w14:paraId="5953C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3D6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2AC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25D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92D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D3CB1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949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814F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56CD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629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636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B3D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6F0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4445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E8B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C5628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F2B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8E49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CB9A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F3F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DA4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0CC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47D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81D5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2C0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156B5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546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18EF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CF76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6EE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03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77E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359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3060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A55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E7CE4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A9E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68141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51E2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A35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B18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390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094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7031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E79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2F81E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99B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09A0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574C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166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CBB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89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4CB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10C1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12C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364D3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777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7564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C428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D7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828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A7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F0B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B598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09E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FD43E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CAD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0839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98C7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11B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FC1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82F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BF5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4B0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A407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B08F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426.77</w:t>
            </w:r>
          </w:p>
        </w:tc>
        <w:tc>
          <w:tcPr>
            <w:tcW w:w="2800" w:type="dxa"/>
            <w:noWrap w:val="0"/>
            <w:vAlign w:val="center"/>
          </w:tcPr>
          <w:p w14:paraId="60942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45191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F640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426.77</w:t>
            </w:r>
          </w:p>
        </w:tc>
        <w:tc>
          <w:tcPr>
            <w:tcW w:w="1280" w:type="dxa"/>
            <w:noWrap w:val="0"/>
            <w:vAlign w:val="center"/>
          </w:tcPr>
          <w:p w14:paraId="7688E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426.77</w:t>
            </w:r>
          </w:p>
        </w:tc>
        <w:tc>
          <w:tcPr>
            <w:tcW w:w="1280" w:type="dxa"/>
            <w:noWrap w:val="0"/>
            <w:vAlign w:val="center"/>
          </w:tcPr>
          <w:p w14:paraId="006D0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E95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75B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436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7671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5177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EDA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73B4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AF12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ABD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EDD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6E8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587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82F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15024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9CDA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E318D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BAC6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53AD28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50C80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E5600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EF0D3F8">
            <w:pPr>
              <w:widowControl w:val="0"/>
              <w:jc w:val="both"/>
              <w:rPr>
                <w:rFonts w:ascii="Calibri" w:hAnsi="Calibri" w:eastAsia="仿宋_GB2312" w:cs="Arial"/>
                <w:kern w:val="2"/>
                <w:sz w:val="32"/>
                <w:szCs w:val="24"/>
                <w:lang w:val="en-US" w:eastAsia="zh-CN" w:bidi="ar-SA"/>
              </w:rPr>
            </w:pPr>
          </w:p>
        </w:tc>
      </w:tr>
      <w:tr w14:paraId="366F7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695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D199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C2DC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718F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808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A7D1C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E99F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54C71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6101816">
            <w:pPr>
              <w:widowControl w:val="0"/>
              <w:jc w:val="both"/>
              <w:rPr>
                <w:rFonts w:ascii="Calibri" w:hAnsi="Calibri" w:eastAsia="仿宋_GB2312" w:cs="Arial"/>
                <w:kern w:val="2"/>
                <w:sz w:val="32"/>
                <w:szCs w:val="24"/>
                <w:lang w:val="en-US" w:eastAsia="zh-CN" w:bidi="ar-SA"/>
              </w:rPr>
            </w:pPr>
          </w:p>
        </w:tc>
      </w:tr>
      <w:tr w14:paraId="61439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4CD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47F0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FFF2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6CA5C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D23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2D2E7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F6A2A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5CAFC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1F516F5">
            <w:pPr>
              <w:widowControl w:val="0"/>
              <w:jc w:val="both"/>
              <w:rPr>
                <w:rFonts w:ascii="Calibri" w:hAnsi="Calibri" w:eastAsia="仿宋_GB2312" w:cs="Arial"/>
                <w:kern w:val="2"/>
                <w:sz w:val="32"/>
                <w:szCs w:val="24"/>
                <w:lang w:val="en-US" w:eastAsia="zh-CN" w:bidi="ar-SA"/>
              </w:rPr>
            </w:pPr>
          </w:p>
        </w:tc>
      </w:tr>
      <w:tr w14:paraId="4A02C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BFF4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C2A7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036F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426.77</w:t>
            </w:r>
          </w:p>
        </w:tc>
        <w:tc>
          <w:tcPr>
            <w:tcW w:w="2800" w:type="dxa"/>
            <w:noWrap w:val="0"/>
            <w:vAlign w:val="center"/>
          </w:tcPr>
          <w:p w14:paraId="6155E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82F9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BF90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426.77</w:t>
            </w:r>
          </w:p>
        </w:tc>
        <w:tc>
          <w:tcPr>
            <w:tcW w:w="1280" w:type="dxa"/>
            <w:noWrap w:val="0"/>
            <w:vAlign w:val="center"/>
          </w:tcPr>
          <w:p w14:paraId="0840A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426.77</w:t>
            </w:r>
          </w:p>
        </w:tc>
        <w:tc>
          <w:tcPr>
            <w:tcW w:w="1280" w:type="dxa"/>
            <w:noWrap w:val="0"/>
            <w:vAlign w:val="center"/>
          </w:tcPr>
          <w:p w14:paraId="7F00D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FD9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2D1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EAE7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D65EDF4">
            <w:pPr>
              <w:widowControl w:val="0"/>
              <w:jc w:val="both"/>
              <w:rPr>
                <w:rFonts w:ascii="Calibri" w:hAnsi="Calibri" w:eastAsia="仿宋_GB2312" w:cs="Arial"/>
                <w:kern w:val="2"/>
                <w:sz w:val="32"/>
                <w:szCs w:val="24"/>
                <w:lang w:val="en-US" w:eastAsia="zh-CN" w:bidi="ar-SA"/>
              </w:rPr>
            </w:pPr>
          </w:p>
        </w:tc>
      </w:tr>
    </w:tbl>
    <w:p w14:paraId="3F2C6B71">
      <w:pPr>
        <w:sectPr>
          <w:pgSz w:w="16838" w:h="11906" w:orient="landscape"/>
          <w:pgMar w:top="669" w:right="2007" w:bottom="669" w:left="2007" w:header="720" w:footer="720" w:gutter="0"/>
          <w:pgNumType w:fmt="numberInDash"/>
          <w:cols w:space="720" w:num="1"/>
          <w:docGrid w:type="lines" w:linePitch="312" w:charSpace="0"/>
        </w:sectPr>
      </w:pPr>
    </w:p>
    <w:p w14:paraId="6D161342">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3B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31AD6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8450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E3A728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单位：许昌市重点项目建设服务中心</w:t>
            </w:r>
          </w:p>
        </w:tc>
        <w:tc>
          <w:tcPr>
            <w:tcW w:w="2000" w:type="dxa"/>
            <w:noWrap w:val="0"/>
            <w:vAlign w:val="center"/>
          </w:tcPr>
          <w:p w14:paraId="3190E8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0BB36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84BD90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7B23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3B0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B0D8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B968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E1E1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4027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809E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DFB4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B667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32CB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40ACC1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0A52D2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B488D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642F2D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DD4F96A">
            <w:pPr>
              <w:widowControl w:val="0"/>
              <w:jc w:val="both"/>
              <w:rPr>
                <w:rFonts w:ascii="Calibri" w:hAnsi="Calibri" w:eastAsia="仿宋_GB2312" w:cs="Arial"/>
                <w:kern w:val="2"/>
                <w:sz w:val="32"/>
                <w:szCs w:val="24"/>
                <w:lang w:val="en-US" w:eastAsia="zh-CN" w:bidi="ar-SA"/>
              </w:rPr>
            </w:pPr>
          </w:p>
        </w:tc>
      </w:tr>
      <w:tr w14:paraId="35235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4A1395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A562DC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A25B0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58560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310870A">
            <w:pPr>
              <w:widowControl w:val="0"/>
              <w:jc w:val="both"/>
              <w:rPr>
                <w:rFonts w:ascii="Calibri" w:hAnsi="Calibri" w:eastAsia="仿宋_GB2312" w:cs="Arial"/>
                <w:kern w:val="2"/>
                <w:sz w:val="32"/>
                <w:szCs w:val="24"/>
                <w:lang w:val="en-US" w:eastAsia="zh-CN" w:bidi="ar-SA"/>
              </w:rPr>
            </w:pPr>
          </w:p>
        </w:tc>
      </w:tr>
      <w:tr w14:paraId="5B4A9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F8F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02F81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5179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DEEC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0D78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EF9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E63D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426.77</w:t>
            </w:r>
          </w:p>
        </w:tc>
        <w:tc>
          <w:tcPr>
            <w:tcW w:w="1400" w:type="dxa"/>
            <w:noWrap w:val="0"/>
            <w:vAlign w:val="center"/>
          </w:tcPr>
          <w:p w14:paraId="498BC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409.07</w:t>
            </w:r>
          </w:p>
        </w:tc>
        <w:tc>
          <w:tcPr>
            <w:tcW w:w="1386" w:type="dxa"/>
            <w:noWrap w:val="0"/>
            <w:vAlign w:val="center"/>
          </w:tcPr>
          <w:p w14:paraId="02024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17.71</w:t>
            </w:r>
          </w:p>
        </w:tc>
      </w:tr>
      <w:tr w14:paraId="1672B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C3F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36BA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9182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366.70</w:t>
            </w:r>
          </w:p>
        </w:tc>
        <w:tc>
          <w:tcPr>
            <w:tcW w:w="1400" w:type="dxa"/>
            <w:noWrap w:val="0"/>
            <w:vAlign w:val="center"/>
          </w:tcPr>
          <w:p w14:paraId="2F667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349.00</w:t>
            </w:r>
          </w:p>
        </w:tc>
        <w:tc>
          <w:tcPr>
            <w:tcW w:w="1386" w:type="dxa"/>
            <w:noWrap w:val="0"/>
            <w:vAlign w:val="center"/>
          </w:tcPr>
          <w:p w14:paraId="15A17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17.71</w:t>
            </w:r>
          </w:p>
        </w:tc>
      </w:tr>
      <w:tr w14:paraId="0251D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B1C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w:t>
            </w:r>
          </w:p>
        </w:tc>
        <w:tc>
          <w:tcPr>
            <w:tcW w:w="3040" w:type="dxa"/>
            <w:noWrap w:val="0"/>
            <w:vAlign w:val="center"/>
          </w:tcPr>
          <w:p w14:paraId="5F68D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发展与改革事务</w:t>
            </w:r>
          </w:p>
        </w:tc>
        <w:tc>
          <w:tcPr>
            <w:tcW w:w="1400" w:type="dxa"/>
            <w:noWrap w:val="0"/>
            <w:vAlign w:val="center"/>
          </w:tcPr>
          <w:p w14:paraId="3D880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366.70</w:t>
            </w:r>
          </w:p>
        </w:tc>
        <w:tc>
          <w:tcPr>
            <w:tcW w:w="1400" w:type="dxa"/>
            <w:noWrap w:val="0"/>
            <w:vAlign w:val="center"/>
          </w:tcPr>
          <w:p w14:paraId="4583D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349.00</w:t>
            </w:r>
          </w:p>
        </w:tc>
        <w:tc>
          <w:tcPr>
            <w:tcW w:w="1386" w:type="dxa"/>
            <w:noWrap w:val="0"/>
            <w:vAlign w:val="center"/>
          </w:tcPr>
          <w:p w14:paraId="616BD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17.71</w:t>
            </w:r>
          </w:p>
        </w:tc>
      </w:tr>
      <w:tr w14:paraId="701F2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6FB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2010450</w:t>
            </w:r>
          </w:p>
        </w:tc>
        <w:tc>
          <w:tcPr>
            <w:tcW w:w="3040" w:type="dxa"/>
            <w:noWrap w:val="0"/>
            <w:vAlign w:val="center"/>
          </w:tcPr>
          <w:p w14:paraId="697B5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8056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366.70</w:t>
            </w:r>
          </w:p>
        </w:tc>
        <w:tc>
          <w:tcPr>
            <w:tcW w:w="1400" w:type="dxa"/>
            <w:noWrap w:val="0"/>
            <w:vAlign w:val="center"/>
          </w:tcPr>
          <w:p w14:paraId="238D8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349.00</w:t>
            </w:r>
          </w:p>
        </w:tc>
        <w:tc>
          <w:tcPr>
            <w:tcW w:w="1386" w:type="dxa"/>
            <w:noWrap w:val="0"/>
            <w:vAlign w:val="center"/>
          </w:tcPr>
          <w:p w14:paraId="55784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17.71</w:t>
            </w:r>
          </w:p>
        </w:tc>
      </w:tr>
      <w:tr w14:paraId="0DEF3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F9B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EE07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FEF6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24.51</w:t>
            </w:r>
          </w:p>
        </w:tc>
        <w:tc>
          <w:tcPr>
            <w:tcW w:w="1400" w:type="dxa"/>
            <w:noWrap w:val="0"/>
            <w:vAlign w:val="center"/>
          </w:tcPr>
          <w:p w14:paraId="43728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24.51</w:t>
            </w:r>
          </w:p>
        </w:tc>
        <w:tc>
          <w:tcPr>
            <w:tcW w:w="1386" w:type="dxa"/>
            <w:noWrap w:val="0"/>
            <w:vAlign w:val="center"/>
          </w:tcPr>
          <w:p w14:paraId="782AC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3D9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CE8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157C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88EC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24.51</w:t>
            </w:r>
          </w:p>
        </w:tc>
        <w:tc>
          <w:tcPr>
            <w:tcW w:w="1400" w:type="dxa"/>
            <w:noWrap w:val="0"/>
            <w:vAlign w:val="center"/>
          </w:tcPr>
          <w:p w14:paraId="48F5A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24.51</w:t>
            </w:r>
          </w:p>
        </w:tc>
        <w:tc>
          <w:tcPr>
            <w:tcW w:w="1386" w:type="dxa"/>
            <w:noWrap w:val="0"/>
            <w:vAlign w:val="center"/>
          </w:tcPr>
          <w:p w14:paraId="1411E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E8D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DF1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4854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088C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24.51</w:t>
            </w:r>
          </w:p>
        </w:tc>
        <w:tc>
          <w:tcPr>
            <w:tcW w:w="1400" w:type="dxa"/>
            <w:noWrap w:val="0"/>
            <w:vAlign w:val="center"/>
          </w:tcPr>
          <w:p w14:paraId="72F31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24.51</w:t>
            </w:r>
          </w:p>
        </w:tc>
        <w:tc>
          <w:tcPr>
            <w:tcW w:w="1386" w:type="dxa"/>
            <w:noWrap w:val="0"/>
            <w:vAlign w:val="center"/>
          </w:tcPr>
          <w:p w14:paraId="6C04F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0DC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692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A026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2E7B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w:t>
            </w:r>
          </w:p>
        </w:tc>
        <w:tc>
          <w:tcPr>
            <w:tcW w:w="1400" w:type="dxa"/>
            <w:noWrap w:val="0"/>
            <w:vAlign w:val="center"/>
          </w:tcPr>
          <w:p w14:paraId="1A0D0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w:t>
            </w:r>
          </w:p>
        </w:tc>
        <w:tc>
          <w:tcPr>
            <w:tcW w:w="1386" w:type="dxa"/>
            <w:noWrap w:val="0"/>
            <w:vAlign w:val="center"/>
          </w:tcPr>
          <w:p w14:paraId="03002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F5B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82AF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1BB3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A542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w:t>
            </w:r>
          </w:p>
        </w:tc>
        <w:tc>
          <w:tcPr>
            <w:tcW w:w="1400" w:type="dxa"/>
            <w:noWrap w:val="0"/>
            <w:vAlign w:val="center"/>
          </w:tcPr>
          <w:p w14:paraId="4EC30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w:t>
            </w:r>
          </w:p>
        </w:tc>
        <w:tc>
          <w:tcPr>
            <w:tcW w:w="1386" w:type="dxa"/>
            <w:noWrap w:val="0"/>
            <w:vAlign w:val="center"/>
          </w:tcPr>
          <w:p w14:paraId="656EE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777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771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D212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0FD7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w:t>
            </w:r>
          </w:p>
        </w:tc>
        <w:tc>
          <w:tcPr>
            <w:tcW w:w="1400" w:type="dxa"/>
            <w:noWrap w:val="0"/>
            <w:vAlign w:val="center"/>
          </w:tcPr>
          <w:p w14:paraId="33E36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11.90</w:t>
            </w:r>
          </w:p>
        </w:tc>
        <w:tc>
          <w:tcPr>
            <w:tcW w:w="1386" w:type="dxa"/>
            <w:noWrap w:val="0"/>
            <w:vAlign w:val="center"/>
          </w:tcPr>
          <w:p w14:paraId="4421A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FE4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D0D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14ED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5F58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400" w:type="dxa"/>
            <w:noWrap w:val="0"/>
            <w:vAlign w:val="center"/>
          </w:tcPr>
          <w:p w14:paraId="3F01F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386" w:type="dxa"/>
            <w:noWrap w:val="0"/>
            <w:vAlign w:val="center"/>
          </w:tcPr>
          <w:p w14:paraId="792C0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FB0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6B7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FC99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2DE9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400" w:type="dxa"/>
            <w:noWrap w:val="0"/>
            <w:vAlign w:val="center"/>
          </w:tcPr>
          <w:p w14:paraId="43E5A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386" w:type="dxa"/>
            <w:noWrap w:val="0"/>
            <w:vAlign w:val="center"/>
          </w:tcPr>
          <w:p w14:paraId="578E1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3A7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B68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7B207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D83C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400" w:type="dxa"/>
            <w:noWrap w:val="0"/>
            <w:vAlign w:val="center"/>
          </w:tcPr>
          <w:p w14:paraId="6EE4F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386" w:type="dxa"/>
            <w:noWrap w:val="0"/>
            <w:vAlign w:val="center"/>
          </w:tcPr>
          <w:p w14:paraId="30B04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328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038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3DE6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69E3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400" w:type="dxa"/>
            <w:noWrap w:val="0"/>
            <w:vAlign w:val="center"/>
          </w:tcPr>
          <w:p w14:paraId="20F39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386" w:type="dxa"/>
            <w:noWrap w:val="0"/>
            <w:vAlign w:val="center"/>
          </w:tcPr>
          <w:p w14:paraId="4C2C3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EAE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38B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BA8D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3DB4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400" w:type="dxa"/>
            <w:noWrap w:val="0"/>
            <w:vAlign w:val="center"/>
          </w:tcPr>
          <w:p w14:paraId="21524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386" w:type="dxa"/>
            <w:noWrap w:val="0"/>
            <w:vAlign w:val="center"/>
          </w:tcPr>
          <w:p w14:paraId="0427D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D43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346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A6DE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5158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400" w:type="dxa"/>
            <w:noWrap w:val="0"/>
            <w:vAlign w:val="center"/>
          </w:tcPr>
          <w:p w14:paraId="1F82C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21.70</w:t>
            </w:r>
          </w:p>
        </w:tc>
        <w:tc>
          <w:tcPr>
            <w:tcW w:w="1386" w:type="dxa"/>
            <w:noWrap w:val="0"/>
            <w:vAlign w:val="center"/>
          </w:tcPr>
          <w:p w14:paraId="65D5C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030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95A9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1D23BB6">
      <w:pPr>
        <w:sectPr>
          <w:pgSz w:w="11906" w:h="16838"/>
          <w:pgMar w:top="873" w:right="1440" w:bottom="873" w:left="1440" w:header="720" w:footer="720" w:gutter="0"/>
          <w:pgNumType w:fmt="numberInDash"/>
          <w:cols w:space="720" w:num="1"/>
          <w:docGrid w:type="lines" w:linePitch="312" w:charSpace="0"/>
        </w:sectPr>
      </w:pPr>
    </w:p>
    <w:p w14:paraId="21C482F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27E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E514C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1C16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77C9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单位：许昌市重点项目建设服务中心</w:t>
            </w:r>
          </w:p>
        </w:tc>
        <w:tc>
          <w:tcPr>
            <w:tcW w:w="2000" w:type="dxa"/>
            <w:noWrap w:val="0"/>
            <w:vAlign w:val="center"/>
          </w:tcPr>
          <w:p w14:paraId="761E3E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8B56F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E87085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F47C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A847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4736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C716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AB47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A2CB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DF37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F625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4862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E5E3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7B26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C9ECE8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6A6A152">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937FC2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74000D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00E6F9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84F0D7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9D341A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0FC68B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AEBCB86">
            <w:pPr>
              <w:widowControl w:val="0"/>
              <w:jc w:val="both"/>
              <w:rPr>
                <w:rFonts w:ascii="Calibri" w:hAnsi="Calibri" w:eastAsia="仿宋_GB2312" w:cs="Arial"/>
                <w:kern w:val="2"/>
                <w:sz w:val="32"/>
                <w:szCs w:val="24"/>
                <w:lang w:val="en-US" w:eastAsia="zh-CN" w:bidi="ar-SA"/>
              </w:rPr>
            </w:pPr>
          </w:p>
        </w:tc>
      </w:tr>
      <w:tr w14:paraId="3BA66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B2F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6110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E529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389.11</w:t>
            </w:r>
          </w:p>
        </w:tc>
        <w:tc>
          <w:tcPr>
            <w:tcW w:w="740" w:type="dxa"/>
            <w:noWrap w:val="0"/>
            <w:vAlign w:val="center"/>
          </w:tcPr>
          <w:p w14:paraId="12B2C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2B54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8FFE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16.33</w:t>
            </w:r>
          </w:p>
        </w:tc>
        <w:tc>
          <w:tcPr>
            <w:tcW w:w="740" w:type="dxa"/>
            <w:noWrap w:val="0"/>
            <w:vAlign w:val="center"/>
          </w:tcPr>
          <w:p w14:paraId="58CBE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5AD3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C96E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7DA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E31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2EA2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F225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111.95</w:t>
            </w:r>
          </w:p>
        </w:tc>
        <w:tc>
          <w:tcPr>
            <w:tcW w:w="740" w:type="dxa"/>
            <w:noWrap w:val="0"/>
            <w:vAlign w:val="center"/>
          </w:tcPr>
          <w:p w14:paraId="18770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7C2D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F586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4.05</w:t>
            </w:r>
          </w:p>
        </w:tc>
        <w:tc>
          <w:tcPr>
            <w:tcW w:w="740" w:type="dxa"/>
            <w:noWrap w:val="0"/>
            <w:vAlign w:val="center"/>
          </w:tcPr>
          <w:p w14:paraId="56654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E843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B9E7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028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434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4E1F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2614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58.88</w:t>
            </w:r>
          </w:p>
        </w:tc>
        <w:tc>
          <w:tcPr>
            <w:tcW w:w="740" w:type="dxa"/>
            <w:noWrap w:val="0"/>
            <w:vAlign w:val="center"/>
          </w:tcPr>
          <w:p w14:paraId="538BB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5BA9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350C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0.89</w:t>
            </w:r>
          </w:p>
        </w:tc>
        <w:tc>
          <w:tcPr>
            <w:tcW w:w="740" w:type="dxa"/>
            <w:noWrap w:val="0"/>
            <w:vAlign w:val="center"/>
          </w:tcPr>
          <w:p w14:paraId="511E3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54BF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5947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01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AC6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215F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85B3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100.31</w:t>
            </w:r>
          </w:p>
        </w:tc>
        <w:tc>
          <w:tcPr>
            <w:tcW w:w="740" w:type="dxa"/>
            <w:noWrap w:val="0"/>
            <w:vAlign w:val="center"/>
          </w:tcPr>
          <w:p w14:paraId="72A34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E6C8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57B9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466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5A15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3863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w:t>
            </w:r>
          </w:p>
        </w:tc>
      </w:tr>
      <w:tr w14:paraId="5E6D8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6DA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8217D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6DD7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812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285E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4F82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19B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70C1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CE62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65D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0A6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D913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56BB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56.18</w:t>
            </w:r>
          </w:p>
        </w:tc>
        <w:tc>
          <w:tcPr>
            <w:tcW w:w="740" w:type="dxa"/>
            <w:noWrap w:val="0"/>
            <w:vAlign w:val="center"/>
          </w:tcPr>
          <w:p w14:paraId="0D239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DFAA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D05F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B46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5469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EFC6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w:t>
            </w:r>
          </w:p>
        </w:tc>
      </w:tr>
      <w:tr w14:paraId="46787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5EF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3A58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E45C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25.63</w:t>
            </w:r>
          </w:p>
        </w:tc>
        <w:tc>
          <w:tcPr>
            <w:tcW w:w="740" w:type="dxa"/>
            <w:noWrap w:val="0"/>
            <w:vAlign w:val="center"/>
          </w:tcPr>
          <w:p w14:paraId="36B09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5228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E8DA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0.59</w:t>
            </w:r>
          </w:p>
        </w:tc>
        <w:tc>
          <w:tcPr>
            <w:tcW w:w="740" w:type="dxa"/>
            <w:noWrap w:val="0"/>
            <w:vAlign w:val="center"/>
          </w:tcPr>
          <w:p w14:paraId="5DFC0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3E2E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A228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D27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0FF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EC52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94F5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C22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BD40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54DD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2AB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D4A0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FF1B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4EF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19D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0F61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EF9F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12.61</w:t>
            </w:r>
          </w:p>
        </w:tc>
        <w:tc>
          <w:tcPr>
            <w:tcW w:w="740" w:type="dxa"/>
            <w:noWrap w:val="0"/>
            <w:vAlign w:val="center"/>
          </w:tcPr>
          <w:p w14:paraId="40C3E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DC32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4405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B20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0098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053A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E9B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BD3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A140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902B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6B0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4A82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84C7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w:t>
            </w:r>
          </w:p>
        </w:tc>
        <w:tc>
          <w:tcPr>
            <w:tcW w:w="740" w:type="dxa"/>
            <w:noWrap w:val="0"/>
            <w:vAlign w:val="center"/>
          </w:tcPr>
          <w:p w14:paraId="2711E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EE1E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57C6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442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900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D19F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A204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740" w:type="dxa"/>
            <w:noWrap w:val="0"/>
            <w:vAlign w:val="center"/>
          </w:tcPr>
          <w:p w14:paraId="17368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51C0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24B7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EAB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23DF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2021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88B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BA0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8424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3ADC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21.70</w:t>
            </w:r>
          </w:p>
        </w:tc>
        <w:tc>
          <w:tcPr>
            <w:tcW w:w="740" w:type="dxa"/>
            <w:noWrap w:val="0"/>
            <w:vAlign w:val="center"/>
          </w:tcPr>
          <w:p w14:paraId="25188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52EA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638F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AE0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993D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DA3D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253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431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2889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299B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3A8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6A16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35CD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F77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62C5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1D66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E86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292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CD04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BECA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1A0EF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426B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DC52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C51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7F85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8590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8AF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299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8537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1A84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1668E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DB14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64CD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3F8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6932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A5A4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E27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E01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01EC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FD12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17F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6B3C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8A1F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93A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DDEA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2E67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895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506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038B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7C90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33A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AA73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F61A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2BB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5FE3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183B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CA2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069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2A29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5597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0AF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CF5EC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0B2D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885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E457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93F1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AE3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5A6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A21D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BB76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999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DEB3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2F25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1C3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BD30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05A0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46D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350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36B5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0E8E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w:t>
            </w:r>
          </w:p>
        </w:tc>
        <w:tc>
          <w:tcPr>
            <w:tcW w:w="740" w:type="dxa"/>
            <w:noWrap w:val="0"/>
            <w:vAlign w:val="center"/>
          </w:tcPr>
          <w:p w14:paraId="41FFD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A98C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F7BD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238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CF85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1AC3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6D0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443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E0FB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795C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56C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7E89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946E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3C385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39C9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D317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E32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13F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D836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95AE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528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CB86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E2B4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1.93</w:t>
            </w:r>
          </w:p>
        </w:tc>
        <w:tc>
          <w:tcPr>
            <w:tcW w:w="740" w:type="dxa"/>
            <w:noWrap w:val="0"/>
            <w:vAlign w:val="center"/>
          </w:tcPr>
          <w:p w14:paraId="2E24C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8808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4FF9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F5E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E1F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CC2D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964D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3C4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9F53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1888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740" w:type="dxa"/>
            <w:noWrap w:val="0"/>
            <w:vAlign w:val="center"/>
          </w:tcPr>
          <w:p w14:paraId="1CCDA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C2ED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4B47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35D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5C4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6C55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9DD2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96F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104E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C721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5A8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1015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0C1F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E9A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4CD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D090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1357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D45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0F9D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7199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02B62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6030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E792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2F7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D42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7669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4369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717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F1D8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1A7D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E2C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9483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9A8E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ECE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18B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FB4F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BECB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841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0028D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3D0F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w:t>
            </w:r>
          </w:p>
        </w:tc>
        <w:tc>
          <w:tcPr>
            <w:tcW w:w="740" w:type="dxa"/>
            <w:noWrap w:val="0"/>
            <w:vAlign w:val="center"/>
          </w:tcPr>
          <w:p w14:paraId="49E7129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DD35DB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957B1DD">
            <w:pPr>
              <w:widowControl w:val="0"/>
              <w:jc w:val="both"/>
              <w:rPr>
                <w:rFonts w:ascii="Calibri" w:hAnsi="Calibri" w:eastAsia="仿宋_GB2312" w:cs="Arial"/>
                <w:kern w:val="2"/>
                <w:sz w:val="32"/>
                <w:szCs w:val="24"/>
                <w:lang w:val="en-US" w:eastAsia="zh-CN" w:bidi="ar-SA"/>
              </w:rPr>
            </w:pPr>
          </w:p>
        </w:tc>
      </w:tr>
      <w:tr w14:paraId="1887E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17862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BA8B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391.07</w:t>
            </w:r>
          </w:p>
        </w:tc>
        <w:tc>
          <w:tcPr>
            <w:tcW w:w="7440" w:type="dxa"/>
            <w:gridSpan w:val="5"/>
            <w:noWrap w:val="0"/>
            <w:vAlign w:val="center"/>
          </w:tcPr>
          <w:p w14:paraId="758BA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383A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18.00</w:t>
            </w:r>
          </w:p>
        </w:tc>
      </w:tr>
      <w:tr w14:paraId="5CB12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E013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E5B14B1">
      <w:pPr>
        <w:sectPr>
          <w:pgSz w:w="16838" w:h="11906" w:orient="landscape"/>
          <w:pgMar w:top="669" w:right="2007" w:bottom="669" w:left="2007" w:header="720" w:footer="720" w:gutter="0"/>
          <w:pgNumType w:fmt="numberInDash"/>
          <w:cols w:space="720" w:num="1"/>
          <w:docGrid w:type="lines" w:linePitch="312" w:charSpace="0"/>
        </w:sectPr>
      </w:pPr>
    </w:p>
    <w:p w14:paraId="3D9487C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D6F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5DACE3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3E09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D979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单位：许昌市重点项目建设服务中心</w:t>
            </w:r>
          </w:p>
        </w:tc>
        <w:tc>
          <w:tcPr>
            <w:tcW w:w="2000" w:type="dxa"/>
            <w:noWrap w:val="0"/>
            <w:vAlign w:val="center"/>
          </w:tcPr>
          <w:p w14:paraId="4D5E01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DE674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758D22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91DC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1F71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9805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77F5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90840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2C0C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C916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2FC6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12E3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A7F5D8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A3D765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3D50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8400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8933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F28056F">
            <w:pPr>
              <w:widowControl w:val="0"/>
              <w:jc w:val="both"/>
              <w:rPr>
                <w:rFonts w:ascii="Calibri" w:hAnsi="Calibri" w:eastAsia="仿宋_GB2312" w:cs="Arial"/>
                <w:kern w:val="2"/>
                <w:sz w:val="32"/>
                <w:szCs w:val="24"/>
                <w:lang w:val="en-US" w:eastAsia="zh-CN" w:bidi="ar-SA"/>
              </w:rPr>
            </w:pPr>
          </w:p>
        </w:tc>
      </w:tr>
      <w:tr w14:paraId="1CC02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B7F8BA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4C189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FF3B86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0E857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1EF9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70F1E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5750F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65A897F">
            <w:pPr>
              <w:widowControl w:val="0"/>
              <w:jc w:val="both"/>
              <w:rPr>
                <w:rFonts w:ascii="Calibri" w:hAnsi="Calibri" w:eastAsia="仿宋_GB2312" w:cs="Arial"/>
                <w:kern w:val="2"/>
                <w:sz w:val="32"/>
                <w:szCs w:val="24"/>
                <w:lang w:val="en-US" w:eastAsia="zh-CN" w:bidi="ar-SA"/>
              </w:rPr>
            </w:pPr>
          </w:p>
        </w:tc>
      </w:tr>
      <w:tr w14:paraId="784D4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7F242C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C2058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9A82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CAA3D8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2DDB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F2A9C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C258D0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773DFAA">
            <w:pPr>
              <w:widowControl w:val="0"/>
              <w:jc w:val="both"/>
              <w:rPr>
                <w:rFonts w:ascii="Calibri" w:hAnsi="Calibri" w:eastAsia="仿宋_GB2312" w:cs="Arial"/>
                <w:kern w:val="2"/>
                <w:sz w:val="32"/>
                <w:szCs w:val="24"/>
                <w:lang w:val="en-US" w:eastAsia="zh-CN" w:bidi="ar-SA"/>
              </w:rPr>
            </w:pPr>
          </w:p>
        </w:tc>
      </w:tr>
      <w:tr w14:paraId="655D0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1F05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822C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C637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D6F9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D6B3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7AB5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EEC9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5AF5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A08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D54052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9EDB82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7D0D8D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E8F080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55D991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297B7BD">
            <w:pPr>
              <w:widowControl w:val="0"/>
              <w:jc w:val="both"/>
              <w:rPr>
                <w:rFonts w:ascii="Calibri" w:hAnsi="Calibri" w:eastAsia="仿宋_GB2312" w:cs="Arial"/>
                <w:kern w:val="2"/>
                <w:sz w:val="32"/>
                <w:szCs w:val="24"/>
                <w:lang w:val="en-US" w:eastAsia="zh-CN" w:bidi="ar-SA"/>
              </w:rPr>
            </w:pPr>
          </w:p>
        </w:tc>
      </w:tr>
      <w:tr w14:paraId="7E7E1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038FA5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B45C90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7EABEF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FE16EC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C3D354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05456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78C08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D104534">
            <w:pPr>
              <w:widowControl w:val="0"/>
              <w:jc w:val="both"/>
              <w:rPr>
                <w:rFonts w:ascii="Calibri" w:hAnsi="Calibri" w:eastAsia="仿宋_GB2312" w:cs="Arial"/>
                <w:kern w:val="2"/>
                <w:sz w:val="32"/>
                <w:szCs w:val="24"/>
                <w:lang w:val="en-US" w:eastAsia="zh-CN" w:bidi="ar-SA"/>
              </w:rPr>
            </w:pPr>
          </w:p>
        </w:tc>
      </w:tr>
      <w:tr w14:paraId="782E3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4F73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11EA82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9BEFB9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A0AD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AF6E9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FBFF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5212A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单位：许昌市重点项目建设服务中心</w:t>
            </w:r>
          </w:p>
        </w:tc>
        <w:tc>
          <w:tcPr>
            <w:tcW w:w="2000" w:type="dxa"/>
            <w:noWrap w:val="0"/>
            <w:vAlign w:val="center"/>
          </w:tcPr>
          <w:p w14:paraId="340619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A674C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504A0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ACB3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3B09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971B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D497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35B7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9EF6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910D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B836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C4B9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1CC8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182535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948273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13CAF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30852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204FE3F">
            <w:pPr>
              <w:widowControl w:val="0"/>
              <w:jc w:val="both"/>
              <w:rPr>
                <w:rFonts w:ascii="Calibri" w:hAnsi="Calibri" w:eastAsia="仿宋_GB2312" w:cs="Arial"/>
                <w:kern w:val="2"/>
                <w:sz w:val="32"/>
                <w:szCs w:val="24"/>
                <w:lang w:val="en-US" w:eastAsia="zh-CN" w:bidi="ar-SA"/>
              </w:rPr>
            </w:pPr>
          </w:p>
        </w:tc>
      </w:tr>
      <w:tr w14:paraId="60586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FAD5E7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8BE060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B81C1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28BAD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3D701C">
            <w:pPr>
              <w:widowControl w:val="0"/>
              <w:jc w:val="both"/>
              <w:rPr>
                <w:rFonts w:ascii="Calibri" w:hAnsi="Calibri" w:eastAsia="仿宋_GB2312" w:cs="Arial"/>
                <w:kern w:val="2"/>
                <w:sz w:val="32"/>
                <w:szCs w:val="24"/>
                <w:lang w:val="en-US" w:eastAsia="zh-CN" w:bidi="ar-SA"/>
              </w:rPr>
            </w:pPr>
          </w:p>
        </w:tc>
      </w:tr>
      <w:tr w14:paraId="27A65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968C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4411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6070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0D1F4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3909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6BAA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BBB3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B75A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27FF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D7FF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48902D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7BAFCD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AA8EDD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2F88C2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5CEB474">
            <w:pPr>
              <w:widowControl w:val="0"/>
              <w:jc w:val="both"/>
              <w:rPr>
                <w:rFonts w:ascii="Calibri" w:hAnsi="Calibri" w:eastAsia="仿宋_GB2312" w:cs="Arial"/>
                <w:kern w:val="2"/>
                <w:sz w:val="32"/>
                <w:szCs w:val="24"/>
                <w:lang w:val="en-US" w:eastAsia="zh-CN" w:bidi="ar-SA"/>
              </w:rPr>
            </w:pPr>
          </w:p>
        </w:tc>
      </w:tr>
      <w:tr w14:paraId="49846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AB2B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634BA9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E5E7D1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250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4C307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65FB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BD214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单位：许昌市重点项目建设服务中心</w:t>
            </w:r>
          </w:p>
        </w:tc>
        <w:tc>
          <w:tcPr>
            <w:tcW w:w="2000" w:type="dxa"/>
            <w:noWrap w:val="0"/>
            <w:vAlign w:val="center"/>
          </w:tcPr>
          <w:p w14:paraId="155804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133B8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9724CB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094B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BB9A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AC98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AE2E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8D92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9924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18F9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C5F9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5E73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8F15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1AA1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9CD4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8E45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030545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4C66C9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9870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1751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45CB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23F544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B8F13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11E58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FF62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48B5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E270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1E24295">
            <w:pPr>
              <w:widowControl w:val="0"/>
              <w:jc w:val="both"/>
              <w:rPr>
                <w:rFonts w:ascii="Calibri" w:hAnsi="Calibri" w:eastAsia="仿宋_GB2312" w:cs="Arial"/>
                <w:kern w:val="2"/>
                <w:sz w:val="32"/>
                <w:szCs w:val="24"/>
                <w:lang w:val="en-US" w:eastAsia="zh-CN" w:bidi="ar-SA"/>
              </w:rPr>
            </w:pPr>
          </w:p>
        </w:tc>
      </w:tr>
      <w:tr w14:paraId="0F88B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E947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E9B1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D205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13E7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5597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A079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59BE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92AE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6DFC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51EA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567B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0167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4606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97B5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B5D4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BB1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FEC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9481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9C62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6D7B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FF10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5F7B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693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5CB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23AE9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173C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8CFF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6DDC47C">
      <w:pPr>
        <w:sectPr>
          <w:pgSz w:w="16838" w:h="11906" w:orient="landscape"/>
          <w:pgMar w:top="1800" w:right="1440" w:bottom="1800" w:left="1440" w:header="720" w:footer="720" w:gutter="0"/>
          <w:pgNumType w:fmt="numberInDash"/>
          <w:cols w:space="425" w:num="1"/>
          <w:docGrid w:type="lines" w:linePitch="312" w:charSpace="0"/>
        </w:sectPr>
      </w:pPr>
    </w:p>
    <w:p w14:paraId="6E867E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D411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09E1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8D72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36C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1E10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187C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5D857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FEF36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2BE88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6A9CF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0A5581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426.78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与上年度相比，收、支总计各增加33.89万元，增长8.63%，主要原因是新增人员以及工资薪金标准正常调整导致人员经费增加。</w:t>
      </w:r>
    </w:p>
    <w:p w14:paraId="793E1A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1EEBD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2025年度收入合计426.78万元，其中：财政拨款收入426.77万元，占100.00%;其他收入0.00万元，占0.00%。</w:t>
      </w:r>
    </w:p>
    <w:p w14:paraId="6D8415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341EF7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2025年度支出合计426.77万元，其中：基本支出409.07万元，占95.85%;项目支出17.71万元，占4.15%。</w:t>
      </w:r>
    </w:p>
    <w:p w14:paraId="42F40C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76FA3E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2025年度财政拨款收、支总计均为426.77万元。与上年度相比，财政拨款收、支总计各增加33.89万元，增长8.63%，主要原因是新增人员以及工资薪金标准正常调整导致人员经费增加。</w:t>
      </w:r>
    </w:p>
    <w:p w14:paraId="21BA85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03B070A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6D1514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2025年度一般公共预算财政拨款支出426.77万元，占支出合计的100.00%。与上年度相比，一般公共预算财政拨款支出增加33.89万元，增长8.63%，主要原因是新增人员以及工资薪金标准正常调整导致人员经费增加。</w:t>
      </w:r>
    </w:p>
    <w:p w14:paraId="6EF379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F3533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426.77万元，主要用于以下方面：一般公共服务（类）支出366.70万元，占85.92%;社会保障和就业（类）支出24.51万元，占5.74%;卫生健康（类）支出11.90万元，占2.79%;农林水（类）支出1.97万元，占0.46%;住房保障（类）支出21.70万元，占5.09%。</w:t>
      </w:r>
    </w:p>
    <w:p w14:paraId="0405514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11BAFC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2025年度一般公共预算财政拨款支出年初预算为414.36万元，支出决算为426.77万元，完成年初预算的103.00%。其中：</w:t>
      </w:r>
    </w:p>
    <w:p w14:paraId="271BD6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。年初预算为356.63万元，支出决算为366.70万元，完成年初预算的102.83%。决算数与年初预算数存在差异的主要原因是年度执行中新增人员以及工资薪金标准正常调整追加预算。</w:t>
      </w:r>
    </w:p>
    <w:p w14:paraId="5A10AD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。年初预算为24.42万元，支出决算为24.51万元，完成年初预算的100.36%。决算数与年初预算数存在差异的主要原因是人员变动，社保缴费基数调整。</w:t>
      </w:r>
    </w:p>
    <w:p w14:paraId="6BC9EE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。年初预算为11.70万元，支出决算为11.90万元，完成年初预算的101.65%。决算数与年初预算数存在差异的主要原因是人员变动，医保缴费基数调整。</w:t>
      </w:r>
    </w:p>
    <w:p w14:paraId="3CE595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。年初预算为0.00万元，支出决算为1.97万元。决算数与年初预算数存在差异的主要原因是落实乡村振兴工作部署，年度执行中追加了驻村工作队员补助经费。</w:t>
      </w:r>
    </w:p>
    <w:p w14:paraId="10E217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。年初预算为21.61万元，支出决算为21.70万元，完成年初预算的100.44%。决算数与年初预算数存在差异的主要原因是人员变动，住房公积金缴费基数调整。</w:t>
      </w:r>
    </w:p>
    <w:p w14:paraId="267DBF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FCE6F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2025年度一般公共预算财政拨款基本支出409.07万元。其中：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391.07万元，主要包括：基本工资、奖金、津贴补贴、绩效工资、机关事业单位基本养老保险缴费、职工基本医疗保险缴费、其他社会保障缴费、住房公积金、其他工资福利支出、生活补助；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18.00万元，主要包括：办公费、印刷费、邮电费、差旅费、委托业务费、工会经费、福利费、其他交通费用、其他商品和服务支出、办公设备购置。</w:t>
      </w:r>
    </w:p>
    <w:p w14:paraId="765372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0ADDB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3BBB6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D36D9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80A79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78FD5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5CEF4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2025年度一般公共预算财政拨款“三公”经费支出预算为1.00万元，支出决算为0.00万元，完成年初预算的0.00%。。</w:t>
      </w:r>
    </w:p>
    <w:p w14:paraId="5EB5142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58D9A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19325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5C61B9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7C0CF3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8D4B8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0598EE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0.00万元，完成预算的0.00%。决算数与预算数存在差异的主要原因是预算编制时，基于可能的必要公务交流活动预留了小额经费；但在年度执行过程中，本单位进一步严格落实接待管理规定，从严控制接待范围和标准，确无符合规定的公务接待活动发生，故实际支出为零。其中：</w:t>
      </w:r>
    </w:p>
    <w:p w14:paraId="117861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5101B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1A3AB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27056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6B284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51DA7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931E1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D5B1A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2D051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58511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64CC41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根据预算绩效管理要求，本部门全面开展2025年度预算项目支出绩效自评，涉及项目1个，预算支出45万元。</w:t>
      </w:r>
    </w:p>
    <w:p w14:paraId="34923D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6998EBE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重点项目建设服务保障工作经费项目等1个项目的绩效自评结果。1.重点项目建设服务保障工作经费项目绩效自评情况：根据年初设定的绩效目标，项目绩效自评得分为91.89分。项目全年预算数为45万元，执行数为17.71万元，完成预算的39.36%。项目绩效目标完成情况：总体来看，2025年我单位在保障重点项目建设服务、协调解决问题、推动项目进展等方面发挥了积极作用，除培训频次指标受经费压减影响未完全达标外，其余各项指标均完成年度目标，资金使用效益得到较好体现。发现的主要问题及原因：一是绩效目标完成方面，因经费压减及工作统筹影响，培训整合为一期，导致“组织培训次数”未完成年度目标；二是预算执行方面，因坚持厉行节约压减支出，部分活动资源整合，同时预算编制时经费测算偏大，导致预算执行率低于整体执行率。下一步改进措施：一是科学设定绩效指标，结合历史完成情况和年度安排合理确定目标值。优化培训方式，探索“线上+线下”模式，确保培训频次达标；二是科学测算经费需求，提高预算编制精细化水平。建立预算执行动态监控机制，对执行偏慢项目及时预警；适度预留弹性空间，在厉行节约前提下保障各项工作顺利开展。</w:t>
      </w:r>
    </w:p>
    <w:p w14:paraId="2F2DC089">
      <w:pPr>
        <w:pStyle w:val="2"/>
        <w:rPr>
          <w:rFonts w:ascii="仿宋" w:hAnsi="仿宋" w:eastAsia="仿宋" w:cs="仿宋"/>
          <w:kern w:val="0"/>
          <w:sz w:val="32"/>
          <w:szCs w:val="32"/>
          <w:lang w:val="en-US" w:eastAsia="zh-CN"/>
        </w:rPr>
      </w:pPr>
    </w:p>
    <w:p w14:paraId="2A82337D">
      <w:pPr>
        <w:pStyle w:val="2"/>
        <w:rPr>
          <w:rFonts w:ascii="仿宋" w:hAnsi="仿宋" w:eastAsia="仿宋" w:cs="仿宋"/>
          <w:kern w:val="0"/>
          <w:sz w:val="32"/>
          <w:szCs w:val="32"/>
          <w:lang w:val="en-US" w:eastAsia="zh-CN"/>
        </w:rPr>
      </w:pPr>
    </w:p>
    <w:p w14:paraId="0C3FD00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5BBB067F">
      <w:pPr>
        <w:pStyle w:val="2"/>
        <w:rPr>
          <w:rFonts w:ascii="仿宋" w:hAnsi="仿宋" w:eastAsia="仿宋" w:cs="仿宋"/>
          <w:kern w:val="0"/>
          <w:sz w:val="32"/>
          <w:szCs w:val="32"/>
          <w:lang w:val="en-US" w:eastAsia="zh-CN"/>
        </w:rPr>
      </w:pPr>
    </w:p>
    <w:p w14:paraId="3CE8B764">
      <w:pPr>
        <w:rPr>
          <w:rFonts w:hint="eastAsia"/>
        </w:rPr>
      </w:pPr>
      <w:r>
        <w:rPr>
          <w:rFonts w:hint="eastAsia" w:ascii="黑体" w:hAnsi="宋体" w:eastAsia="黑体" w:cs="宋体"/>
          <w:kern w:val="0"/>
          <w:sz w:val="28"/>
          <w:szCs w:val="28"/>
          <w:lang w:eastAsia="zh-CN"/>
        </w:rPr>
        <w:tab/>
      </w:r>
      <w:r>
        <w:rPr>
          <w:rFonts w:hint="eastAsia"/>
          <w:lang w:eastAsia="zh-CN"/>
        </w:rPr>
        <w:tab/>
      </w:r>
    </w:p>
    <w:p w14:paraId="60409B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04D7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D2AF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CADF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7250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4C3FB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A8EF6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C3F24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B64C87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945A4EB">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92CF9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F635D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B6192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7059F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687A7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D39CD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C4E69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E23AE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D1A9F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32986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FD9EC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AECBE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11A18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7E44A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A63A9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DFD1D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18E38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2148A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02B25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75E4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72A5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F9F1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F812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6595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EEE1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2ABB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E52E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1DFF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D44C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4B6A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CBEB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7184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5916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7AE4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7C97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9913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58AD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F17B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0226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13F0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650B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67F56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8713"/>
      <w:bookmarkStart w:id="16" w:name="_Toc32252"/>
      <w:bookmarkStart w:id="17" w:name="_Toc10985"/>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5D91B8F5">
      <w:pPr>
        <w:pStyle w:val="11"/>
        <w:rPr>
          <w:rFonts w:ascii="黑体" w:hAnsi="黑体" w:eastAsia="黑体"/>
          <w:color w:val="000000"/>
          <w:lang w:eastAsia="zh-CN"/>
        </w:rPr>
      </w:pPr>
      <w:r>
        <w:rPr>
          <w:rFonts w:hint="eastAsia" w:ascii="黑体" w:hAnsi="黑体" w:eastAsia="黑体"/>
          <w:color w:val="000000"/>
        </w:rPr>
        <w:t>附件3</w:t>
      </w:r>
    </w:p>
    <w:p w14:paraId="7686DCF8">
      <w:pPr>
        <w:pStyle w:val="11"/>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华文中宋" w:hAnsi="华文中宋" w:eastAsia="华文中宋" w:cs="华文中宋"/>
          <w:b/>
          <w:bCs/>
          <w:sz w:val="44"/>
          <w:szCs w:val="44"/>
          <w:lang w:val="en-US" w:eastAsia="zh-CN"/>
        </w:rPr>
      </w:pPr>
      <w:r>
        <w:rPr>
          <w:rFonts w:hint="eastAsia" w:ascii="华文中宋" w:hAnsi="华文中宋" w:eastAsia="华文中宋" w:cs="华文中宋"/>
          <w:b/>
          <w:bCs/>
          <w:sz w:val="44"/>
          <w:szCs w:val="44"/>
          <w:lang w:val="en-US" w:eastAsia="zh-CN"/>
        </w:rPr>
        <w:t>许昌市重点项目建设服务中心</w:t>
      </w:r>
    </w:p>
    <w:p w14:paraId="05BFDC30">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整体</w:t>
      </w:r>
      <w:r>
        <w:rPr>
          <w:rFonts w:hint="eastAsia" w:ascii="华文中宋" w:hAnsi="华文中宋" w:eastAsia="华文中宋" w:cs="华文中宋"/>
          <w:b/>
          <w:bCs/>
          <w:sz w:val="44"/>
          <w:szCs w:val="44"/>
          <w:lang w:eastAsia="zh-CN"/>
        </w:rPr>
        <w:t>和项目支出绩效</w:t>
      </w:r>
      <w:r>
        <w:rPr>
          <w:rFonts w:hint="eastAsia" w:ascii="华文中宋" w:hAnsi="华文中宋" w:eastAsia="华文中宋" w:cs="华文中宋"/>
          <w:b/>
          <w:bCs/>
          <w:sz w:val="44"/>
          <w:szCs w:val="44"/>
        </w:rPr>
        <w:t>自评报告</w:t>
      </w:r>
    </w:p>
    <w:p w14:paraId="40A27CF2">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p>
    <w:p w14:paraId="5BB07478">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仿宋_GB2312" w:hAnsi="仿宋_GB2312" w:eastAsia="仿宋_GB2312" w:cs="仿宋_GB2312"/>
          <w:bCs/>
          <w:sz w:val="32"/>
          <w:szCs w:val="32"/>
        </w:rPr>
        <w:t>按照《许昌市财政局关于开展202</w:t>
      </w:r>
      <w:r>
        <w:rPr>
          <w:rFonts w:hint="eastAsia" w:ascii="仿宋_GB2312" w:hAnsi="仿宋_GB2312" w:cs="仿宋_GB2312"/>
          <w:bCs/>
          <w:sz w:val="32"/>
          <w:szCs w:val="32"/>
          <w:lang w:val="en-US" w:eastAsia="zh-CN"/>
        </w:rPr>
        <w:t>6</w:t>
      </w:r>
      <w:r>
        <w:rPr>
          <w:rFonts w:hint="eastAsia" w:ascii="仿宋_GB2312" w:hAnsi="仿宋_GB2312" w:eastAsia="仿宋_GB2312" w:cs="仿宋_GB2312"/>
          <w:bCs/>
          <w:sz w:val="32"/>
          <w:szCs w:val="32"/>
        </w:rPr>
        <w:t>年市级绩效自评</w:t>
      </w:r>
      <w:r>
        <w:rPr>
          <w:rFonts w:hint="eastAsia" w:ascii="仿宋_GB2312" w:hAnsi="仿宋_GB2312" w:cs="仿宋_GB2312"/>
          <w:bCs/>
          <w:sz w:val="32"/>
          <w:szCs w:val="32"/>
          <w:lang w:val="en-US" w:eastAsia="zh-CN"/>
        </w:rPr>
        <w:t>和部门评价</w:t>
      </w:r>
      <w:r>
        <w:rPr>
          <w:rFonts w:hint="eastAsia" w:ascii="仿宋_GB2312" w:hAnsi="仿宋_GB2312" w:eastAsia="仿宋_GB2312" w:cs="仿宋_GB2312"/>
          <w:bCs/>
          <w:sz w:val="32"/>
          <w:szCs w:val="32"/>
        </w:rPr>
        <w:t>工作的通知》（许财效〔202</w:t>
      </w:r>
      <w:r>
        <w:rPr>
          <w:rFonts w:hint="eastAsia" w:ascii="仿宋_GB2312" w:hAnsi="仿宋_GB2312" w:cs="仿宋_GB2312"/>
          <w:bCs/>
          <w:sz w:val="32"/>
          <w:szCs w:val="32"/>
          <w:lang w:val="en-US" w:eastAsia="zh-CN"/>
        </w:rPr>
        <w:t>6</w:t>
      </w:r>
      <w:r>
        <w:rPr>
          <w:rFonts w:hint="eastAsia" w:ascii="仿宋_GB2312" w:hAnsi="仿宋_GB2312" w:eastAsia="仿宋_GB2312" w:cs="仿宋_GB2312"/>
          <w:bCs/>
          <w:sz w:val="32"/>
          <w:szCs w:val="32"/>
        </w:rPr>
        <w:t>〕</w:t>
      </w:r>
      <w:r>
        <w:rPr>
          <w:rFonts w:hint="eastAsia" w:ascii="仿宋_GB2312" w:hAnsi="仿宋_GB2312" w:cs="仿宋_GB2312"/>
          <w:bCs/>
          <w:sz w:val="32"/>
          <w:szCs w:val="32"/>
          <w:lang w:val="en-US" w:eastAsia="zh-CN"/>
        </w:rPr>
        <w:t>2</w:t>
      </w:r>
      <w:r>
        <w:rPr>
          <w:rFonts w:hint="eastAsia" w:ascii="仿宋_GB2312" w:hAnsi="仿宋_GB2312" w:eastAsia="仿宋_GB2312" w:cs="仿宋_GB2312"/>
          <w:bCs/>
          <w:sz w:val="32"/>
          <w:szCs w:val="32"/>
        </w:rPr>
        <w:t>号）的要求，许昌市重点项目建设服务中心针对202</w:t>
      </w:r>
      <w:r>
        <w:rPr>
          <w:rFonts w:hint="eastAsia" w:ascii="仿宋_GB2312" w:hAnsi="仿宋_GB2312" w:cs="仿宋_GB2312"/>
          <w:bCs/>
          <w:sz w:val="32"/>
          <w:szCs w:val="32"/>
          <w:lang w:val="en-US" w:eastAsia="zh-CN"/>
        </w:rPr>
        <w:t>5</w:t>
      </w:r>
      <w:r>
        <w:rPr>
          <w:rFonts w:hint="eastAsia" w:ascii="仿宋_GB2312" w:hAnsi="仿宋_GB2312" w:eastAsia="仿宋_GB2312" w:cs="仿宋_GB2312"/>
          <w:bCs/>
          <w:sz w:val="32"/>
          <w:szCs w:val="32"/>
        </w:rPr>
        <w:t>年度部门整体和项目支出开展了绩效评价自评工作，现将我单位支出评价情况及结果报告如下：</w:t>
      </w:r>
    </w:p>
    <w:p w14:paraId="75F2C5C6">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一、基本情况</w:t>
      </w:r>
    </w:p>
    <w:p w14:paraId="0A500440">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楷体" w:hAnsi="楷体" w:eastAsia="楷体" w:cs="楷体"/>
          <w:color w:val="000000"/>
          <w:sz w:val="32"/>
          <w:szCs w:val="32"/>
          <w:highlight w:val="none"/>
        </w:rPr>
      </w:pPr>
      <w:r>
        <w:rPr>
          <w:rFonts w:hint="eastAsia" w:ascii="楷体" w:hAnsi="楷体" w:eastAsia="楷体" w:cs="楷体"/>
          <w:color w:val="000000"/>
          <w:sz w:val="32"/>
          <w:szCs w:val="32"/>
          <w:highlight w:val="none"/>
        </w:rPr>
        <w:t>（一）</w:t>
      </w:r>
      <w:r>
        <w:rPr>
          <w:rFonts w:hint="eastAsia" w:ascii="楷体" w:hAnsi="楷体" w:eastAsia="楷体" w:cs="楷体"/>
          <w:color w:val="000000"/>
          <w:sz w:val="32"/>
          <w:szCs w:val="32"/>
          <w:highlight w:val="none"/>
          <w:lang w:val="en-US" w:eastAsia="zh-CN"/>
        </w:rPr>
        <w:t>2025</w:t>
      </w:r>
      <w:r>
        <w:rPr>
          <w:rFonts w:hint="eastAsia" w:ascii="楷体" w:hAnsi="楷体" w:eastAsia="楷体" w:cs="楷体"/>
          <w:color w:val="000000"/>
          <w:sz w:val="32"/>
          <w:szCs w:val="32"/>
          <w:highlight w:val="none"/>
        </w:rPr>
        <w:t>年度</w:t>
      </w:r>
      <w:r>
        <w:rPr>
          <w:rFonts w:hint="eastAsia" w:ascii="楷体" w:hAnsi="楷体" w:eastAsia="楷体" w:cs="楷体"/>
          <w:color w:val="000000"/>
          <w:sz w:val="32"/>
          <w:szCs w:val="32"/>
          <w:highlight w:val="none"/>
          <w:lang w:eastAsia="zh-CN"/>
        </w:rPr>
        <w:t>单位</w:t>
      </w:r>
      <w:r>
        <w:rPr>
          <w:rFonts w:hint="eastAsia" w:ascii="楷体" w:hAnsi="楷体" w:eastAsia="楷体" w:cs="楷体"/>
          <w:color w:val="000000"/>
          <w:sz w:val="32"/>
          <w:szCs w:val="32"/>
          <w:highlight w:val="none"/>
        </w:rPr>
        <w:t>总目标及主要任务。</w:t>
      </w:r>
    </w:p>
    <w:p w14:paraId="00E12CA0">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仿宋_GB2312"/>
          <w:color w:val="000000"/>
          <w:sz w:val="32"/>
          <w:szCs w:val="32"/>
          <w:highlight w:val="none"/>
        </w:rPr>
      </w:pPr>
      <w:r>
        <w:rPr>
          <w:rFonts w:hint="eastAsia" w:ascii="仿宋_GB2312"/>
          <w:color w:val="000000"/>
          <w:sz w:val="32"/>
          <w:szCs w:val="32"/>
          <w:highlight w:val="none"/>
        </w:rPr>
        <w:t>全面贯彻落实</w:t>
      </w:r>
      <w:r>
        <w:rPr>
          <w:rFonts w:hint="eastAsia" w:ascii="仿宋_GB2312"/>
          <w:color w:val="000000"/>
          <w:sz w:val="32"/>
          <w:szCs w:val="32"/>
          <w:highlight w:val="none"/>
          <w:lang w:eastAsia="zh-CN"/>
        </w:rPr>
        <w:t>市委、市政府</w:t>
      </w:r>
      <w:r>
        <w:rPr>
          <w:rFonts w:hint="eastAsia" w:ascii="仿宋_GB2312"/>
          <w:color w:val="000000"/>
          <w:sz w:val="32"/>
          <w:szCs w:val="32"/>
          <w:highlight w:val="none"/>
        </w:rPr>
        <w:t>年度工作部署，持续树牢“项目为王”理念，坚持常态化开展项目谋划储备，通过政府引导和市场拉动，着力促进重点项目建设提质量、上层次，重点项目谋划再上新台阶，推动项目真落地、快建设、早达效，为高质量建设城乡融合共同富裕先行试验区提供强力支撑。</w:t>
      </w:r>
    </w:p>
    <w:p w14:paraId="36063F5B">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楷体" w:hAnsi="楷体" w:eastAsia="楷体" w:cs="楷体"/>
          <w:color w:val="000000"/>
          <w:sz w:val="32"/>
          <w:szCs w:val="32"/>
          <w:highlight w:val="none"/>
        </w:rPr>
      </w:pPr>
      <w:r>
        <w:rPr>
          <w:rFonts w:hint="eastAsia" w:ascii="楷体" w:hAnsi="楷体" w:eastAsia="楷体" w:cs="楷体"/>
          <w:color w:val="000000"/>
          <w:sz w:val="32"/>
          <w:szCs w:val="32"/>
          <w:highlight w:val="none"/>
          <w:lang w:eastAsia="zh-CN"/>
        </w:rPr>
        <w:t>（</w:t>
      </w:r>
      <w:r>
        <w:rPr>
          <w:rFonts w:hint="eastAsia" w:ascii="楷体" w:hAnsi="楷体" w:eastAsia="楷体" w:cs="楷体"/>
          <w:color w:val="000000"/>
          <w:sz w:val="32"/>
          <w:szCs w:val="32"/>
          <w:highlight w:val="none"/>
          <w:lang w:val="en-US" w:eastAsia="zh-CN"/>
        </w:rPr>
        <w:t>二）</w:t>
      </w:r>
      <w:r>
        <w:rPr>
          <w:rFonts w:hint="eastAsia" w:ascii="楷体" w:hAnsi="楷体" w:eastAsia="楷体" w:cs="楷体"/>
          <w:color w:val="000000"/>
          <w:sz w:val="32"/>
          <w:szCs w:val="32"/>
          <w:highlight w:val="none"/>
          <w:lang w:eastAsia="zh-CN"/>
        </w:rPr>
        <w:t>年度单位</w:t>
      </w:r>
      <w:r>
        <w:rPr>
          <w:rFonts w:hint="eastAsia" w:ascii="楷体" w:hAnsi="楷体" w:eastAsia="楷体" w:cs="楷体"/>
          <w:color w:val="000000"/>
          <w:sz w:val="32"/>
          <w:szCs w:val="32"/>
          <w:highlight w:val="none"/>
        </w:rPr>
        <w:t>整体预算绩效目标、绩效指标设定情况。</w:t>
      </w:r>
    </w:p>
    <w:p w14:paraId="4017ADB5">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rPr>
      </w:pPr>
      <w:r>
        <w:rPr>
          <w:rFonts w:hint="eastAsia" w:ascii="仿宋_GB2312"/>
          <w:color w:val="000000"/>
          <w:sz w:val="32"/>
          <w:szCs w:val="32"/>
          <w:highlight w:val="none"/>
        </w:rPr>
        <w:t>202</w:t>
      </w:r>
      <w:r>
        <w:rPr>
          <w:rFonts w:hint="eastAsia" w:ascii="仿宋_GB2312"/>
          <w:color w:val="000000"/>
          <w:sz w:val="32"/>
          <w:szCs w:val="32"/>
          <w:highlight w:val="none"/>
          <w:lang w:val="en-US" w:eastAsia="zh-CN"/>
        </w:rPr>
        <w:t>5</w:t>
      </w:r>
      <w:r>
        <w:rPr>
          <w:rFonts w:hint="eastAsia" w:ascii="仿宋_GB2312"/>
          <w:color w:val="000000"/>
          <w:sz w:val="32"/>
          <w:szCs w:val="32"/>
          <w:highlight w:val="none"/>
        </w:rPr>
        <w:t>年，按照《中共许昌市委、许昌市人民政府关于全面实施预算绩效管理的实施意见》（许发〔2021〕13号）文件精神，许昌市重点项目建设服务中心对单位整体支出和项目支出开展全过程预算绩效管理，本单位所有支出实行绩效目标管理。纳入202</w:t>
      </w:r>
      <w:r>
        <w:rPr>
          <w:rFonts w:hint="eastAsia" w:ascii="仿宋_GB2312"/>
          <w:color w:val="000000"/>
          <w:sz w:val="32"/>
          <w:szCs w:val="32"/>
          <w:highlight w:val="none"/>
          <w:lang w:val="en-US" w:eastAsia="zh-CN"/>
        </w:rPr>
        <w:t>5</w:t>
      </w:r>
      <w:r>
        <w:rPr>
          <w:rFonts w:hint="eastAsia" w:ascii="仿宋_GB2312"/>
          <w:color w:val="000000"/>
          <w:sz w:val="32"/>
          <w:szCs w:val="32"/>
          <w:highlight w:val="none"/>
        </w:rPr>
        <w:t>年</w:t>
      </w:r>
      <w:r>
        <w:rPr>
          <w:rFonts w:hint="eastAsia" w:ascii="仿宋_GB2312"/>
          <w:color w:val="000000"/>
          <w:sz w:val="32"/>
          <w:szCs w:val="32"/>
          <w:highlight w:val="none"/>
          <w:lang w:val="en-US" w:eastAsia="zh-CN"/>
        </w:rPr>
        <w:t>单位</w:t>
      </w:r>
      <w:r>
        <w:rPr>
          <w:rFonts w:hint="eastAsia" w:ascii="仿宋_GB2312"/>
          <w:color w:val="000000"/>
          <w:sz w:val="32"/>
          <w:szCs w:val="32"/>
          <w:highlight w:val="none"/>
        </w:rPr>
        <w:t>整体支出绩效目标的金额为</w:t>
      </w:r>
      <w:r>
        <w:rPr>
          <w:rFonts w:hint="eastAsia" w:ascii="仿宋_GB2312"/>
          <w:color w:val="000000"/>
          <w:sz w:val="32"/>
          <w:szCs w:val="32"/>
          <w:highlight w:val="none"/>
          <w:lang w:val="en-US" w:eastAsia="zh-CN"/>
        </w:rPr>
        <w:t>414.36</w:t>
      </w:r>
      <w:r>
        <w:rPr>
          <w:rFonts w:hint="eastAsia" w:ascii="仿宋_GB2312"/>
          <w:color w:val="000000"/>
          <w:sz w:val="32"/>
          <w:szCs w:val="32"/>
          <w:highlight w:val="none"/>
        </w:rPr>
        <w:t>万元，其中：基本支出369.36万元，项目支出</w:t>
      </w:r>
      <w:r>
        <w:rPr>
          <w:rFonts w:hint="eastAsia" w:ascii="仿宋_GB2312"/>
          <w:color w:val="000000"/>
          <w:sz w:val="32"/>
          <w:szCs w:val="32"/>
          <w:highlight w:val="none"/>
          <w:lang w:eastAsia="zh-CN"/>
        </w:rPr>
        <w:t>45万元</w:t>
      </w:r>
      <w:r>
        <w:rPr>
          <w:rFonts w:hint="eastAsia" w:ascii="仿宋_GB2312"/>
          <w:color w:val="000000"/>
          <w:sz w:val="32"/>
          <w:szCs w:val="32"/>
          <w:highlight w:val="none"/>
        </w:rPr>
        <w:t>，支出项目1个。</w:t>
      </w:r>
    </w:p>
    <w:p w14:paraId="1C83808A">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rPr>
      </w:pPr>
      <w:r>
        <w:rPr>
          <w:rFonts w:hint="eastAsia" w:ascii="仿宋_GB2312"/>
          <w:color w:val="000000"/>
          <w:sz w:val="32"/>
          <w:szCs w:val="32"/>
          <w:highlight w:val="none"/>
        </w:rPr>
        <w:t>我单位围绕重大项目谋划、重大项目</w:t>
      </w:r>
      <w:r>
        <w:rPr>
          <w:rFonts w:hint="eastAsia" w:ascii="仿宋_GB2312"/>
          <w:color w:val="000000"/>
          <w:sz w:val="32"/>
          <w:szCs w:val="32"/>
          <w:highlight w:val="none"/>
          <w:lang w:val="en-US" w:eastAsia="zh-CN"/>
        </w:rPr>
        <w:t>推进</w:t>
      </w:r>
      <w:r>
        <w:rPr>
          <w:rFonts w:hint="eastAsia" w:ascii="仿宋_GB2312"/>
          <w:color w:val="000000"/>
          <w:sz w:val="32"/>
          <w:szCs w:val="32"/>
          <w:highlight w:val="none"/>
        </w:rPr>
        <w:t>等核心工作需求，从项目产出、项目效益、满意度等方面设置了202</w:t>
      </w:r>
      <w:r>
        <w:rPr>
          <w:rFonts w:hint="eastAsia" w:ascii="仿宋_GB2312"/>
          <w:color w:val="000000"/>
          <w:sz w:val="32"/>
          <w:szCs w:val="32"/>
          <w:highlight w:val="none"/>
          <w:lang w:val="en-US" w:eastAsia="zh-CN"/>
        </w:rPr>
        <w:t>5</w:t>
      </w:r>
      <w:r>
        <w:rPr>
          <w:rFonts w:hint="eastAsia" w:ascii="仿宋_GB2312"/>
          <w:color w:val="000000"/>
          <w:sz w:val="32"/>
          <w:szCs w:val="32"/>
          <w:highlight w:val="none"/>
        </w:rPr>
        <w:t>年度整体预算绩效指标，综合反映项目预期完成的数量、实效、质量，预期达到的社会经济效益、可持续影响及服务对象满意度等情况。</w:t>
      </w:r>
    </w:p>
    <w:p w14:paraId="0D497FCC">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楷体" w:hAnsi="楷体" w:eastAsia="楷体" w:cs="楷体"/>
          <w:color w:val="000000"/>
          <w:sz w:val="32"/>
          <w:szCs w:val="32"/>
          <w:highlight w:val="none"/>
          <w:lang w:eastAsia="zh-CN"/>
        </w:rPr>
      </w:pPr>
      <w:r>
        <w:rPr>
          <w:rFonts w:hint="eastAsia" w:ascii="楷体" w:hAnsi="楷体" w:eastAsia="楷体" w:cs="楷体"/>
          <w:color w:val="000000"/>
          <w:sz w:val="32"/>
          <w:szCs w:val="32"/>
          <w:highlight w:val="none"/>
          <w:lang w:eastAsia="zh-CN"/>
        </w:rPr>
        <w:t>（三）</w:t>
      </w:r>
      <w:r>
        <w:rPr>
          <w:rFonts w:hint="eastAsia" w:ascii="楷体" w:hAnsi="楷体" w:eastAsia="楷体" w:cs="楷体"/>
          <w:color w:val="000000"/>
          <w:sz w:val="32"/>
          <w:szCs w:val="32"/>
          <w:highlight w:val="none"/>
          <w:lang w:val="en-US" w:eastAsia="zh-CN"/>
        </w:rPr>
        <w:t>2025</w:t>
      </w:r>
      <w:r>
        <w:rPr>
          <w:rFonts w:hint="eastAsia" w:ascii="楷体" w:hAnsi="楷体" w:eastAsia="楷体" w:cs="楷体"/>
          <w:color w:val="000000"/>
          <w:sz w:val="32"/>
          <w:szCs w:val="32"/>
          <w:highlight w:val="none"/>
          <w:lang w:eastAsia="zh-CN"/>
        </w:rPr>
        <w:t>年度项目支出情况</w:t>
      </w:r>
    </w:p>
    <w:p w14:paraId="7E6B5827">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许昌市重点项目建设服务中心202</w:t>
      </w:r>
      <w:r>
        <w:rPr>
          <w:rFonts w:hint="eastAsia" w:ascii="仿宋_GB2312"/>
          <w:color w:val="000000"/>
          <w:sz w:val="32"/>
          <w:szCs w:val="32"/>
          <w:highlight w:val="none"/>
          <w:lang w:val="en-US" w:eastAsia="zh-CN"/>
        </w:rPr>
        <w:t>5</w:t>
      </w:r>
      <w:r>
        <w:rPr>
          <w:rFonts w:hint="eastAsia" w:ascii="仿宋_GB2312"/>
          <w:color w:val="000000"/>
          <w:sz w:val="32"/>
          <w:szCs w:val="32"/>
          <w:highlight w:val="none"/>
          <w:lang w:eastAsia="zh-CN"/>
        </w:rPr>
        <w:t>年度项目支出包括重点项目建设服务保障经费项目1个，总预算资金45万元。</w:t>
      </w:r>
      <w:r>
        <w:rPr>
          <w:rFonts w:hint="eastAsia" w:ascii="仿宋_GB2312"/>
          <w:color w:val="000000"/>
          <w:sz w:val="32"/>
          <w:szCs w:val="32"/>
          <w:highlight w:val="none"/>
          <w:lang w:val="en-US" w:eastAsia="zh-CN"/>
        </w:rPr>
        <w:t>该项目</w:t>
      </w:r>
      <w:r>
        <w:rPr>
          <w:rFonts w:hint="eastAsia" w:ascii="仿宋_GB2312"/>
          <w:color w:val="000000"/>
          <w:sz w:val="32"/>
          <w:szCs w:val="32"/>
          <w:highlight w:val="none"/>
          <w:lang w:eastAsia="zh-CN"/>
        </w:rPr>
        <w:t>绩效目标已按规定完成审核批复，明确了产出、效益、满意度等核心指标。202</w:t>
      </w:r>
      <w:r>
        <w:rPr>
          <w:rFonts w:hint="eastAsia" w:ascii="仿宋_GB2312"/>
          <w:color w:val="000000"/>
          <w:sz w:val="32"/>
          <w:szCs w:val="32"/>
          <w:highlight w:val="none"/>
          <w:lang w:val="en-US" w:eastAsia="zh-CN"/>
        </w:rPr>
        <w:t>5</w:t>
      </w:r>
      <w:r>
        <w:rPr>
          <w:rFonts w:hint="eastAsia" w:ascii="仿宋_GB2312"/>
          <w:color w:val="000000"/>
          <w:sz w:val="32"/>
          <w:szCs w:val="32"/>
          <w:highlight w:val="none"/>
          <w:lang w:eastAsia="zh-CN"/>
        </w:rPr>
        <w:t>年年末，该项目全年执行金额</w:t>
      </w:r>
      <w:r>
        <w:rPr>
          <w:rFonts w:hint="eastAsia" w:ascii="仿宋_GB2312"/>
          <w:color w:val="000000"/>
          <w:sz w:val="32"/>
          <w:szCs w:val="32"/>
          <w:highlight w:val="none"/>
          <w:lang w:val="en-US" w:eastAsia="zh-CN"/>
        </w:rPr>
        <w:t>17.71</w:t>
      </w:r>
      <w:r>
        <w:rPr>
          <w:rFonts w:hint="eastAsia" w:ascii="仿宋_GB2312"/>
          <w:color w:val="000000"/>
          <w:sz w:val="32"/>
          <w:szCs w:val="32"/>
          <w:highlight w:val="none"/>
          <w:lang w:eastAsia="zh-CN"/>
        </w:rPr>
        <w:t>万元，执行率</w:t>
      </w:r>
      <w:r>
        <w:rPr>
          <w:rFonts w:hint="eastAsia" w:ascii="仿宋_GB2312"/>
          <w:color w:val="000000"/>
          <w:sz w:val="32"/>
          <w:szCs w:val="32"/>
          <w:highlight w:val="none"/>
          <w:lang w:val="en-US" w:eastAsia="zh-CN"/>
        </w:rPr>
        <w:t>39.36</w:t>
      </w:r>
      <w:r>
        <w:rPr>
          <w:rFonts w:hint="eastAsia" w:ascii="仿宋_GB2312"/>
          <w:color w:val="000000"/>
          <w:sz w:val="32"/>
          <w:szCs w:val="32"/>
          <w:highlight w:val="none"/>
          <w:lang w:eastAsia="zh-CN"/>
        </w:rPr>
        <w:t>%，主要用于重点项目建设服务保障，具体</w:t>
      </w:r>
      <w:r>
        <w:rPr>
          <w:rFonts w:hint="eastAsia" w:ascii="仿宋_GB2312"/>
          <w:color w:val="000000"/>
          <w:sz w:val="32"/>
          <w:szCs w:val="32"/>
          <w:highlight w:val="none"/>
          <w:lang w:val="en-US" w:eastAsia="zh-CN"/>
        </w:rPr>
        <w:t>包括</w:t>
      </w:r>
      <w:r>
        <w:rPr>
          <w:rFonts w:hint="eastAsia" w:ascii="仿宋_GB2312"/>
          <w:color w:val="000000"/>
          <w:sz w:val="32"/>
          <w:szCs w:val="32"/>
          <w:highlight w:val="none"/>
          <w:lang w:eastAsia="zh-CN"/>
        </w:rPr>
        <w:t>重大项目谋划储备学习培训费、每月月度访查、集中督导服务、每季度全省重大项目</w:t>
      </w:r>
      <w:r>
        <w:rPr>
          <w:rFonts w:hint="eastAsia" w:ascii="仿宋_GB2312"/>
          <w:color w:val="000000"/>
          <w:sz w:val="32"/>
          <w:szCs w:val="32"/>
          <w:highlight w:val="none"/>
          <w:lang w:val="en-US" w:eastAsia="zh-CN"/>
        </w:rPr>
        <w:t>推进</w:t>
      </w:r>
      <w:r>
        <w:rPr>
          <w:rFonts w:hint="eastAsia" w:ascii="仿宋_GB2312"/>
          <w:color w:val="000000"/>
          <w:sz w:val="32"/>
          <w:szCs w:val="32"/>
          <w:highlight w:val="none"/>
          <w:lang w:eastAsia="zh-CN"/>
        </w:rPr>
        <w:t>活动等产生的办公、交通、差旅、印刷等会务组织费用。</w:t>
      </w:r>
    </w:p>
    <w:p w14:paraId="18DC17ED">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楷体" w:hAnsi="楷体" w:eastAsia="楷体" w:cs="楷体"/>
          <w:color w:val="000000"/>
          <w:sz w:val="32"/>
          <w:szCs w:val="32"/>
          <w:highlight w:val="none"/>
          <w:lang w:val="en-US" w:eastAsia="zh-CN"/>
        </w:rPr>
      </w:pPr>
      <w:r>
        <w:rPr>
          <w:rFonts w:hint="eastAsia" w:ascii="楷体" w:hAnsi="楷体" w:eastAsia="楷体" w:cs="楷体"/>
          <w:color w:val="000000"/>
          <w:sz w:val="32"/>
          <w:szCs w:val="32"/>
          <w:highlight w:val="none"/>
          <w:lang w:eastAsia="zh-CN"/>
        </w:rPr>
        <w:t>（四）年度本单位整体支出绩效自评得分总结。</w:t>
      </w:r>
    </w:p>
    <w:p w14:paraId="1B4B6558">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根据2025年度整体支出绩效自评工作结果，本单位绩效评价综合得分为99.12分（满分100分）。预算执行方面，全年批复预算467.84万元，实际支出426.78万元，预算执行率91.22%。2025年，市重点项目建设服务中心认真学习贯彻党的二十届三中、四中全会精神，锚定“两融五城四跃升”发展目标，牢固树立“项目为王”理念，全力以赴抓项目、促投资、稳增长，推动了全市重点项目建设顺利开展。</w:t>
      </w:r>
    </w:p>
    <w:p w14:paraId="7482F993">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08E1485A">
      <w:pPr>
        <w:pStyle w:val="11"/>
        <w:ind w:firstLine="640" w:firstLineChars="200"/>
        <w:rPr>
          <w:rFonts w:ascii="仿宋_GB2312"/>
          <w:color w:val="000000"/>
          <w:sz w:val="32"/>
          <w:szCs w:val="32"/>
          <w:highlight w:val="none"/>
        </w:rPr>
      </w:pPr>
      <w:r>
        <w:rPr>
          <w:rFonts w:hint="eastAsia" w:ascii="仿宋_GB2312"/>
          <w:color w:val="000000"/>
          <w:sz w:val="32"/>
          <w:szCs w:val="32"/>
          <w:highlight w:val="none"/>
        </w:rPr>
        <w:t>2025年度绩效自评工作</w:t>
      </w:r>
      <w:r>
        <w:rPr>
          <w:rFonts w:hint="eastAsia" w:ascii="仿宋_GB2312" w:eastAsia="仿宋_GB2312"/>
          <w:sz w:val="32"/>
          <w:szCs w:val="32"/>
          <w:lang w:val="en-US" w:eastAsia="zh-CN"/>
        </w:rPr>
        <w:t>由综合信息科牵头实施，各业务科室协同配合，对2025年度部门整体预算</w:t>
      </w:r>
      <w:r>
        <w:rPr>
          <w:rFonts w:hint="eastAsia" w:ascii="仿宋_GB2312"/>
          <w:sz w:val="32"/>
          <w:szCs w:val="32"/>
          <w:lang w:val="en-US" w:eastAsia="zh-CN"/>
        </w:rPr>
        <w:t>支出</w:t>
      </w:r>
      <w:r>
        <w:rPr>
          <w:rFonts w:hint="eastAsia" w:ascii="仿宋_GB2312" w:eastAsia="仿宋_GB2312"/>
          <w:sz w:val="32"/>
          <w:szCs w:val="32"/>
          <w:lang w:val="en-US" w:eastAsia="zh-CN"/>
        </w:rPr>
        <w:t>及45万元项目支出实施</w:t>
      </w:r>
      <w:r>
        <w:rPr>
          <w:rFonts w:hint="eastAsia" w:ascii="仿宋_GB2312"/>
          <w:color w:val="000000"/>
          <w:sz w:val="32"/>
          <w:szCs w:val="32"/>
          <w:highlight w:val="none"/>
        </w:rPr>
        <w:t>绩效自评全覆盖。自评</w:t>
      </w:r>
      <w:r>
        <w:rPr>
          <w:rFonts w:hint="eastAsia" w:ascii="仿宋_GB2312"/>
          <w:color w:val="000000"/>
          <w:sz w:val="32"/>
          <w:szCs w:val="32"/>
          <w:highlight w:val="none"/>
          <w:lang w:val="en-US" w:eastAsia="zh-CN"/>
        </w:rPr>
        <w:t>过程中</w:t>
      </w:r>
      <w:r>
        <w:rPr>
          <w:rFonts w:hint="eastAsia" w:ascii="仿宋_GB2312"/>
          <w:color w:val="000000"/>
          <w:sz w:val="32"/>
          <w:szCs w:val="32"/>
          <w:highlight w:val="none"/>
        </w:rPr>
        <w:t>严格遵循“谁支出、谁自评”原则，明确责任分工，按照前期部署、数据收集、分析评价、报告撰写等阶段有序推进。评价基础数据主要来源于年度预算批复文件、项目支出明细账、资金支付凭证、年度工作总结、重点项目调度台账、各类活动开展情况统计表、培训签到记录、满意度调查问卷等佐证材料。数据收集过程中，全面梳理相关档案，确保数据来源真实可靠、依据充分。同时，结合年度内开展的现场督导服务，对部分重点项目进行了实地勘验核查，核实项目实际进展与资金使用效益，通过现场查阅项目资料、与项目单位座谈等方式，验证绩效目标完成情况的真实性、准确性，为客观公正开展绩效自评奠定了坚实基础。</w:t>
      </w:r>
    </w:p>
    <w:p w14:paraId="3CC53DAC">
      <w:pPr>
        <w:pStyle w:val="11"/>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61FD0976">
      <w:pPr>
        <w:pStyle w:val="11"/>
        <w:ind w:firstLine="640" w:firstLineChars="200"/>
        <w:rPr>
          <w:rFonts w:hint="eastAsia" w:ascii="楷体" w:hAnsi="楷体" w:eastAsia="楷体" w:cs="楷体"/>
          <w:b w:val="0"/>
          <w:bCs/>
          <w:sz w:val="32"/>
          <w:szCs w:val="32"/>
          <w:highlight w:val="none"/>
        </w:rPr>
      </w:pPr>
      <w:r>
        <w:rPr>
          <w:rFonts w:hint="eastAsia" w:ascii="楷体" w:hAnsi="楷体" w:eastAsia="楷体" w:cs="楷体"/>
          <w:b w:val="0"/>
          <w:bCs/>
          <w:sz w:val="32"/>
          <w:szCs w:val="32"/>
          <w:highlight w:val="none"/>
          <w:lang w:eastAsia="zh-CN"/>
        </w:rPr>
        <w:t>（一）单位整体自评</w:t>
      </w:r>
      <w:r>
        <w:rPr>
          <w:rFonts w:hint="eastAsia" w:ascii="楷体" w:hAnsi="楷体" w:eastAsia="楷体" w:cs="楷体"/>
          <w:b w:val="0"/>
          <w:bCs/>
          <w:sz w:val="32"/>
          <w:szCs w:val="32"/>
          <w:highlight w:val="none"/>
        </w:rPr>
        <w:t>得分和各项指标得分情况简要分析</w:t>
      </w:r>
    </w:p>
    <w:p w14:paraId="3D5E7758">
      <w:pPr>
        <w:pStyle w:val="11"/>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）单位</w:t>
      </w:r>
      <w:r>
        <w:rPr>
          <w:rFonts w:hint="eastAsia" w:ascii="仿宋_GB2312"/>
          <w:b/>
          <w:bCs/>
          <w:sz w:val="32"/>
          <w:szCs w:val="32"/>
          <w:highlight w:val="none"/>
        </w:rPr>
        <w:t>资金情况分析</w:t>
      </w:r>
    </w:p>
    <w:p w14:paraId="2C9ABEF3">
      <w:pPr>
        <w:pStyle w:val="11"/>
        <w:ind w:firstLine="640" w:firstLineChars="200"/>
        <w:rPr>
          <w:rFonts w:hint="eastAsia" w:ascii="仿宋_GB2312"/>
          <w:sz w:val="32"/>
          <w:szCs w:val="32"/>
          <w:highlight w:val="none"/>
        </w:rPr>
      </w:pPr>
      <w:r>
        <w:rPr>
          <w:rFonts w:hint="eastAsia" w:ascii="仿宋_GB2312"/>
          <w:sz w:val="32"/>
          <w:szCs w:val="32"/>
          <w:highlight w:val="none"/>
        </w:rPr>
        <w:t>资金到位情况分析、资金执行情况分析、资金管理情况分析等。</w:t>
      </w:r>
    </w:p>
    <w:p w14:paraId="07FEE34F">
      <w:pPr>
        <w:pStyle w:val="11"/>
        <w:ind w:firstLine="640" w:firstLineChars="200"/>
        <w:rPr>
          <w:rFonts w:hint="eastAsia" w:ascii="仿宋_GB2312"/>
          <w:sz w:val="32"/>
          <w:szCs w:val="32"/>
          <w:highlight w:val="none"/>
        </w:rPr>
      </w:pPr>
      <w:r>
        <w:rPr>
          <w:rFonts w:hint="eastAsia" w:ascii="仿宋_GB2312"/>
          <w:sz w:val="32"/>
          <w:szCs w:val="32"/>
          <w:highlight w:val="none"/>
        </w:rPr>
        <w:t>2025年，</w:t>
      </w:r>
      <w:r>
        <w:rPr>
          <w:rFonts w:hint="eastAsia" w:ascii="仿宋_GB2312"/>
          <w:sz w:val="32"/>
          <w:szCs w:val="32"/>
          <w:highlight w:val="none"/>
          <w:lang w:val="en-US" w:eastAsia="zh-CN"/>
        </w:rPr>
        <w:t>我</w:t>
      </w:r>
      <w:r>
        <w:rPr>
          <w:rFonts w:hint="eastAsia" w:ascii="仿宋_GB2312"/>
          <w:sz w:val="32"/>
          <w:szCs w:val="32"/>
          <w:highlight w:val="none"/>
        </w:rPr>
        <w:t>单位整体支出资金管理规范，运行平稳。资金到位方面，全年批复预算467.84万元，实际到位资金与批复一致，资金保障及时充分。资金执行方面，全年实际支出426.78万元，预算执行率91.22%，整体执行情况良好。其中，基本支出369.36万元按序时进度稳步支出，有效保障了机构正常运转；项目支出“重点项目建设服务保障工作经费”全年预算45万元，实际支出17.71万元，执行率39.36%，主要受厉行节约、部分培训活动整合等因素影响，资金使用聚焦关键环节。资金管理方面，严格执行财政资金管理规定，支出范围符合预算批复用途，审批程序规范，资金支付合规，会计核算清晰准确，未发生违规使用资金现象。</w:t>
      </w:r>
    </w:p>
    <w:p w14:paraId="35A4E8DE">
      <w:pPr>
        <w:pStyle w:val="11"/>
        <w:ind w:firstLine="643" w:firstLineChars="200"/>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）单位绩效指标完成情况分析</w:t>
      </w:r>
    </w:p>
    <w:p w14:paraId="46C85D2E">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rPr>
        <w:fldChar w:fldCharType="begin"/>
      </w:r>
      <w:r>
        <w:rPr>
          <w:rFonts w:hint="eastAsia" w:ascii="仿宋_GB2312"/>
          <w:sz w:val="32"/>
          <w:szCs w:val="32"/>
          <w:highlight w:val="none"/>
        </w:rPr>
        <w:instrText xml:space="preserve"> = 1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1 \</w:t>
      </w:r>
      <w:r>
        <w:rPr>
          <w:rFonts w:hint="eastAsia" w:ascii="仿宋_GB2312"/>
          <w:sz w:val="32"/>
          <w:szCs w:val="32"/>
          <w:highlight w:val="none"/>
        </w:rPr>
        <w:fldChar w:fldCharType="end"/>
      </w:r>
      <w:r>
        <w:rPr>
          <w:rFonts w:hint="eastAsia" w:ascii="仿宋_GB2312"/>
          <w:sz w:val="32"/>
          <w:szCs w:val="32"/>
          <w:highlight w:val="none"/>
        </w:rPr>
        <w:t>投入管理指标完成情况分析（分值30分，得分30分）</w:t>
      </w:r>
    </w:p>
    <w:p w14:paraId="3712AB07">
      <w:pPr>
        <w:pStyle w:val="11"/>
        <w:ind w:firstLine="640" w:firstLineChars="200"/>
        <w:rPr>
          <w:rFonts w:hint="eastAsia" w:ascii="仿宋_GB2312"/>
          <w:sz w:val="32"/>
          <w:szCs w:val="32"/>
          <w:highlight w:val="none"/>
        </w:rPr>
      </w:pPr>
      <w:r>
        <w:rPr>
          <w:rFonts w:hint="eastAsia" w:ascii="仿宋_GB2312"/>
          <w:sz w:val="32"/>
          <w:szCs w:val="32"/>
          <w:highlight w:val="none"/>
        </w:rPr>
        <w:t>工作目标管理方面，年度履职目标与部门职责高度相关，工作任务设置科学合理，绩效指标明确可衡量，三项指标均达到预期，得分5分</w:t>
      </w:r>
      <w:r>
        <w:rPr>
          <w:rFonts w:hint="eastAsia" w:ascii="仿宋_GB2312"/>
          <w:sz w:val="32"/>
          <w:szCs w:val="32"/>
          <w:highlight w:val="none"/>
          <w:lang w:eastAsia="zh-CN"/>
        </w:rPr>
        <w:t>；</w:t>
      </w:r>
      <w:r>
        <w:rPr>
          <w:rFonts w:hint="eastAsia" w:ascii="仿宋_GB2312"/>
          <w:sz w:val="32"/>
          <w:szCs w:val="32"/>
          <w:highlight w:val="none"/>
        </w:rPr>
        <w:t>预算和财务管理方面，预算编制完整、专项资金细化率100%、预算调整率为0、结转结余率为0、</w:t>
      </w:r>
      <w:r>
        <w:rPr>
          <w:rFonts w:hint="eastAsia" w:ascii="仿宋_GB2312"/>
          <w:sz w:val="32"/>
          <w:szCs w:val="32"/>
          <w:highlight w:val="none"/>
          <w:lang w:eastAsia="zh-CN"/>
        </w:rPr>
        <w:t>“三公”经费</w:t>
      </w:r>
      <w:r>
        <w:rPr>
          <w:rFonts w:hint="eastAsia" w:ascii="仿宋_GB2312"/>
          <w:sz w:val="32"/>
          <w:szCs w:val="32"/>
          <w:highlight w:val="none"/>
        </w:rPr>
        <w:t>控制率为0、政府采购执行率100%、决算真实、资金使用合规、管理制度健全、预决算信息及时公开、资产管理规范，各项指标均完成目标，得分15分</w:t>
      </w:r>
      <w:r>
        <w:rPr>
          <w:rFonts w:hint="eastAsia" w:ascii="仿宋_GB2312"/>
          <w:sz w:val="32"/>
          <w:szCs w:val="32"/>
          <w:highlight w:val="none"/>
          <w:lang w:eastAsia="zh-CN"/>
        </w:rPr>
        <w:t>；</w:t>
      </w:r>
      <w:r>
        <w:rPr>
          <w:rFonts w:hint="eastAsia" w:ascii="仿宋_GB2312"/>
          <w:sz w:val="32"/>
          <w:szCs w:val="32"/>
          <w:highlight w:val="none"/>
        </w:rPr>
        <w:t>绩效管理方面，绩效监控完成率、绩效自评完成率、部门绩效评价完成率、评价结果应用率均为100%，得分4分。投入管理指标合计得分30分，表明单位在预算编制、财务管理和绩效管理方面制度健全、执行规范。</w:t>
      </w:r>
    </w:p>
    <w:p w14:paraId="41EDB380">
      <w:pPr>
        <w:pStyle w:val="11"/>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2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2 \</w:t>
      </w:r>
      <w:r>
        <w:rPr>
          <w:rFonts w:hint="eastAsia" w:ascii="仿宋_GB2312"/>
          <w:sz w:val="32"/>
          <w:szCs w:val="32"/>
          <w:highlight w:val="none"/>
        </w:rPr>
        <w:fldChar w:fldCharType="end"/>
      </w:r>
      <w:r>
        <w:rPr>
          <w:rFonts w:hint="eastAsia" w:ascii="仿宋_GB2312"/>
          <w:sz w:val="32"/>
          <w:szCs w:val="32"/>
          <w:highlight w:val="none"/>
        </w:rPr>
        <w:t>产出指标完成情况分析（分值25分，得分25分）</w:t>
      </w:r>
    </w:p>
    <w:p w14:paraId="402FE6CA">
      <w:pPr>
        <w:pStyle w:val="11"/>
        <w:ind w:firstLine="640" w:firstLineChars="200"/>
        <w:rPr>
          <w:rFonts w:hint="eastAsia" w:ascii="仿宋_GB2312"/>
          <w:sz w:val="32"/>
          <w:szCs w:val="32"/>
          <w:highlight w:val="none"/>
        </w:rPr>
      </w:pPr>
      <w:r>
        <w:rPr>
          <w:rFonts w:hint="eastAsia" w:ascii="仿宋_GB2312"/>
          <w:sz w:val="32"/>
          <w:szCs w:val="32"/>
          <w:highlight w:val="none"/>
        </w:rPr>
        <w:t>重点工作任务完成方面</w:t>
      </w:r>
      <w:r>
        <w:rPr>
          <w:rFonts w:hint="eastAsia" w:ascii="仿宋_GB2312"/>
          <w:sz w:val="32"/>
          <w:szCs w:val="32"/>
          <w:highlight w:val="none"/>
          <w:lang w:eastAsia="zh-CN"/>
        </w:rPr>
        <w:t>，</w:t>
      </w:r>
      <w:r>
        <w:rPr>
          <w:rFonts w:hint="eastAsia" w:ascii="仿宋_GB2312"/>
          <w:sz w:val="32"/>
          <w:szCs w:val="32"/>
          <w:highlight w:val="none"/>
        </w:rPr>
        <w:t>“突出3个重点”“强化5项保障”“聚焦6大领域项目”“坚持7项机制”四项年度主要任务均全面完成，各项指标得分5分，合计20分。具体完成情况：省市重点项目超额完成年度建设目标，成功举办多期“三个一批”活动，构建常态化项目谋划储备机制；手续、组织、要素、环境、业务能力五项保障全面强化；六大领域项目建设扎实推进；七项推进机制持续深化并有效运行。</w:t>
      </w:r>
    </w:p>
    <w:p w14:paraId="5D058B11">
      <w:pPr>
        <w:pStyle w:val="11"/>
        <w:ind w:firstLine="640" w:firstLineChars="200"/>
        <w:rPr>
          <w:rFonts w:hint="eastAsia" w:ascii="仿宋_GB2312"/>
          <w:sz w:val="32"/>
          <w:szCs w:val="32"/>
          <w:highlight w:val="none"/>
        </w:rPr>
      </w:pPr>
      <w:r>
        <w:rPr>
          <w:rFonts w:hint="eastAsia" w:ascii="仿宋_GB2312"/>
          <w:sz w:val="32"/>
          <w:szCs w:val="32"/>
          <w:highlight w:val="none"/>
        </w:rPr>
        <w:t>履职目标实现方面，履职目标实现率100%，得分5分。通过强化项目协调服务、创新调度管理、深化要素保障，重点项目固定资产投资增长5.4%，有效支撑了全市经济平稳运行。</w:t>
      </w:r>
    </w:p>
    <w:p w14:paraId="64FC4852">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rPr>
        <w:fldChar w:fldCharType="begin"/>
      </w:r>
      <w:r>
        <w:rPr>
          <w:rFonts w:hint="eastAsia" w:ascii="仿宋_GB2312"/>
          <w:sz w:val="32"/>
          <w:szCs w:val="32"/>
          <w:highlight w:val="none"/>
        </w:rPr>
        <w:instrText xml:space="preserve"> = 3 \* GB3 \* MERGEFORMAT </w:instrText>
      </w:r>
      <w:r>
        <w:rPr>
          <w:rFonts w:hint="eastAsia" w:ascii="仿宋_GB2312"/>
          <w:sz w:val="32"/>
          <w:szCs w:val="32"/>
          <w:highlight w:val="none"/>
        </w:rPr>
        <w:fldChar w:fldCharType="separate"/>
      </w:r>
      <w:r>
        <w:rPr>
          <w:rFonts w:hint="eastAsia" w:ascii="仿宋_GB2312"/>
          <w:sz w:val="32"/>
          <w:szCs w:val="32"/>
          <w:highlight w:val="none"/>
        </w:rPr>
        <w:t>!Undefined Bookmark, 3 \</w:t>
      </w:r>
      <w:r>
        <w:rPr>
          <w:rFonts w:hint="eastAsia" w:ascii="仿宋_GB2312"/>
          <w:sz w:val="32"/>
          <w:szCs w:val="32"/>
          <w:highlight w:val="none"/>
        </w:rPr>
        <w:fldChar w:fldCharType="end"/>
      </w:r>
      <w:r>
        <w:rPr>
          <w:rFonts w:hint="eastAsia" w:ascii="仿宋_GB2312"/>
          <w:sz w:val="32"/>
          <w:szCs w:val="32"/>
          <w:highlight w:val="none"/>
        </w:rPr>
        <w:t>效益指标完成情况分析（分值35分，得分35分）</w:t>
      </w:r>
    </w:p>
    <w:p w14:paraId="6CF3C2C8">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lang w:val="en-US" w:eastAsia="zh-CN"/>
        </w:rPr>
        <w:t>履职效益方面，通过实施本项目，有效推动了全市经济社会平稳健康发展，经济效益指标重点项目固定资产投资增长5.4%，社会效益指标达到“有效促进”水平，得分20分。满意度方面，项目建设单位满意度达98%，高于96%的年度目标，得分15分。说明项目建设服务保障工作得到了服务对象的广泛认可。</w:t>
      </w:r>
    </w:p>
    <w:p w14:paraId="660D2BAC">
      <w:pPr>
        <w:pStyle w:val="11"/>
        <w:ind w:firstLine="640" w:firstLineChars="200"/>
        <w:rPr>
          <w:rFonts w:hint="eastAsia" w:ascii="楷体" w:hAnsi="楷体" w:eastAsia="楷体" w:cs="楷体"/>
          <w:b w:val="0"/>
          <w:bCs/>
          <w:sz w:val="32"/>
          <w:szCs w:val="32"/>
          <w:highlight w:val="none"/>
          <w:lang w:eastAsia="zh-CN"/>
        </w:rPr>
      </w:pPr>
      <w:r>
        <w:rPr>
          <w:rFonts w:hint="eastAsia" w:ascii="楷体" w:hAnsi="楷体" w:eastAsia="楷体" w:cs="楷体"/>
          <w:b w:val="0"/>
          <w:bCs/>
          <w:sz w:val="32"/>
          <w:szCs w:val="32"/>
          <w:highlight w:val="none"/>
          <w:lang w:eastAsia="zh-CN"/>
        </w:rPr>
        <w:t>（二）单位项目支出自评结果及分析</w:t>
      </w:r>
    </w:p>
    <w:p w14:paraId="2729B435">
      <w:pPr>
        <w:pStyle w:val="11"/>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（1）单位项目自评总体情况</w:t>
      </w:r>
    </w:p>
    <w:p w14:paraId="594174E5">
      <w:pPr>
        <w:pStyle w:val="11"/>
        <w:ind w:firstLine="640" w:firstLineChars="200"/>
        <w:rPr>
          <w:rFonts w:ascii="仿宋_GB2312"/>
          <w:b w:val="0"/>
          <w:bCs w:val="0"/>
          <w:sz w:val="32"/>
          <w:szCs w:val="32"/>
          <w:highlight w:val="none"/>
          <w:lang w:val="en-US" w:eastAsia="zh-CN"/>
        </w:rPr>
      </w:pPr>
      <w:r>
        <w:rPr>
          <w:rFonts w:hint="eastAsia" w:ascii="仿宋_GB2312"/>
          <w:b w:val="0"/>
          <w:bCs w:val="0"/>
          <w:sz w:val="32"/>
          <w:szCs w:val="32"/>
          <w:highlight w:val="none"/>
          <w:lang w:val="en-US" w:eastAsia="zh-CN"/>
        </w:rPr>
        <w:t>2025年，本单位纳入绩效自评范围的项目支出为“重点项目建设服务保障工作经费”1项，项目预算总额45万元，实际支出17.71万元，预算执行率39.36%。按照财政部门要求，对照项目年度绩效目标，从成本指标、产出指标、效益指标、满意度指标四个维度进行了全面自评，项目自评综合得分91.89分（满分100分）。总体来看，项目在保障重点项目建设服务、协调解决问题、推动项目进展等方面发挥了积极作用，除培训频次指标受经费压减影响未完全达标外，其余各项指标均完成年度目标，资金使用效益得到较好体现。</w:t>
      </w:r>
    </w:p>
    <w:p w14:paraId="3817355F">
      <w:pPr>
        <w:pStyle w:val="11"/>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p>
    <w:p w14:paraId="24724F3E">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自评分数情况：</w:t>
      </w:r>
      <w:r>
        <w:rPr>
          <w:rFonts w:hint="eastAsia" w:ascii="仿宋_GB2312"/>
          <w:sz w:val="32"/>
          <w:szCs w:val="32"/>
          <w:highlight w:val="none"/>
          <w:lang w:val="en-US" w:eastAsia="zh-CN"/>
        </w:rPr>
        <w:t>2024年我中心共有1个项目，自评分数93.75，评价等级“优”</w:t>
      </w:r>
      <w:r>
        <w:rPr>
          <w:rFonts w:hint="eastAsia" w:ascii="仿宋_GB2312"/>
          <w:sz w:val="32"/>
          <w:szCs w:val="32"/>
          <w:highlight w:val="none"/>
          <w:lang w:eastAsia="zh-CN"/>
        </w:rPr>
        <w:t>。</w:t>
      </w:r>
    </w:p>
    <w:p w14:paraId="350AD58F">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绩效目标指标完成情况：项目共设置三级指标11项，其中完成年度指标值的指标9项，指标完成率为81.8%；未完成指标</w:t>
      </w:r>
      <w:r>
        <w:rPr>
          <w:rFonts w:hint="eastAsia" w:ascii="仿宋_GB2312"/>
          <w:sz w:val="32"/>
          <w:szCs w:val="32"/>
          <w:highlight w:val="none"/>
          <w:lang w:val="en-US" w:eastAsia="zh-CN"/>
        </w:rPr>
        <w:t>1</w:t>
      </w:r>
      <w:r>
        <w:rPr>
          <w:rFonts w:hint="eastAsia" w:ascii="仿宋_GB2312"/>
          <w:sz w:val="32"/>
          <w:szCs w:val="32"/>
          <w:highlight w:val="none"/>
          <w:lang w:eastAsia="zh-CN"/>
        </w:rPr>
        <w:t>项，</w:t>
      </w:r>
      <w:r>
        <w:rPr>
          <w:rFonts w:hint="eastAsia" w:ascii="仿宋_GB2312"/>
          <w:sz w:val="32"/>
          <w:szCs w:val="32"/>
          <w:highlight w:val="none"/>
          <w:lang w:val="en-US" w:eastAsia="zh-CN"/>
        </w:rPr>
        <w:t>具体</w:t>
      </w:r>
      <w:r>
        <w:rPr>
          <w:rFonts w:hint="eastAsia" w:ascii="仿宋_GB2312"/>
          <w:sz w:val="32"/>
          <w:szCs w:val="32"/>
          <w:highlight w:val="none"/>
          <w:lang w:eastAsia="zh-CN"/>
        </w:rPr>
        <w:t>为“组织培训次数”（年度指标值≥2次，实际完成1次，偏差率-50%）。从指标类型看，数量指标中“规划市重点项目个数”超额完成（398个，超年度目标37.2%），其他活动频次类指标基本完成；质量指标（督导服务完成率96%、培训合格率98%、学习培训覆盖率100%）、经济效益指标（重点项目固定资产投资增长5.4%）、社会效益指标（有效促进）、满意度指标（98%）均达到或超过年度目标值。</w:t>
      </w:r>
    </w:p>
    <w:p w14:paraId="5834C5A4">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预算执行率情况：项目预算执行率为39.36%，低于单位整体预算执行率（91.22%）51.86个百分点。主要原因是项目支出坚持“按需支出、厉行节约”原则，部分计划活动通过资源整合压减了支出规模，同时培训频次由两次调整为一次，相应减少了经费开支。</w:t>
      </w:r>
    </w:p>
    <w:p w14:paraId="35035F24">
      <w:pPr>
        <w:pStyle w:val="11"/>
        <w:ind w:firstLine="643" w:firstLineChars="200"/>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1269683A">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val="en-US" w:eastAsia="zh-CN"/>
        </w:rPr>
        <w:t>1）</w:t>
      </w:r>
      <w:r>
        <w:rPr>
          <w:rFonts w:hint="eastAsia" w:ascii="仿宋_GB2312"/>
          <w:sz w:val="32"/>
          <w:szCs w:val="32"/>
          <w:highlight w:val="none"/>
          <w:lang w:eastAsia="zh-CN"/>
        </w:rPr>
        <w:t>组织培训次数年度指标值≥2次，实际完成1次，</w:t>
      </w:r>
      <w:r>
        <w:rPr>
          <w:rFonts w:hint="eastAsia" w:ascii="仿宋_GB2312"/>
          <w:sz w:val="32"/>
          <w:szCs w:val="32"/>
          <w:highlight w:val="none"/>
          <w:lang w:val="en-US" w:eastAsia="zh-CN"/>
        </w:rPr>
        <w:t>低于年度目标</w:t>
      </w:r>
      <w:r>
        <w:rPr>
          <w:rFonts w:hint="eastAsia" w:ascii="仿宋_GB2312"/>
          <w:sz w:val="32"/>
          <w:szCs w:val="32"/>
          <w:highlight w:val="none"/>
          <w:lang w:eastAsia="zh-CN"/>
        </w:rPr>
        <w:t>-50%：</w:t>
      </w:r>
    </w:p>
    <w:p w14:paraId="3F494E96">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lang w:val="en-US" w:eastAsia="zh-CN"/>
        </w:rPr>
        <w:t>出现偏差的原因：年度内财政资金整体趋紧，单位主动压减非刚性、非急需支出，原计划开展的两次培训调整为一次，培训频次未达年度指标。</w:t>
      </w:r>
    </w:p>
    <w:p w14:paraId="5313672F">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lang w:val="en-US" w:eastAsia="zh-CN"/>
        </w:rPr>
        <w:t>整改措施：通过探索“线上+线下”相结合的培训模式，在保证培训效果的前提下提高培训效率，降低培训成本。</w:t>
      </w:r>
    </w:p>
    <w:p w14:paraId="080F8AAD">
      <w:pPr>
        <w:pStyle w:val="11"/>
        <w:numPr>
          <w:ilvl w:val="0"/>
          <w:numId w:val="2"/>
        </w:numPr>
        <w:ind w:firstLine="640" w:firstLineChars="200"/>
        <w:rPr>
          <w:rFonts w:hint="eastAsia" w:ascii="仿宋_GB2312"/>
          <w:sz w:val="32"/>
          <w:szCs w:val="32"/>
          <w:highlight w:val="none"/>
          <w:lang w:val="en-US" w:eastAsia="zh-CN"/>
        </w:rPr>
      </w:pPr>
      <w:r>
        <w:rPr>
          <w:rFonts w:hint="eastAsia" w:ascii="仿宋_GB2312"/>
          <w:sz w:val="32"/>
          <w:szCs w:val="32"/>
          <w:highlight w:val="none"/>
          <w:lang w:val="en-US" w:eastAsia="zh-CN"/>
        </w:rPr>
        <w:t>规划市重点项目个数年度指标值≥290个，实际完成398个，超出年度目标37.2%。</w:t>
      </w:r>
    </w:p>
    <w:p w14:paraId="797BB4B6">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出现偏差的原因：年初设定年度目标时，充分考虑了项目谋划的不确定性，目标值相对保守，实际工作中通过机制创新和工作攻坚，实现了超预期增长。</w:t>
      </w:r>
    </w:p>
    <w:p w14:paraId="37A36CB7">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整改措施：下一年度在设定指标时，结合往年完成情况和年度工作安排，科学合理确定目标值，使指标既具有挑战性又符合实际，避免因指标设定偏低导致偏差率过大。</w:t>
      </w:r>
    </w:p>
    <w:p w14:paraId="14B8A155">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5A31DEAA">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Cs/>
          <w:sz w:val="32"/>
          <w:szCs w:val="32"/>
          <w:highlight w:val="none"/>
        </w:rPr>
      </w:pPr>
      <w:r>
        <w:rPr>
          <w:rFonts w:hint="eastAsia" w:ascii="楷体" w:hAnsi="楷体" w:eastAsia="楷体" w:cs="楷体"/>
          <w:bCs/>
          <w:sz w:val="32"/>
          <w:szCs w:val="32"/>
          <w:highlight w:val="none"/>
        </w:rPr>
        <w:t>（一）绩效目标完成方面</w:t>
      </w:r>
    </w:p>
    <w:p w14:paraId="477F1224">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存在问题：一是“组织培训次数”未完成年度目标（≥2次，实际1次，），主要因经费压减及工作统筹影响，培训整合为一期；二是“规划市重点项目个数”超额完成（≥290个，实际398个），主要因工作机制创新成效显著，同时年初指标设定相对保守。</w:t>
      </w:r>
    </w:p>
    <w:p w14:paraId="79C28E4C">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改进措施：下一年度将科学设定绩效指标，结合历史完成情况和年度安排合理确定目标值；优化培训方式，探索“线上+线下”模式，确保培训频次达标；建立动态监控机制，对超额完成指标及时沟通调整，确保绩效管理精准反映工作实际。</w:t>
      </w:r>
    </w:p>
    <w:p w14:paraId="65E511C4">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Cs/>
          <w:sz w:val="32"/>
          <w:szCs w:val="32"/>
          <w:highlight w:val="none"/>
        </w:rPr>
      </w:pPr>
      <w:r>
        <w:rPr>
          <w:rFonts w:hint="eastAsia" w:ascii="楷体" w:hAnsi="楷体" w:eastAsia="楷体" w:cs="楷体"/>
          <w:bCs/>
          <w:sz w:val="32"/>
          <w:szCs w:val="32"/>
          <w:highlight w:val="none"/>
        </w:rPr>
        <w:t>（二）预算执行方面</w:t>
      </w:r>
    </w:p>
    <w:p w14:paraId="3F241DA6">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存在问题：项目支出预算执行率39.36%，低于整体执行率51.86个百分点。主要因坚持厉行节约压减支出，部分活动资源整合，同时预算编制时经费测算偏大。</w:t>
      </w:r>
    </w:p>
    <w:p w14:paraId="59069D6C">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仿宋_GB2312" w:hAnsi="仿宋_GB2312" w:eastAsia="仿宋_GB2312" w:cs="仿宋_GB2312"/>
          <w:bCs/>
          <w:sz w:val="32"/>
          <w:szCs w:val="32"/>
          <w:highlight w:val="none"/>
        </w:rPr>
        <w:t>改进措施：下一年度将科学测算经费需求，提高预算编制精细化水平；建立预算执行动态监控机制，对执行偏慢项目及时预警；适度预留弹性空间，在厉行节约前提下保障各项工作顺利开展。</w:t>
      </w:r>
    </w:p>
    <w:p w14:paraId="571387A2">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lang w:val="en-US" w:eastAsia="zh-CN"/>
        </w:rPr>
        <w:t>五、</w:t>
      </w:r>
      <w:r>
        <w:rPr>
          <w:rFonts w:hint="eastAsia" w:ascii="黑体" w:hAnsi="黑体" w:eastAsia="黑体" w:cs="黑体"/>
          <w:bCs/>
          <w:sz w:val="32"/>
          <w:szCs w:val="32"/>
          <w:highlight w:val="none"/>
        </w:rPr>
        <w:t>绩效自评结果拟应用和公开情况</w:t>
      </w:r>
    </w:p>
    <w:p w14:paraId="1F46B479">
      <w:pPr>
        <w:pStyle w:val="11"/>
        <w:keepNext w:val="0"/>
        <w:keepLines w:val="0"/>
        <w:pageBreakBefore w:val="0"/>
        <w:widowControl w:val="0"/>
        <w:numPr>
          <w:ilvl w:val="0"/>
          <w:numId w:val="0"/>
        </w:numPr>
        <w:kinsoku/>
        <w:overflowPunct/>
        <w:topLinePunct w:val="0"/>
        <w:autoSpaceDE/>
        <w:autoSpaceDN/>
        <w:bidi w:val="0"/>
        <w:spacing w:line="560" w:lineRule="exact"/>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rPr>
        <w:t>针对自评发现的问题，我单位将强化结果反馈与整改落实，并将评价结果与下一年度预算安排挂钩，对绩效完成好的项目优先保障</w:t>
      </w:r>
      <w:r>
        <w:rPr>
          <w:rFonts w:hint="eastAsia" w:ascii="仿宋_GB2312" w:hAnsi="仿宋_GB2312" w:cs="仿宋_GB2312"/>
          <w:bCs/>
          <w:sz w:val="32"/>
          <w:szCs w:val="32"/>
          <w:highlight w:val="none"/>
          <w:lang w:eastAsia="zh-CN"/>
        </w:rPr>
        <w:t>，</w:t>
      </w:r>
      <w:r>
        <w:rPr>
          <w:rFonts w:hint="eastAsia" w:ascii="仿宋_GB2312" w:hAnsi="仿宋_GB2312" w:eastAsia="仿宋_GB2312" w:cs="仿宋_GB2312"/>
          <w:bCs/>
          <w:sz w:val="32"/>
          <w:szCs w:val="32"/>
          <w:highlight w:val="none"/>
        </w:rPr>
        <w:t>对执行率偏低的项目压减优化，同时完善绩效管理制度机制，推动绩效管理向全过程管控转变；在公开方面，将严格按照规定时限和格式，</w:t>
      </w:r>
      <w:r>
        <w:rPr>
          <w:rFonts w:hint="eastAsia" w:ascii="仿宋_GB2312" w:hAnsi="仿宋_GB2312" w:cs="仿宋_GB2312"/>
          <w:bCs/>
          <w:sz w:val="32"/>
          <w:szCs w:val="32"/>
          <w:highlight w:val="none"/>
          <w:lang w:val="en-US" w:eastAsia="zh-CN"/>
        </w:rPr>
        <w:t>编写</w:t>
      </w:r>
      <w:r>
        <w:rPr>
          <w:rFonts w:hint="eastAsia" w:ascii="仿宋_GB2312" w:hAnsi="仿宋_GB2312" w:eastAsia="仿宋_GB2312" w:cs="仿宋_GB2312"/>
          <w:bCs/>
          <w:sz w:val="32"/>
          <w:szCs w:val="32"/>
          <w:highlight w:val="none"/>
        </w:rPr>
        <w:t>绩效自评表及自评报告，</w:t>
      </w:r>
      <w:r>
        <w:rPr>
          <w:rFonts w:hint="eastAsia" w:ascii="仿宋_GB2312" w:hAnsi="Times New Roman" w:cs="Times New Roman"/>
          <w:sz w:val="32"/>
          <w:szCs w:val="32"/>
          <w:highlight w:val="none"/>
          <w:lang w:val="en-US" w:eastAsia="zh-CN"/>
        </w:rPr>
        <w:t>通过审核后由主管部门一并公开。</w:t>
      </w:r>
    </w:p>
    <w:p w14:paraId="21E840A9">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4E182344">
      <w:pPr>
        <w:pStyle w:val="11"/>
        <w:ind w:firstLine="640" w:firstLineChars="200"/>
        <w:rPr>
          <w:rFonts w:eastAsia="仿宋_GB2312"/>
          <w:sz w:val="32"/>
          <w:szCs w:val="32"/>
          <w:highlight w:val="none"/>
          <w:lang w:val="en-US" w:eastAsia="zh-CN"/>
        </w:rPr>
      </w:pPr>
      <w:r>
        <w:rPr>
          <w:rFonts w:hint="eastAsia"/>
          <w:sz w:val="32"/>
          <w:szCs w:val="32"/>
          <w:highlight w:val="none"/>
          <w:lang w:val="en-US" w:eastAsia="zh-CN"/>
        </w:rPr>
        <w:t>无。</w:t>
      </w:r>
    </w:p>
    <w:p w14:paraId="6F7A58BF">
      <w:pPr>
        <w:pStyle w:val="11"/>
      </w:pPr>
    </w:p>
    <w:p w14:paraId="604D3C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638BFC"/>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6954E097">
        <w:tblPrEx>
          <w:tblCellMar>
            <w:top w:w="0" w:type="dxa"/>
            <w:left w:w="20" w:type="dxa"/>
            <w:bottom w:w="0" w:type="dxa"/>
            <w:right w:w="20" w:type="dxa"/>
          </w:tblCellMar>
        </w:tblPrEx>
        <w:trPr>
          <w:trHeight w:val="221"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AD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327EC75">
        <w:tblPrEx>
          <w:tblCellMar>
            <w:top w:w="0" w:type="dxa"/>
            <w:left w:w="20" w:type="dxa"/>
            <w:bottom w:w="0" w:type="dxa"/>
            <w:right w:w="20" w:type="dxa"/>
          </w:tblCellMar>
        </w:tblPrEx>
        <w:trPr>
          <w:trHeight w:val="160"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AF7B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2026年03月</w:t>
            </w:r>
          </w:p>
        </w:tc>
      </w:tr>
      <w:tr w14:paraId="610B3BB6">
        <w:tblPrEx>
          <w:tblCellMar>
            <w:top w:w="0" w:type="dxa"/>
            <w:left w:w="20" w:type="dxa"/>
            <w:bottom w:w="0" w:type="dxa"/>
            <w:right w:w="20" w:type="dxa"/>
          </w:tblCellMar>
        </w:tblPrEx>
        <w:trPr>
          <w:trHeight w:val="123"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3B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6CE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【基本运转】重点项目建设服务保障工作经费</w:t>
            </w:r>
          </w:p>
        </w:tc>
      </w:tr>
      <w:tr w14:paraId="580BF701">
        <w:tblPrEx>
          <w:tblCellMar>
            <w:top w:w="0" w:type="dxa"/>
            <w:left w:w="20" w:type="dxa"/>
            <w:bottom w:w="0" w:type="dxa"/>
            <w:right w:w="20" w:type="dxa"/>
          </w:tblCellMar>
        </w:tblPrEx>
        <w:trPr>
          <w:trHeight w:val="123"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F6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96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41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CA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许昌市重点项目建设服务中心</w:t>
            </w:r>
          </w:p>
        </w:tc>
      </w:tr>
      <w:tr w14:paraId="57A8DB98">
        <w:tblPrEx>
          <w:tblCellMar>
            <w:top w:w="0" w:type="dxa"/>
            <w:left w:w="20" w:type="dxa"/>
            <w:bottom w:w="0" w:type="dxa"/>
            <w:right w:w="20" w:type="dxa"/>
          </w:tblCellMar>
        </w:tblPrEx>
        <w:trPr>
          <w:trHeight w:val="123"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50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5F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EC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74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79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44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88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60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BEF832A">
        <w:tblPrEx>
          <w:tblCellMar>
            <w:top w:w="0" w:type="dxa"/>
            <w:left w:w="20" w:type="dxa"/>
            <w:bottom w:w="0" w:type="dxa"/>
            <w:right w:w="20" w:type="dxa"/>
          </w:tblCellMar>
        </w:tblPrEx>
        <w:trPr>
          <w:trHeight w:val="12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6A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13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D4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EE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3C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17.71</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1F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A4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39.36 %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6D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3.94</w:t>
            </w:r>
          </w:p>
        </w:tc>
      </w:tr>
      <w:tr w14:paraId="6A81E8FB">
        <w:tblPrEx>
          <w:tblCellMar>
            <w:top w:w="0" w:type="dxa"/>
            <w:left w:w="20" w:type="dxa"/>
            <w:bottom w:w="0" w:type="dxa"/>
            <w:right w:w="20" w:type="dxa"/>
          </w:tblCellMar>
        </w:tblPrEx>
        <w:trPr>
          <w:trHeight w:val="12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6E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AA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58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D5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3E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17.71</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CA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C7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39.36 %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F3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F9D57E">
        <w:tblPrEx>
          <w:tblCellMar>
            <w:top w:w="0" w:type="dxa"/>
            <w:left w:w="20" w:type="dxa"/>
            <w:bottom w:w="0" w:type="dxa"/>
            <w:right w:w="20" w:type="dxa"/>
          </w:tblCellMar>
        </w:tblPrEx>
        <w:trPr>
          <w:trHeight w:val="12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07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DA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EA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AF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0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96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E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AE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850937">
        <w:tblPrEx>
          <w:tblCellMar>
            <w:top w:w="0" w:type="dxa"/>
            <w:left w:w="20" w:type="dxa"/>
            <w:bottom w:w="0" w:type="dxa"/>
            <w:right w:w="20" w:type="dxa"/>
          </w:tblCellMar>
        </w:tblPrEx>
        <w:trPr>
          <w:trHeight w:val="12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89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2D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C3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45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33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CC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05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8C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EBD596F">
        <w:tblPrEx>
          <w:tblCellMar>
            <w:top w:w="0" w:type="dxa"/>
            <w:left w:w="20" w:type="dxa"/>
            <w:bottom w:w="0" w:type="dxa"/>
            <w:right w:w="20" w:type="dxa"/>
          </w:tblCellMar>
        </w:tblPrEx>
        <w:trPr>
          <w:trHeight w:val="123"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55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40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FC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3A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C3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B8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EA1A18">
        <w:tblPrEx>
          <w:tblCellMar>
            <w:top w:w="0" w:type="dxa"/>
            <w:left w:w="20" w:type="dxa"/>
            <w:bottom w:w="0" w:type="dxa"/>
            <w:right w:w="20" w:type="dxa"/>
          </w:tblCellMar>
        </w:tblPrEx>
        <w:trPr>
          <w:trHeight w:val="443"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73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6B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4222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项目预算紧扣年度重点任务，围绕重大项目谋划、重大项目集中开工等核心工作需求，科学设定支出方向，经费申请依据充分，内容详实，与重点工作安排匹配度高。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10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CF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B7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A97AA">
        <w:tblPrEx>
          <w:tblCellMar>
            <w:top w:w="0" w:type="dxa"/>
            <w:left w:w="20" w:type="dxa"/>
            <w:bottom w:w="0" w:type="dxa"/>
            <w:right w:w="20" w:type="dxa"/>
          </w:tblCellMar>
        </w:tblPrEx>
        <w:trPr>
          <w:trHeight w:val="46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3D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18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70E8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严格按照财政资金管理规定履行拨付程序，依据年度预算安排和实际工作进度提出用款申请，审批流程规范严谨，资金拨付与工作任务节点衔接有序，及时到位。</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90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CD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42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0B2082">
        <w:tblPrEx>
          <w:tblCellMar>
            <w:top w:w="0" w:type="dxa"/>
            <w:left w:w="20" w:type="dxa"/>
            <w:bottom w:w="0" w:type="dxa"/>
            <w:right w:w="20" w:type="dxa"/>
          </w:tblCellMar>
        </w:tblPrEx>
        <w:trPr>
          <w:trHeight w:val="394"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A3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C2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2273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项目支出严格执行预算批复用途，主要用于与重点项目建设服务保障直接相关的业务开支，资金使用边界清晰、手续完备、账目清楚，未发生挤占挪用等违规情形。</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93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92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52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4360FF">
        <w:tblPrEx>
          <w:tblCellMar>
            <w:top w:w="0" w:type="dxa"/>
            <w:left w:w="20" w:type="dxa"/>
            <w:bottom w:w="0" w:type="dxa"/>
            <w:right w:w="20" w:type="dxa"/>
          </w:tblCellMar>
        </w:tblPrEx>
        <w:trPr>
          <w:trHeight w:val="455"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B9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D9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00ED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严格按照绩效目标对项目资金实施全过程监控，坚持“按需支出、厉行节约”原则，确保资金投向关键环节，各项培训、观摩、督导等活动均达到预期效果，资金使用效益良好。</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CA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32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C9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7D3E6B">
        <w:tblPrEx>
          <w:tblCellMar>
            <w:top w:w="0" w:type="dxa"/>
            <w:left w:w="20" w:type="dxa"/>
            <w:bottom w:w="0" w:type="dxa"/>
            <w:right w:w="20" w:type="dxa"/>
          </w:tblCellMar>
        </w:tblPrEx>
        <w:trPr>
          <w:trHeight w:val="17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8E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41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00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088A569">
        <w:tblPrEx>
          <w:tblCellMar>
            <w:top w:w="0" w:type="dxa"/>
            <w:left w:w="20" w:type="dxa"/>
            <w:bottom w:w="0" w:type="dxa"/>
            <w:right w:w="20" w:type="dxa"/>
          </w:tblCellMar>
        </w:tblPrEx>
        <w:trPr>
          <w:trHeight w:val="609"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CB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3599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本项目实施，保障全市重点项目建设服务保障工作的顺利开展，提升项目谋划储备水平，提高项目建设实施过程中遇到的困难和问题的协调解决能力，加强项目建设过程监管，确保重点项目按计划推进，为许昌经济发展提供有力支撑。</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3F60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通过本项目实施，有效保障了全市重点项目建设服务保障工作顺利开展。全年规划市重点项目398个，超额完成年度目标；重大项目推进活动、月度巡查等活动均按计划开展，督导服务完成率96%，培训合格率及学习培训覆盖率均达95%以上；重点项目固定资产投资增长5.4%，有力促进了全市经济发展，项目单位满意度达98%，年度总体目标基本实现。</w:t>
            </w:r>
          </w:p>
        </w:tc>
      </w:tr>
      <w:tr w14:paraId="309F4278">
        <w:tblPrEx>
          <w:tblCellMar>
            <w:top w:w="0" w:type="dxa"/>
            <w:left w:w="20" w:type="dxa"/>
            <w:bottom w:w="0" w:type="dxa"/>
            <w:right w:w="20" w:type="dxa"/>
          </w:tblCellMar>
        </w:tblPrEx>
        <w:trPr>
          <w:trHeight w:val="123"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71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F589ED3">
        <w:tblPrEx>
          <w:tblCellMar>
            <w:top w:w="0" w:type="dxa"/>
            <w:left w:w="20" w:type="dxa"/>
            <w:bottom w:w="0" w:type="dxa"/>
            <w:right w:w="20" w:type="dxa"/>
          </w:tblCellMar>
        </w:tblPrEx>
        <w:trPr>
          <w:trHeight w:val="123"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C9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442A8B">
        <w:tblPrEx>
          <w:tblCellMar>
            <w:top w:w="0" w:type="dxa"/>
            <w:left w:w="20" w:type="dxa"/>
            <w:bottom w:w="0" w:type="dxa"/>
            <w:right w:w="20" w:type="dxa"/>
          </w:tblCellMar>
        </w:tblPrEx>
        <w:trPr>
          <w:trHeight w:val="111"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AF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59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AA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AF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BE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38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99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37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15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B3A33FC">
        <w:tblPrEx>
          <w:tblCellMar>
            <w:top w:w="0" w:type="dxa"/>
            <w:left w:w="20" w:type="dxa"/>
            <w:bottom w:w="0" w:type="dxa"/>
            <w:right w:w="20" w:type="dxa"/>
          </w:tblCellMar>
        </w:tblPrEx>
        <w:trPr>
          <w:trHeight w:val="111"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E0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64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88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86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6B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31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35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2E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F4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2DF918">
        <w:tblPrEx>
          <w:tblCellMar>
            <w:top w:w="0" w:type="dxa"/>
            <w:left w:w="20" w:type="dxa"/>
            <w:bottom w:w="0" w:type="dxa"/>
            <w:right w:w="20" w:type="dxa"/>
          </w:tblCellMar>
        </w:tblPrEx>
        <w:trPr>
          <w:trHeight w:val="30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1C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92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6A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项目总成本</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33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58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17.71万元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C2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3D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14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7C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DC1399">
        <w:tblPrEx>
          <w:tblCellMar>
            <w:top w:w="0" w:type="dxa"/>
            <w:left w:w="20" w:type="dxa"/>
            <w:bottom w:w="0" w:type="dxa"/>
            <w:right w:w="20" w:type="dxa"/>
          </w:tblCellMar>
        </w:tblPrEx>
        <w:trPr>
          <w:trHeight w:val="40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7E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5B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9B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谋划市重点项目个数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B2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≥290个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A5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99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AD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5F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C134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领导重视项目谋划工作，且工作人员经过政策学习培训，业务能力提升，超额完成工作目标</w:t>
            </w:r>
          </w:p>
        </w:tc>
      </w:tr>
      <w:tr w14:paraId="1A896FDE">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BE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0B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43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全省重大项目</w:t>
            </w:r>
          </w:p>
          <w:p w14:paraId="44BB3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集中开工活动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23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12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04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06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E9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7E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398A52">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46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78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57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全市重点项目集体调研“以企观政”活动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AA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1B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79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42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DD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F6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5F888E">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AB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43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07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月度访查次数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01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F0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DE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C2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CE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2D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8BFCBB">
        <w:tblPrEx>
          <w:tblCellMar>
            <w:top w:w="0" w:type="dxa"/>
            <w:left w:w="20" w:type="dxa"/>
            <w:bottom w:w="0" w:type="dxa"/>
            <w:right w:w="20" w:type="dxa"/>
          </w:tblCellMar>
        </w:tblPrEx>
        <w:trPr>
          <w:trHeight w:val="68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8F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94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5B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组织培训次数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E9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B2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D0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9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AA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313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受经费压减影响，原计划开展的两次培训调整为一次全市重点项目建管干部能力提升培训班；同时，因年度内各项工作任务繁重，统筹安排培训时间存在困难，导致培训频次未达年度指标。</w:t>
            </w:r>
          </w:p>
        </w:tc>
      </w:tr>
      <w:tr w14:paraId="3342F65A">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56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B2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04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督导服务完成率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19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13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67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67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35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8D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4D974A">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D9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5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3E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F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8C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C0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66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DE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96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3E0AD">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0D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06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43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学习培训覆盖率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E9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17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0D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32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1C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0B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6E4CFD">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17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FA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26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各项活动计划</w:t>
            </w:r>
          </w:p>
          <w:p w14:paraId="57773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完成及时率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6F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38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31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B0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BE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EE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62DDE9">
        <w:tblPrEx>
          <w:tblCellMar>
            <w:top w:w="0" w:type="dxa"/>
            <w:left w:w="20" w:type="dxa"/>
            <w:bottom w:w="0" w:type="dxa"/>
            <w:right w:w="20" w:type="dxa"/>
          </w:tblCellMar>
        </w:tblPrEx>
        <w:trPr>
          <w:trHeight w:val="308"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8E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64C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A0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重点项目固定资产</w:t>
            </w:r>
          </w:p>
          <w:p w14:paraId="242CF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投资增速</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A6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6B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90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56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81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E37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市委、市政府全力抓项目建设，骨干企业产能释放与政策红利兑现</w:t>
            </w:r>
          </w:p>
        </w:tc>
      </w:tr>
      <w:tr w14:paraId="731B5A5A">
        <w:tblPrEx>
          <w:tblCellMar>
            <w:top w:w="0" w:type="dxa"/>
            <w:left w:w="20" w:type="dxa"/>
            <w:bottom w:w="0" w:type="dxa"/>
            <w:right w:w="20" w:type="dxa"/>
          </w:tblCellMar>
        </w:tblPrEx>
        <w:trPr>
          <w:trHeight w:val="308"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8E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15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CB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促进全市经济发展</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77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D8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2C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57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57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5D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1BFBBE">
        <w:tblPrEx>
          <w:tblCellMar>
            <w:top w:w="0" w:type="dxa"/>
            <w:left w:w="20" w:type="dxa"/>
            <w:bottom w:w="0" w:type="dxa"/>
            <w:right w:w="20" w:type="dxa"/>
          </w:tblCellMar>
        </w:tblPrEx>
        <w:trPr>
          <w:trHeight w:val="308"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28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FC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D2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项目单位满意度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11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8C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93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E4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54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F8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CD6533">
        <w:tblPrEx>
          <w:tblCellMar>
            <w:top w:w="0" w:type="dxa"/>
            <w:left w:w="20" w:type="dxa"/>
            <w:bottom w:w="0" w:type="dxa"/>
            <w:right w:w="20" w:type="dxa"/>
          </w:tblCellMar>
        </w:tblPrEx>
        <w:trPr>
          <w:trHeight w:val="308"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5E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F8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B5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91.89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2A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CF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6C96D53">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5273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2A11A2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2A11A2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E8A8BFF"/>
    <w:multiLevelType w:val="singleLevel"/>
    <w:tmpl w:val="7E8A8BFF"/>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75E3E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925f3f6c-098a-48d2-8453-16c603a95eca"/>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438031438"/>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178827F24E4743C59C476B2923CC1DE4_13</vt:lpwstr>
  </property>
  <property fmtid="{D5CDD505-2E9C-101B-9397-08002B2CF9AE}" pid="4" name="KSOTemplateDocerSaveRecord">
    <vt:lpwstr>eyJoZGlkIjoiZmIwMTc5OTE1MDY5YmI4MDI5OTU3NDY3M2YzYTMzNDYiLCJ1c2VySWQiOiI3NDI2NTYzNTgifQ==</vt:lpwstr>
  </property>
</Properties>
</file>