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1" Type="http://schemas.openxmlformats.org/package/2006/relationships/metadata/core-properties" Target="docProps/core.xml" /><Relationship Id="rId0" Type="http://schemas.openxmlformats.org/officeDocument/2006/relationships/officeDocument" Target="word/document.xml" /></Relationships>
</file>

<file path=word/document.xml><?xml version="1.0" encoding="utf-8"?>
<w:document xmlns:wps="http://schemas.microsoft.com/office/word/2010/wordprocessingShape" xmlns:wpc="http://schemas.microsoft.com/office/word/2010/wordprocessingCanvas" xmlns:r="http://schemas.openxmlformats.org/officeDocument/2006/relationships" xmlns:o="urn:schemas-microsoft-com:office:office" xmlns:m="http://schemas.openxmlformats.org/officeDocument/2006/math" xmlns:wpi="http://schemas.microsoft.com/office/word/2010/wordprocessingInk" xmlns:w10="urn:schemas-microsoft-com:office:word" xmlns:cx="http://schemas.microsoft.com/office/drawing/2014/chartex" xmlns:w14="http://schemas.microsoft.com/office/word/2010/wordml" xmlns:cx1="http://schemas.microsoft.com/office/drawing/2015/9/8/chartex" xmlns:wne="http://schemas.microsoft.com/office/word/2006/wordml" xmlns:w15="http://schemas.microsoft.com/office/word/2012/wordml" xmlns:mc="http://schemas.openxmlformats.org/markup-compatibility/2006" xmlns:v="urn:schemas-microsoft-com:vml" xmlns:wp14="http://schemas.microsoft.com/office/word/2010/wordprocessingDrawing" xmlns:wpg="http://schemas.microsoft.com/office/word/2010/wordprocessingGroup" xmlns:wp="http://schemas.openxmlformats.org/drawingml/2006/wordprocessingDrawing" xmlns:w16se="http://schemas.microsoft.com/office/word/2015/wordml/symex" xmlns:w="http://schemas.openxmlformats.org/wordprocessingml/2006/main" mc:Ignorable="w14 w15 w16se wp14">
  <w:body>
    <w:p>
      <w:pPr>
        <w:pStyle w:val="Normal"/>
        <w:widowControl w:val="1"/>
        <w:keepNext w:val="0"/>
        <w:keepLines w:val="0"/>
        <w:jc w:val="start"/>
        <w:suppressLineNumbers w:val="off"/>
        <w:spacing w:after="0" w:afterAutospacing="0" w:before="0" w:beforeAutospacing="0"/>
        <w:ind w:left="0" w:right="0"/>
        <w:rPr>
          <w:sz w:val="28"/>
          <w:kern w:val="0"/>
          <w:szCs w:val="28"/>
          <w:rFonts w:ascii="黑体" w:hAnsi="宋体" w:eastAsia="黑体" w:hint="eastAsia"/>
        </w:rPr>
      </w:pPr>
      <w:r>
        <w:rPr>
          <w:sz w:val="28"/>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0"/>
        <w:keepNext w:val="0"/>
        <w:keepLines w:val="0"/>
        <w:jc w:val="center"/>
        <w:suppressLineNumbers w:val="off"/>
        <w:spacing w:after="0" w:afterAutospacing="0" w:before="0" w:beforeAutospacing="0"/>
        <w:ind w:left="0" w:right="0"/>
        <w:rPr>
          <w:sz w:val="44"/>
          <w:lang w:val="en-US" w:eastAsia="zh-CN"/>
          <w:kern w:val="2"/>
          <w:szCs w:val="44"/>
          <w:rFonts w:ascii="黑体" w:hAnsi="宋体" w:eastAsia="黑体" w:hint="eastAsia"/>
        </w:rPr>
      </w:pPr>
      <w:r>
        <w:rPr>
          <w:sz w:val="44"/>
          <w:lang w:val="en-US" w:eastAsia="zh-CN"/>
          <w:kern w:val="2"/>
          <w:szCs w:val="44"/>
          <w:rFonts w:ascii="黑体" w:hAnsi="宋体" w:eastAsia="黑体" w:hint="eastAsia"/>
        </w:rPr>
        <w:t xml:space="preserve">2025年度</w:t>
      </w:r>
      <w:r>
        <w:rPr>
          <w:sz w:val="44"/>
          <w:kern w:val="2"/>
          <w:szCs w:val="44"/>
          <w:rFonts w:ascii="黑体" w:hAnsi="宋体" w:eastAsia="黑体" w:hint="eastAsia"/>
        </w:rPr>
      </w:r>
    </w:p>
    <w:p>
      <w:pPr>
        <w:pStyle w:val="Normal"/>
        <w:widowControl w:val="0"/>
        <w:keepNext w:val="0"/>
        <w:keepLines w:val="0"/>
        <w:jc w:val="center"/>
        <w:suppressLineNumbers w:val="off"/>
        <w:spacing w:after="0" w:afterAutospacing="0" w:before="0" w:beforeAutospacing="0"/>
        <w:ind w:left="0" w:right="0"/>
        <w:rPr>
          <w:sz w:val="44"/>
          <w:lang w:val="en-US" w:eastAsia="zh-CN"/>
          <w:szCs w:val="44"/>
          <w:rFonts w:ascii="黑体" w:hAnsi="黑体" w:eastAsia="黑体" w:hint="eastAsia"/>
        </w:rPr>
      </w:pPr>
      <w:r>
        <w:rPr>
          <w:sz w:val="44"/>
          <w:lang w:val="en-US" w:eastAsia="zh-CN"/>
          <w:szCs w:val="44"/>
          <w:rFonts w:ascii="黑体" w:hAnsi="黑体" w:eastAsia="黑体" w:hint="eastAsia"/>
        </w:rPr>
        <w:t xml:space="preserve">许昌市河湖事务中心</w:t>
      </w:r>
      <w:r>
        <w:rPr>
          <w:sz w:val="44"/>
          <w:lang w:val="en-US" w:eastAsia="zh-CN"/>
          <w:kern w:val="2"/>
          <w:szCs w:val="44"/>
          <w:rFonts w:ascii="黑体" w:hAnsi="宋体" w:eastAsia="黑体" w:hint="eastAsia"/>
        </w:rPr>
        <w:t xml:space="preserve">单位决算</w:t>
      </w:r>
      <w:r>
        <w:rPr>
          <w:sz w:val="44"/>
          <w:lang w:val="en-US"/>
          <w:kern w:val="2"/>
          <w:szCs w:val="44"/>
          <w:rFonts w:ascii="黑体" w:hAnsi="宋体" w:eastAsia="黑体"/>
        </w:rPr>
      </w:r>
    </w:p>
    <w:p>
      <w:pPr>
        <w:pStyle w:val="Normal"/>
        <w:widowControl w:val="0"/>
        <w:keepNext w:val="0"/>
        <w:keepLines w:val="0"/>
        <w:jc w:val="center"/>
        <w:suppressLineNumbers w:val="off"/>
        <w:spacing w:after="0" w:afterAutospacing="0" w:before="0" w:beforeAutospacing="0"/>
        <w:ind w:left="0" w:right="0"/>
        <w:rPr>
          <w:sz w:val="52"/>
          <w:lang w:val="en-US" w:eastAsia="zh-CN"/>
          <w:kern w:val="2"/>
          <w:szCs w:val="52"/>
          <w:rFonts w:ascii="黑体" w:hAnsi="宋体" w:eastAsia="黑体" w:hint="eastAsia"/>
        </w:rPr>
      </w:pPr>
      <w:r>
        <w:rPr>
          <w:sz w:val="52"/>
          <w:lang w:val="en-US" w:eastAsia="zh-CN"/>
          <w:kern w:val="2"/>
          <w:szCs w:val="52"/>
          <w:rFonts w:ascii="黑体" w:hAnsi="宋体" w:eastAsia="黑体" w:hint="eastAsia"/>
        </w:rPr>
        <w:t xml:space="preserve"> </w:t>
      </w:r>
      <w:r>
        <w:rPr>
          <w:sz w:val="52"/>
          <w:kern w:val="2"/>
          <w:szCs w:val="52"/>
          <w:rFonts w:ascii="黑体" w:hAnsi="宋体" w:eastAsia="黑体" w:hint="eastAsia"/>
        </w:rPr>
      </w:r>
    </w:p>
    <w:p>
      <w:pPr>
        <w:pStyle w:val="Normal"/>
        <w:widowControl w:val="0"/>
        <w:keepNext w:val="0"/>
        <w:keepLines w:val="0"/>
        <w:jc w:val="center"/>
        <w:suppressLineNumbers w:val="off"/>
        <w:spacing w:after="0" w:afterAutospacing="0" w:before="0" w:beforeAutospacing="0"/>
        <w:ind w:left="0" w:right="0"/>
        <w:rPr>
          <w:sz w:val="52"/>
          <w:lang w:val="en-US" w:eastAsia="zh-CN"/>
          <w:kern w:val="2"/>
          <w:szCs w:val="52"/>
          <w:rFonts w:ascii="黑体" w:hAnsi="宋体" w:eastAsia="黑体" w:hint="eastAsia"/>
        </w:rPr>
      </w:pPr>
      <w:r>
        <w:rPr>
          <w:sz w:val="52"/>
          <w:lang w:val="en-US" w:eastAsia="zh-CN"/>
          <w:kern w:val="2"/>
          <w:szCs w:val="52"/>
          <w:rFonts w:ascii="黑体" w:hAnsi="宋体" w:eastAsia="黑体" w:hint="eastAsia"/>
        </w:rPr>
        <w:t xml:space="preserve">  </w:t>
      </w:r>
      <w:r>
        <w:rPr>
          <w:sz w:val="52"/>
          <w:kern w:val="2"/>
          <w:szCs w:val="52"/>
          <w:rFonts w:ascii="黑体" w:hAnsi="宋体" w:eastAsia="黑体" w:hint="eastAsia"/>
        </w:rPr>
      </w:r>
    </w:p>
    <w:p>
      <w:pPr>
        <w:pStyle w:val="Normal"/>
        <w:widowControl w:val="0"/>
        <w:keepNext w:val="0"/>
        <w:keepLines w:val="0"/>
        <w:jc w:val="center"/>
        <w:suppressLineNumbers w:val="off"/>
        <w:spacing w:after="0" w:afterAutospacing="0" w:before="0" w:beforeAutospacing="0"/>
        <w:ind w:left="0" w:right="0"/>
        <w:rPr>
          <w:sz w:val="52"/>
          <w:lang w:val="en-US" w:eastAsia="zh-CN"/>
          <w:kern w:val="2"/>
          <w:szCs w:val="52"/>
          <w:rFonts w:ascii="黑体" w:hAnsi="宋体" w:eastAsia="黑体" w:hint="eastAsia"/>
        </w:rPr>
      </w:pPr>
      <w:r>
        <w:rPr>
          <w:sz w:val="52"/>
          <w:lang w:val="en-US" w:eastAsia="zh-CN"/>
          <w:kern w:val="2"/>
          <w:szCs w:val="52"/>
          <w:rFonts w:ascii="黑体" w:hAnsi="宋体" w:eastAsia="黑体" w:hint="eastAsia"/>
        </w:rPr>
        <w:t xml:space="preserve"> </w:t>
      </w:r>
      <w:r>
        <w:rPr>
          <w:sz w:val="52"/>
          <w:kern w:val="2"/>
          <w:szCs w:val="52"/>
          <w:rFonts w:ascii="黑体" w:hAnsi="宋体" w:eastAsia="黑体" w:hint="eastAsia"/>
        </w:rPr>
      </w:r>
    </w:p>
    <w:p>
      <w:pPr>
        <w:pStyle w:val="Normal"/>
        <w:widowControl w:val="0"/>
        <w:keepNext w:val="0"/>
        <w:keepLines w:val="0"/>
        <w:jc w:val="center"/>
        <w:suppressLineNumbers w:val="off"/>
        <w:spacing w:after="0" w:afterAutospacing="0" w:before="0" w:beforeAutospacing="0"/>
        <w:ind w:left="0" w:right="0"/>
        <w:rPr>
          <w:sz w:val="52"/>
          <w:lang w:val="en-US" w:eastAsia="zh-CN"/>
          <w:kern w:val="2"/>
          <w:szCs w:val="52"/>
          <w:rFonts w:ascii="黑体" w:hAnsi="宋体" w:eastAsia="黑体" w:hint="eastAsia"/>
        </w:rPr>
      </w:pPr>
      <w:r>
        <w:rPr>
          <w:sz w:val="52"/>
          <w:lang w:val="en-US" w:eastAsia="zh-CN"/>
          <w:kern w:val="2"/>
          <w:szCs w:val="52"/>
          <w:rFonts w:ascii="黑体" w:hAnsi="宋体" w:eastAsia="黑体" w:hint="eastAsia"/>
        </w:rPr>
        <w:t xml:space="preserve"> </w:t>
      </w:r>
      <w:r>
        <w:rPr>
          <w:sz w:val="52"/>
          <w:kern w:val="2"/>
          <w:szCs w:val="52"/>
          <w:rFonts w:ascii="黑体" w:hAnsi="宋体" w:eastAsia="黑体" w:hint="eastAsia"/>
        </w:rPr>
      </w:r>
    </w:p>
    <w:p>
      <w:pPr>
        <w:pStyle w:val="Normal"/>
        <w:widowControl w:val="0"/>
        <w:keepNext w:val="0"/>
        <w:keepLines w:val="0"/>
        <w:jc w:val="center"/>
        <w:suppressLineNumbers w:val="off"/>
        <w:spacing w:after="0" w:afterAutospacing="0" w:before="0" w:beforeAutospacing="0"/>
        <w:ind w:left="0" w:right="0"/>
        <w:rPr>
          <w:sz w:val="52"/>
          <w:lang w:val="en-US" w:eastAsia="zh-CN"/>
          <w:kern w:val="2"/>
          <w:szCs w:val="52"/>
          <w:rFonts w:ascii="黑体" w:hAnsi="宋体" w:eastAsia="黑体" w:hint="eastAsia"/>
        </w:rPr>
      </w:pPr>
      <w:r>
        <w:rPr>
          <w:sz w:val="52"/>
          <w:lang w:val="en-US" w:eastAsia="zh-CN"/>
          <w:kern w:val="2"/>
          <w:szCs w:val="52"/>
          <w:rFonts w:ascii="黑体" w:hAnsi="宋体" w:eastAsia="黑体" w:hint="eastAsia"/>
        </w:rPr>
        <w:t xml:space="preserve"> </w:t>
      </w:r>
      <w:r>
        <w:rPr>
          <w:sz w:val="52"/>
          <w:kern w:val="2"/>
          <w:szCs w:val="52"/>
          <w:rFonts w:ascii="黑体" w:hAnsi="宋体" w:eastAsia="黑体" w:hint="eastAsia"/>
        </w:rPr>
      </w:r>
    </w:p>
    <w:p>
      <w:pPr>
        <w:pStyle w:val="Normal"/>
        <w:widowControl w:val="0"/>
        <w:keepNext w:val="0"/>
        <w:keepLines w:val="0"/>
        <w:jc w:val="center"/>
        <w:suppressLineNumbers w:val="off"/>
        <w:spacing w:after="0" w:afterAutospacing="0" w:before="0" w:beforeAutospacing="0"/>
        <w:ind w:left="0" w:right="0"/>
        <w:rPr>
          <w:sz w:val="32"/>
          <w:lang w:val="en-US" w:eastAsia="zh-CN"/>
          <w:kern w:val="2"/>
          <w:szCs w:val="32"/>
          <w:rFonts w:ascii="黑体" w:hAnsi="宋体" w:eastAsia="黑体" w:hint="eastAsia"/>
        </w:rPr>
        <w:sectPr>
          <w:footerReference r:id="rId4" w:type="default"/>
          <w:type w:val="nextPage"/>
          <w:docGrid w:type="lines" w:linePitch="317" w:charSpace="0"/>
          <w:pgSz w:w="11906" w:h="16838" w:orient="portrait"/>
          <w:pgMar w:top="2098" w:right="1474" w:bottom="1984" w:left="1587" w:header="850" w:footer="992" w:gutter="0"/>
          <w:pgNumType w:fmt="57"/>
          <w:cols w:num="1" w:equalWidth="0" w:space="425">
            <w:col w:space="-12288" w:w="8845"/>
          </w:cols>
          <w:pgNumType w:fmt="57"/>
        </w:sectPr>
      </w:pPr>
      <w:r>
        <w:rPr>
          <w:sz w:val="32"/>
          <w:lang w:val="en-US" w:eastAsia="zh-CN"/>
          <w:kern w:val="2"/>
          <w:szCs w:val="32"/>
          <w:rFonts w:ascii="黑体" w:hAnsi="宋体" w:eastAsia="黑体" w:hint="eastAsia"/>
        </w:rPr>
        <w:t xml:space="preserve">二〇二六年九月</w:t>
      </w:r>
    </w:p>
    <w:p>
      <w:pPr>
        <w:pStyle w:val="Normal"/>
        <w:widowControl w:val="0"/>
        <w:keepNext w:val="0"/>
        <w:keepLines w:val="0"/>
        <w:jc w:val="center"/>
        <w:suppressLineNumbers w:val="off"/>
        <w:spacing w:after="0" w:afterAutospacing="0" w:before="0" w:beforeAutospacing="0"/>
        <w:ind w:left="0" w:right="0"/>
        <w:rPr>
          <w:sz w:val="36"/>
          <w:lang w:val="en-US" w:eastAsia="zh-CN"/>
          <w:kern w:val="2"/>
          <w:szCs w:val="36"/>
          <w:rFonts w:ascii="黑体" w:hAnsi="宋体" w:eastAsia="黑体" w:hint="eastAsia"/>
        </w:rPr>
      </w:pPr>
      <w:r>
        <w:rPr>
          <w:sz w:val="36"/>
          <w:lang w:val="en-US" w:eastAsia="zh-CN"/>
          <w:kern w:val="2"/>
          <w:szCs w:val="36"/>
          <w:rFonts w:ascii="黑体" w:hAnsi="宋体" w:eastAsia="黑体" w:hint="eastAsia"/>
        </w:rPr>
        <w:t xml:space="preserve">目  录</w:t>
      </w:r>
      <w:r>
        <w:rPr>
          <w:sz w:val="36"/>
          <w:kern w:val="2"/>
          <w:szCs w:val="36"/>
          <w:rFonts w:ascii="黑体" w:hAnsi="宋体" w:eastAsia="黑体" w:hint="eastAsia"/>
        </w:rPr>
      </w:r>
    </w:p>
    <w:p>
      <w:pPr>
        <w:pStyle w:val="Normal"/>
        <w:widowControl w:val="0"/>
        <w:keepNext w:val="0"/>
        <w:keepLines w:val="0"/>
        <w:jc w:val="start"/>
        <w:suppressLineNumbers w:val="off"/>
        <w:spacing w:after="0" w:afterAutospacing="0" w:before="0" w:beforeAutospacing="0"/>
        <w:ind w:left="0" w:right="0"/>
        <w:rPr>
          <w:sz w:val="32"/>
          <w:lang w:val="en-US" w:eastAsia="zh-CN"/>
          <w:kern w:val="2"/>
          <w:szCs w:val="32"/>
          <w:rFonts w:ascii="黑体" w:hAnsi="宋体" w:eastAsia="黑体" w:hint="eastAsia"/>
        </w:rPr>
      </w:pPr>
      <w:r>
        <w:rPr>
          <w:sz w:val="32"/>
          <w:lang w:val="en-US" w:eastAsia="zh-CN"/>
          <w:kern w:val="2"/>
          <w:szCs w:val="32"/>
          <w:rFonts w:ascii="黑体" w:hAnsi="宋体" w:eastAsia="黑体" w:hint="eastAsia"/>
        </w:rPr>
        <w:t xml:space="preserve"> </w:t>
      </w:r>
      <w:r>
        <w:rPr>
          <w:sz w:val="32"/>
          <w:kern w:val="2"/>
          <w:szCs w:val="32"/>
          <w:rFonts w:ascii="黑体" w:hAnsi="宋体" w:eastAsia="黑体" w:hint="eastAsia"/>
        </w:rPr>
      </w:r>
    </w:p>
    <w:p>
      <w:pPr>
        <w:pStyle w:val="Normal"/>
        <w:widowControl w:val="0"/>
        <w:keepNext w:val="0"/>
        <w:keepLines w:val="0"/>
        <w:autoSpaceDE w:val="0"/>
        <w:autoSpaceDN w:val="1"/>
        <w:jc w:val="start"/>
        <w:suppressLineNumbers w:val="off"/>
        <w:spacing w:after="0" w:afterAutospacing="0" w:before="0" w:beforeAutospacing="0"/>
        <w:ind w:left="0" w:right="0"/>
        <w:rPr>
          <w:sz w:val="32"/>
          <w:lang w:val="en-US" w:eastAsia="zh-CN"/>
          <w:kern w:val="2"/>
          <w:szCs w:val="32"/>
          <w:rFonts w:ascii="黑体" w:hAnsi="宋体" w:eastAsia="黑体" w:hint="eastAsia"/>
        </w:rPr>
      </w:pPr>
      <w:r>
        <w:rPr>
          <w:sz w:val="32"/>
          <w:lang w:val="en-US" w:eastAsia="zh-CN"/>
          <w:kern w:val="2"/>
          <w:szCs w:val="32"/>
          <w:rFonts w:ascii="黑体" w:hAnsi="宋体" w:eastAsia="黑体" w:hint="eastAsia"/>
        </w:rPr>
        <w:t xml:space="preserve">第一部分 许昌市河湖事务中心概况</w:t>
      </w:r>
      <w:r>
        <w:rPr>
          <w:sz w:val="32"/>
          <w:kern w:val="2"/>
          <w:szCs w:val="32"/>
          <w:rFonts w:ascii="黑体" w:hAnsi="宋体" w:eastAsia="黑体" w:hint="eastAsia"/>
        </w:rPr>
      </w:r>
    </w:p>
    <w:p>
      <w:pPr>
        <w:pStyle w:val="Normal"/>
        <w:widowControl w:val="0"/>
        <w:keepNext w:val="0"/>
        <w:keepLines w:val="0"/>
        <w:autoSpaceDE w:val="0"/>
        <w:autoSpaceDN w:val="1"/>
        <w:jc w:val="start"/>
        <w:suppressLineNumbers w:val="off"/>
        <w:numPr>
          <w:ilvl w:val="0"/>
          <w:numId w:val="1"/>
        </w:numPr>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单位职责</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numPr>
          <w:ilvl w:val="0"/>
          <w:numId w:val="1"/>
        </w:numPr>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机构设置</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left="0" w:right="0"/>
        <w:rPr>
          <w:sz w:val="32"/>
          <w:lang w:val="en-US" w:eastAsia="zh-CN"/>
          <w:kern w:val="2"/>
          <w:szCs w:val="32"/>
          <w:rFonts w:ascii="黑体" w:hAnsi="宋体" w:eastAsia="黑体" w:hint="eastAsia"/>
        </w:rPr>
      </w:pPr>
      <w:r>
        <w:rPr>
          <w:sz w:val="32"/>
          <w:lang w:val="en-US" w:eastAsia="zh-CN"/>
          <w:kern w:val="2"/>
          <w:szCs w:val="32"/>
          <w:rFonts w:ascii="黑体" w:hAnsi="宋体" w:eastAsia="黑体" w:hint="eastAsia"/>
        </w:rPr>
        <w:t xml:space="preserve">第二部分 2025年度单位决算表</w:t>
      </w:r>
      <w:r>
        <w:rPr>
          <w:sz w:val="32"/>
          <w:kern w:val="2"/>
          <w:szCs w:val="32"/>
          <w:rFonts w:ascii="黑体" w:hAnsi="宋体" w:eastAsia="黑体" w:hint="eastAsia"/>
        </w:rPr>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一、收入支出决算总表</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二、收入决算表</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三、支出决算表</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四、财政拨款收入支出决算总表</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五、一般公共预算财政拨款支出决算表</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六、一般公共预算财政拨款基本支出决算明细表</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七、政府性基金预算财政拨款收入支出决算表</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八、国有资本经营预算财政拨款支出决算表</w:t>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九、财政拨款“三公”经费支出决算表</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left="0" w:right="0"/>
        <w:rPr>
          <w:sz w:val="32"/>
          <w:lang w:val="en-US" w:eastAsia="zh-CN"/>
          <w:kern w:val="2"/>
          <w:szCs w:val="32"/>
          <w:rFonts w:ascii="黑体" w:hAnsi="宋体" w:eastAsia="黑体" w:hint="eastAsia"/>
        </w:rPr>
      </w:pPr>
      <w:r>
        <w:rPr>
          <w:sz w:val="32"/>
          <w:lang w:val="en-US" w:eastAsia="zh-CN"/>
          <w:kern w:val="2"/>
          <w:szCs w:val="32"/>
          <w:rFonts w:ascii="黑体" w:hAnsi="宋体" w:eastAsia="黑体" w:hint="eastAsia"/>
        </w:rPr>
        <w:t xml:space="preserve">第三部分 2025年度单位决算情况说明</w:t>
      </w:r>
      <w:r>
        <w:rPr>
          <w:sz w:val="32"/>
          <w:kern w:val="2"/>
          <w:szCs w:val="32"/>
          <w:rFonts w:ascii="黑体" w:hAnsi="宋体" w:eastAsia="黑体" w:hint="eastAsia"/>
        </w:rPr>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一、收入支出决算总体情况说明</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二、收入决算情况说明</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三、支出决算情况说明</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四、财政拨款收入支出决算总体情况说明</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五、一般公共预算财政拨款支出决算情况说明</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六、一般公共预算财政拨款基本支出决算情况说明</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七、政府性基金预算财政拨款支出决算情况说明</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八、国有资本经营预算财政拨款支出决算情况说明</w:t>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九、财政拨款“三公”经费支出决算情况说明</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十、机关运行经费支出情况说明</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十一、政府采购支出情况说明</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十二、国有资产占用情况说明</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firstLine="640" w:firstLineChars="200" w:left="0" w:right="0"/>
        <w:rPr>
          <w:sz w:val="32"/>
          <w:lang w:val="en-US" w:eastAsia="zh-CN"/>
          <w:kern w:val="2"/>
          <w:szCs w:val="32"/>
          <w:rFonts w:ascii="宋体" w:hAnsi="宋体" w:eastAsia="宋体" w:hint="eastAsia"/>
        </w:rPr>
      </w:pPr>
      <w:r>
        <w:rPr>
          <w:sz w:val="32"/>
          <w:lang w:val="en-US" w:eastAsia="zh-CN"/>
          <w:kern w:val="2"/>
          <w:szCs w:val="32"/>
          <w:rFonts w:ascii="宋体" w:hAnsi="宋体" w:eastAsia="宋体" w:hint="eastAsia"/>
        </w:rPr>
        <w:t xml:space="preserve">十三、预算绩效评价情况说明</w:t>
      </w:r>
      <w:r>
        <w:rPr>
          <w:sz w:val="32"/>
          <w:kern w:val="2"/>
          <w:szCs w:val="32"/>
          <w:rFonts w:ascii="宋体" w:hAnsi="宋体" w:eastAsia="宋体" w:hint="eastAsia"/>
        </w:rPr>
      </w:r>
    </w:p>
    <w:p>
      <w:pPr>
        <w:pStyle w:val="Normal"/>
        <w:widowControl w:val="0"/>
        <w:keepNext w:val="0"/>
        <w:keepLines w:val="0"/>
        <w:autoSpaceDE w:val="0"/>
        <w:autoSpaceDN w:val="1"/>
        <w:jc w:val="start"/>
        <w:suppressLineNumbers w:val="off"/>
        <w:spacing w:after="0" w:afterAutospacing="0" w:before="0" w:beforeAutospacing="0"/>
        <w:ind w:left="0" w:right="0"/>
        <w:rPr>
          <w:sz w:val="32"/>
          <w:lang w:val="en-US" w:eastAsia="zh-CN"/>
          <w:kern w:val="2"/>
          <w:szCs w:val="32"/>
          <w:rFonts w:ascii="黑体" w:hAnsi="宋体" w:eastAsia="黑体" w:hint="eastAsia"/>
        </w:rPr>
      </w:pPr>
      <w:r>
        <w:rPr>
          <w:sz w:val="32"/>
          <w:lang w:val="en-US" w:eastAsia="zh-CN"/>
          <w:kern w:val="2"/>
          <w:szCs w:val="32"/>
          <w:rFonts w:ascii="黑体" w:hAnsi="宋体" w:eastAsia="黑体" w:hint="eastAsia"/>
        </w:rPr>
        <w:t xml:space="preserve">第四部分 名词解释</w:t>
      </w:r>
      <w:r>
        <w:rPr>
          <w:sz w:val="32"/>
          <w:kern w:val="2"/>
          <w:szCs w:val="32"/>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sectPr>
          <w:type w:val="nextPage"/>
          <w:docGrid w:type="lines" w:linePitch="312" w:charSpace="0"/>
          <w:pgSz w:w="11906" w:h="16838" w:orient="portrait"/>
          <w:pgMar w:top="1440" w:right="1800" w:bottom="1440" w:left="1800" w:header="720" w:footer="720" w:gutter="0"/>
          <w:pgNumType w:fmt="57"/>
          <w:cols w:num="1" w:equalWidth="0" w:space="425">
            <w:col w:space="-12288" w:w="8306"/>
          </w:cols>
          <w:pgNumType w:fmt="57"/>
        </w:sectPr>
      </w:pPr>
    </w:p>
    <w:p>
      <w:pPr>
        <w:pStyle w:val="Normal"/>
        <w:bidi w:val="0"/>
        <w:rPr>
          <w:lang w:val="en-US" w:eastAsia="zh-CN"/>
          <w:rFonts w:hint="eastAsia"/>
        </w:rPr>
      </w:pPr>
      <w:r>
        <w:rPr>
          <w:lang w:val="en-US" w:eastAsia="zh-CN"/>
          <w:rFonts w:hint="eastAsia"/>
        </w:rPr>
      </w:r>
    </w:p>
    <w:p>
      <w:pPr>
        <w:pStyle w:val="Normal"/>
        <w:bidi w:val="0"/>
        <w:rPr>
          <w:lang w:val="en-US" w:eastAsia="zh-CN"/>
          <w:rFonts w:hint="eastAsia"/>
        </w:rPr>
      </w:pPr>
      <w:r>
        <w:rPr>
          <w:lang w:val="en-US" w:eastAsia="zh-CN"/>
          <w:rFonts w:hint="eastAsia"/>
        </w:rPr>
      </w:r>
    </w:p>
    <w:p>
      <w:pPr>
        <w:pStyle w:val="Normal"/>
        <w:bidi w:val="0"/>
        <w:rPr>
          <w:lang w:val="en-US" w:eastAsia="zh-CN"/>
          <w:rFonts w:hint="eastAsia"/>
        </w:rPr>
      </w:pPr>
      <w:r>
        <w:rPr>
          <w:lang w:val="en-US" w:eastAsia="zh-CN"/>
          <w:rFonts w:hint="eastAsia"/>
        </w:rPr>
      </w:r>
    </w:p>
    <w:p>
      <w:pPr>
        <w:pStyle w:val="Normal"/>
        <w:bidi w:val="0"/>
        <w:rPr>
          <w:lang w:val="en-US" w:eastAsia="zh-CN"/>
          <w:rFonts w:hint="eastAsia"/>
        </w:rPr>
      </w:pPr>
      <w:r>
        <w:rPr>
          <w:lang w:val="en-US" w:eastAsia="zh-CN"/>
          <w:rFonts w:hint="eastAsia"/>
        </w:rPr>
      </w:r>
    </w:p>
    <w:p>
      <w:pPr>
        <w:pStyle w:val="Normal"/>
        <w:bidi w:val="0"/>
        <w:rPr>
          <w:lang w:val="en-US" w:eastAsia="zh-CN"/>
          <w:rFonts w:hint="eastAsia"/>
        </w:rPr>
      </w:pPr>
      <w:r>
        <w:rPr>
          <w:lang w:val="en-US" w:eastAsia="zh-CN"/>
          <w:rFonts w:hint="eastAsia"/>
        </w:rPr>
      </w:r>
    </w:p>
    <w:p>
      <w:pPr>
        <w:pStyle w:val="Normal"/>
        <w:bidi w:val="0"/>
        <w:rPr>
          <w:lang w:val="en-US" w:eastAsia="zh-CN"/>
          <w:rFonts w:hint="eastAsia"/>
        </w:rPr>
      </w:pPr>
      <w:r>
        <w:rPr>
          <w:lang w:val="en-US" w:eastAsia="zh-CN"/>
          <w:rFonts w:hint="eastAsia"/>
        </w:rPr>
      </w:r>
    </w:p>
    <w:p>
      <w:pPr>
        <w:pStyle w:val="Normal"/>
        <w:bidi w:val="0"/>
        <w:rPr>
          <w:lang w:val="en-US" w:eastAsia="zh-CN"/>
          <w:rFonts w:hint="eastAsia"/>
        </w:rPr>
      </w:pPr>
      <w:r>
        <w:rPr>
          <w:lang w:val="en-US" w:eastAsia="zh-CN"/>
          <w:rFonts w:hint="eastAsia"/>
        </w:rPr>
      </w:r>
    </w:p>
    <w:p>
      <w:pPr>
        <w:pStyle w:val="Normal"/>
        <w:bidi w:val="0"/>
        <w:rPr>
          <w:lang w:val="en-US" w:eastAsia="zh-CN"/>
          <w:rFonts w:hint="eastAsia"/>
        </w:rPr>
      </w:pPr>
      <w:r>
        <w:rPr>
          <w:lang w:val="en-US" w:eastAsia="zh-CN"/>
          <w:rFonts w:hint="eastAsia"/>
        </w:rPr>
      </w:r>
    </w:p>
    <w:p>
      <w:pPr>
        <w:pStyle w:val="Normal"/>
        <w:bidi w:val="0"/>
        <w:rPr>
          <w:lang w:val="en-US" w:eastAsia="zh-CN"/>
          <w:rFonts w:hint="eastAsia"/>
        </w:rPr>
      </w:pPr>
      <w:r>
        <w:rPr>
          <w:lang w:val="en-US" w:eastAsia="zh-CN"/>
          <w:rFonts w:hint="eastAsia"/>
        </w:rPr>
      </w:r>
    </w:p>
    <w:p>
      <w:pPr>
        <w:pStyle w:val="Normal"/>
        <w:bidi w:val="0"/>
        <w:rPr>
          <w:lang w:val="en-US" w:eastAsia="zh-CN"/>
          <w:rFonts w:hint="eastAsia"/>
        </w:rPr>
      </w:pPr>
      <w:r>
        <w:rPr>
          <w:lang w:val="en-US" w:eastAsia="zh-CN"/>
          <w:rFonts w:hint="eastAsia"/>
        </w:rPr>
      </w:r>
    </w:p>
    <w:p>
      <w:pPr>
        <w:pStyle w:val="Normal"/>
        <w:widowControl w:val="0"/>
        <w:keepNext w:val="0"/>
        <w:keepLines w:val="0"/>
        <w:jc w:val="center"/>
        <w:suppressLineNumbers w:val="off"/>
        <w:outlineLvl w:val="0"/>
        <w:spacing w:after="0" w:afterAutospacing="0" w:before="0" w:beforeAutospacing="0"/>
        <w:ind w:left="0" w:right="0"/>
        <w:rPr>
          <w:sz w:val="48"/>
          <w:lang w:val="en-US" w:eastAsia="zh-CN"/>
          <w:kern w:val="2"/>
          <w:szCs w:val="48"/>
          <w:rFonts w:ascii="黑体" w:hAnsi="宋体" w:eastAsia="黑体" w:hint="eastAsia"/>
        </w:rPr>
      </w:pPr>
      <w:r>
        <w:rPr>
          <w:sz w:val="48"/>
          <w:lang w:val="en-US" w:eastAsia="zh-CN"/>
          <w:kern w:val="2"/>
          <w:szCs w:val="48"/>
          <w:rFonts w:ascii="黑体" w:hAnsi="宋体" w:eastAsia="黑体" w:hint="eastAsia"/>
        </w:rPr>
        <w:t xml:space="preserve">第一部分许昌市河湖事务中心概况</w:t>
      </w:r>
    </w:p>
    <w:p>
      <w:pPr>
        <w:pStyle w:val="Normal"/>
        <w:bidi w:val="0"/>
        <w:rPr>
          <w:rFonts w:hint="eastAsia"/>
        </w:rPr>
      </w:pPr>
      <w:r>
        <w:rPr>
          <w:rFonts w:hint="eastAsia"/>
        </w:rPr>
      </w:r>
    </w:p>
    <w:p>
      <w:pPr>
        <w:pStyle w:val="Normal"/>
        <w:widowControl w:val="1"/>
        <w:keepNext w:val="0"/>
        <w:keepLines w:val="0"/>
        <w:jc w:val="start"/>
        <w:suppressLineNumbers w:val="off"/>
        <w:outlineLvl w:val="1"/>
        <w:spacing w:after="0" w:afterAutospacing="0" w:before="0" w:beforeAutospacing="0"/>
        <w:ind w:firstLine="640" w:firstLineChars="200" w:left="0" w:right="0"/>
        <w:rPr>
          <w:sz w:val="32"/>
          <w:lang w:val="en-US" w:eastAsia="zh-CN"/>
          <w:kern w:val="0"/>
          <w:szCs w:val="32"/>
          <w:rFonts w:ascii="黑体" w:hAnsi="宋体" w:eastAsia="黑体" w:hint="eastAsia"/>
        </w:rPr>
        <w:sectPr>
          <w:type w:val="nextPage"/>
          <w:docGrid w:type="lines" w:linePitch="312" w:charSpace="0"/>
          <w:pgSz w:w="11906" w:h="16838" w:orient="portrait"/>
          <w:pgMar w:top="1440" w:right="1800" w:bottom="1440" w:left="1800" w:header="720" w:footer="720" w:gutter="0"/>
          <w:pgNumType w:fmt="57" w:start="1"/>
          <w:cols w:num="1" w:equalWidth="0" w:space="425">
            <w:col w:space="-12288" w:w="8306"/>
          </w:cols>
          <w:pgNumType w:fmt="57" w:start="1"/>
        </w:sectPr>
      </w:pPr>
    </w:p>
    <w:p>
      <w:pPr>
        <w:pStyle w:val="Normal"/>
        <w:widowControl w:val="1"/>
        <w:keepNext w:val="0"/>
        <w:keepLines w:val="0"/>
        <w:jc w:val="start"/>
        <w:suppressLineNumbers w:val="off"/>
        <w:outlineLvl w:val="1"/>
        <w:spacing w:after="0" w:afterAutospacing="0" w:before="0" w:beforeAutospacing="0"/>
        <w:ind w:firstLine="640" w:firstLineChars="200" w:left="0" w:right="0"/>
        <w:rPr>
          <w:sz w:val="32"/>
          <w:lang w:val="en-US" w:eastAsia="zh-CN"/>
          <w:kern w:val="0"/>
          <w:szCs w:val="32"/>
          <w:rFonts w:ascii="黑体" w:hAnsi="宋体" w:eastAsia="黑体" w:hint="eastAsia"/>
        </w:rPr>
      </w:pPr>
      <w:r>
        <w:rPr>
          <w:sz w:val="32"/>
          <w:lang w:val="en-US" w:eastAsia="zh-CN"/>
          <w:kern w:val="0"/>
          <w:szCs w:val="32"/>
          <w:rFonts w:ascii="黑体" w:hAnsi="宋体" w:eastAsia="黑体" w:hint="eastAsia"/>
        </w:rPr>
        <w:t xml:space="preserve">一、单位职责</w:t>
      </w:r>
      <w:r>
        <w:rPr>
          <w:sz w:val="32"/>
          <w:kern w:val="0"/>
          <w:szCs w:val="32"/>
          <w:rFonts w:ascii="黑体" w:hAnsi="宋体" w:eastAsia="黑体"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rPr>
          <w:sz w:val="32"/>
          <w:lang w:val="en-US" w:eastAsia="zh-CN"/>
          <w:kern w:val="0"/>
          <w:szCs w:val="32"/>
          <w:rFonts w:ascii="仿宋" w:hAnsi="仿宋" w:eastAsia="仿宋" w:hint="eastAsia"/>
        </w:rPr>
      </w:pPr>
      <w:r>
        <w:rPr>
          <w:sz w:val="32"/>
          <w:lang w:val="en-US" w:eastAsia="zh-CN"/>
          <w:kern w:val="0"/>
          <w:szCs w:val="32"/>
          <w:rFonts w:ascii="仿宋" w:hAnsi="仿宋" w:eastAsia="仿宋" w:hint="eastAsia"/>
        </w:rPr>
        <w:t xml:space="preserve">    (一)负责市区河湖水系供蓄水统一调度，编制年度调水计划，制定调蓄水方案并组织实施：负责市区河湖水系防洪排涝工作；负责市区河湖水系供水计量和水费核算；负责颍汝地表水源，南水北调水源、中水水源、佛耳岗水库水源的协调调度，编制水源配给计划：负责组织实施市区河湖水系监督管理考评工作；负责市区河湖水系控制性涵闸、泵站等工程的管理、操作运行、维修养护工作。</w:t>
      </w:r>
    </w:p>
    <w:p>
      <w:pPr>
        <w:pStyle w:val="Normal"/>
        <w:widowControl w:val="1"/>
        <w:keepNext w:val="0"/>
        <w:keepLines w:val="0"/>
        <w:pageBreakBefore w:val="0"/>
        <w:wordWrap w:val="1"/>
        <w:overflowPunct w:val="1"/>
        <w:topLinePunct w:val="0"/>
        <w:kinsoku w:val="1"/>
        <w:autoSpaceDE w:val="1"/>
        <w:autoSpaceDN w:val="1"/>
        <w:bidi w:val="0"/>
        <w:snapToGrid w:val="1"/>
        <w:jc w:val="both"/>
        <w:rPr>
          <w:sz w:val="32"/>
          <w:lang w:val="en-US" w:eastAsia="zh-CN"/>
          <w:kern w:val="0"/>
          <w:szCs w:val="32"/>
          <w:rFonts w:ascii="仿宋" w:hAnsi="仿宋" w:eastAsia="仿宋" w:hint="eastAsia"/>
        </w:rPr>
      </w:pPr>
      <w:r>
        <w:rPr>
          <w:sz w:val="32"/>
          <w:lang w:val="en-US" w:eastAsia="zh-CN"/>
          <w:kern w:val="0"/>
          <w:szCs w:val="32"/>
          <w:rFonts w:ascii="仿宋" w:hAnsi="仿宋" w:eastAsia="仿宋" w:hint="eastAsia"/>
        </w:rPr>
        <w:t xml:space="preserve">    (二)承担水利风景区业务发展战略和总体规划工作；承担旅游资源的开发、利用和保护工作；承担对外宣传促销计划，水利旅游区管理制度制定及规范管理工作；承担景区内旅游基本建设项目、技改项目和旅游新产品开发项目的可行性研究、初步设计和开工报告初审工作。</w:t>
      </w:r>
    </w:p>
    <w:p>
      <w:pPr>
        <w:pStyle w:val="Normal"/>
        <w:widowControl w:val="1"/>
        <w:keepNext w:val="0"/>
        <w:keepLines w:val="0"/>
        <w:pageBreakBefore w:val="0"/>
        <w:wordWrap w:val="1"/>
        <w:overflowPunct w:val="1"/>
        <w:topLinePunct w:val="0"/>
        <w:kinsoku w:val="1"/>
        <w:autoSpaceDE w:val="1"/>
        <w:autoSpaceDN w:val="1"/>
        <w:bidi w:val="0"/>
        <w:snapToGrid w:val="1"/>
        <w:jc w:val="both"/>
        <w:rPr>
          <w:sz w:val="32"/>
          <w:lang w:val="en-US" w:eastAsia="zh-CN"/>
          <w:kern w:val="0"/>
          <w:szCs w:val="32"/>
          <w:rFonts w:ascii="仿宋" w:hAnsi="仿宋" w:eastAsia="仿宋" w:hint="eastAsia"/>
        </w:rPr>
      </w:pPr>
      <w:r>
        <w:rPr>
          <w:sz w:val="32"/>
          <w:lang w:val="en-US" w:eastAsia="zh-CN"/>
          <w:kern w:val="0"/>
          <w:szCs w:val="32"/>
          <w:rFonts w:ascii="仿宋" w:hAnsi="仿宋" w:eastAsia="仿宋" w:hint="eastAsia"/>
        </w:rPr>
        <w:t xml:space="preserve">    (三)承担全市河湖管理保护工作，推进水环境治理网格化和信息化建设管理；组织实施水环境治理、水生态修复等工作，承担河湖长制工作考核评估的相关技术工作。</w:t>
      </w:r>
    </w:p>
    <w:p>
      <w:pPr>
        <w:pStyle w:val="Normal"/>
        <w:widowControl w:val="1"/>
        <w:keepNext w:val="0"/>
        <w:keepLines w:val="0"/>
        <w:pageBreakBefore w:val="0"/>
        <w:wordWrap w:val="1"/>
        <w:overflowPunct w:val="1"/>
        <w:topLinePunct w:val="0"/>
        <w:kinsoku w:val="1"/>
        <w:autoSpaceDE w:val="1"/>
        <w:autoSpaceDN w:val="1"/>
        <w:bidi w:val="0"/>
        <w:snapToGrid w:val="1"/>
        <w:jc w:val="both"/>
        <w:rPr>
          <w:sz w:val="32"/>
          <w:lang w:val="en-US" w:eastAsia="zh-CN"/>
          <w:kern w:val="0"/>
          <w:szCs w:val="32"/>
          <w:rFonts w:ascii="仿宋" w:hAnsi="仿宋" w:eastAsia="仿宋" w:hint="eastAsia"/>
        </w:rPr>
      </w:pPr>
      <w:r>
        <w:rPr>
          <w:sz w:val="32"/>
          <w:lang w:val="en-US" w:eastAsia="zh-CN"/>
          <w:kern w:val="0"/>
          <w:szCs w:val="32"/>
          <w:rFonts w:ascii="仿宋" w:hAnsi="仿宋" w:eastAsia="仿宋" w:hint="eastAsia"/>
        </w:rPr>
        <w:t xml:space="preserve">    (四)负责全市水利工程质量监督工作，负责市直供排水工程质量监督工作。</w:t>
      </w:r>
    </w:p>
    <w:p>
      <w:pPr>
        <w:pStyle w:val="Normal"/>
        <w:widowControl w:val="1"/>
        <w:keepNext w:val="0"/>
        <w:keepLines w:val="0"/>
        <w:pageBreakBefore w:val="0"/>
        <w:wordWrap w:val="1"/>
        <w:overflowPunct w:val="1"/>
        <w:topLinePunct w:val="0"/>
        <w:kinsoku w:val="1"/>
        <w:autoSpaceDE w:val="1"/>
        <w:autoSpaceDN w:val="1"/>
        <w:bidi w:val="0"/>
        <w:snapToGrid w:val="1"/>
        <w:jc w:val="both"/>
        <w:rPr>
          <w:sz w:val="32"/>
          <w:lang w:val="en-US" w:eastAsia="zh-CN"/>
          <w:kern w:val="0"/>
          <w:szCs w:val="32"/>
          <w:rFonts w:ascii="仿宋" w:hAnsi="仿宋" w:eastAsia="仿宋" w:hint="eastAsia"/>
        </w:rPr>
      </w:pPr>
      <w:r>
        <w:rPr>
          <w:sz w:val="32"/>
          <w:lang w:val="en-US" w:eastAsia="zh-CN"/>
          <w:kern w:val="0"/>
          <w:szCs w:val="32"/>
          <w:rFonts w:ascii="仿宋" w:hAnsi="仿宋" w:eastAsia="仿宋" w:hint="eastAsia"/>
        </w:rPr>
        <w:t xml:space="preserve">    (五)承担全市防汛通信的运行和维护管理；负责全市水系水利信息化规划、建设、运行工作。</w:t>
      </w:r>
    </w:p>
    <w:p>
      <w:pPr>
        <w:pStyle w:val="Normal"/>
        <w:widowControl w:val="1"/>
        <w:keepNext w:val="0"/>
        <w:keepLines w:val="0"/>
        <w:pageBreakBefore w:val="0"/>
        <w:wordWrap w:val="1"/>
        <w:overflowPunct w:val="1"/>
        <w:topLinePunct w:val="0"/>
        <w:kinsoku w:val="1"/>
        <w:autoSpaceDE w:val="1"/>
        <w:autoSpaceDN w:val="1"/>
        <w:bidi w:val="0"/>
        <w:snapToGrid w:val="1"/>
        <w:jc w:val="both"/>
        <w:rPr>
          <w:sz w:val="32"/>
          <w:lang w:val="en-US" w:eastAsia="zh-CN"/>
          <w:kern w:val="0"/>
          <w:szCs w:val="32"/>
          <w:rFonts w:ascii="仿宋" w:hAnsi="仿宋" w:eastAsia="仿宋" w:hint="eastAsia"/>
        </w:rPr>
      </w:pPr>
      <w:r>
        <w:rPr>
          <w:sz w:val="32"/>
          <w:lang w:val="en-US" w:eastAsia="zh-CN"/>
          <w:kern w:val="0"/>
          <w:szCs w:val="32"/>
          <w:rFonts w:ascii="仿宋" w:hAnsi="仿宋" w:eastAsia="仿宋" w:hint="eastAsia"/>
        </w:rPr>
        <w:t xml:space="preserve">    (六)完成市水利局交办的其他任务</w:t>
      </w:r>
    </w:p>
    <w:p>
      <w:pPr>
        <w:pStyle w:val="Normal"/>
        <w:widowControl w:val="1"/>
        <w:keepNext w:val="0"/>
        <w:keepLines w:val="0"/>
        <w:jc w:val="start"/>
        <w:suppressLineNumbers w:val="off"/>
        <w:outlineLvl w:val="1"/>
        <w:spacing w:after="0" w:afterAutospacing="0" w:before="0" w:beforeAutospacing="0"/>
        <w:ind w:firstLine="640" w:firstLineChars="200" w:left="0" w:right="0"/>
        <w:rPr>
          <w:sz w:val="32"/>
          <w:lang w:val="en-US" w:eastAsia="zh-CN"/>
          <w:kern w:val="0"/>
          <w:szCs w:val="32"/>
          <w:rFonts w:ascii="黑体" w:hAnsi="宋体" w:eastAsia="黑体" w:hint="eastAsia"/>
        </w:rPr>
      </w:pPr>
      <w:r>
        <w:rPr>
          <w:sz w:val="32"/>
          <w:lang w:val="en-US" w:eastAsia="zh-CN"/>
          <w:kern w:val="0"/>
          <w:szCs w:val="32"/>
          <w:rFonts w:ascii="黑体" w:hAnsi="宋体" w:eastAsia="黑体" w:hint="eastAsia"/>
        </w:rPr>
        <w:t xml:space="preserve">二、机构设置</w:t>
      </w:r>
      <w:r>
        <w:rPr>
          <w:sz w:val="32"/>
          <w:lang w:val="en-US" w:eastAsia="zh-CN"/>
          <w:kern w:val="2"/>
          <w:bCs/>
          <w:szCs w:val="32"/>
          <w:rFonts w:ascii="黑体" w:hAnsi="宋体" w:eastAsia="黑体" w:hint="eastAsia"/>
        </w:rPr>
      </w:r>
    </w:p>
    <w:p>
      <w:pPr>
        <w:pStyle w:val="Normal"/>
        <w:widowControl w:val="1"/>
        <w:keepNext w:val="0"/>
        <w:keepLines w:val="0"/>
        <w:pageBreakBefore w:val="0"/>
        <w:wordWrap w:val="0"/>
        <w:overflowPunct w:val="1"/>
        <w:topLinePunct w:val="0"/>
        <w:kinsoku w:val="1"/>
        <w:autoSpaceDE w:val="1"/>
        <w:autoSpaceDN w:val="1"/>
        <w:bidi w:val="0"/>
        <w:snapToGrid w:val="1"/>
        <w:jc w:val="both"/>
        <w:ind w:firstLine="640" w:firstLineChars="200"/>
        <w:rPr>
          <w:sz w:val="32"/>
          <w:lang w:val="en-US" w:eastAsia="zh-CN"/>
          <w:kern w:val="0"/>
          <w:szCs w:val="32"/>
          <w:rFonts w:ascii="仿宋" w:hAnsi="仿宋" w:eastAsia="仿宋" w:hint="eastAsia"/>
        </w:rPr>
      </w:pPr>
      <w:r>
        <w:rPr>
          <w:sz w:val="32"/>
          <w:lang w:val="en-US" w:eastAsia="zh-CN"/>
          <w:kern w:val="0"/>
          <w:szCs w:val="32"/>
          <w:rFonts w:ascii="仿宋" w:hAnsi="仿宋" w:eastAsia="仿宋" w:hint="eastAsia"/>
        </w:rPr>
        <w:t xml:space="preserve">许昌市河湖事务中心内设机构11个，包括：办公室、财务科、河湖管理科、水利工程质量监督科、水源调度管理科、工程管理防汛科、中心城区水系监管科、清潩河管理所、灞陵河管理所、饮马河管理所、护城河调水管理所</w:t>
      </w:r>
    </w:p>
    <w:p>
      <w:pPr>
        <w:pStyle w:val="BodyText"/>
        <w:keepNext w:val="0"/>
        <w:keepLines w:val="0"/>
        <w:pageBreakBefore w:val="0"/>
        <w:overflowPunct w:val="1"/>
        <w:topLinePunct w:val="0"/>
        <w:kinsoku w:val="1"/>
        <w:autoSpaceDE w:val="1"/>
        <w:autoSpaceDN w:val="1"/>
        <w:bidi w:val="0"/>
        <w:snapToGrid w:val="1"/>
        <w:ind w:firstLine="640" w:firstLineChars="200"/>
        <w:rPr>
          <w:sz w:val="32"/>
          <w:lang w:val="en-US" w:eastAsia="zh-CN" w:bidi="ar-SA"/>
          <w:kern w:val="0"/>
          <w:szCs w:val="32"/>
          <w:rFonts w:ascii="仿宋" w:hAnsi="仿宋" w:eastAsia="仿宋" w:hint="eastAsia"/>
        </w:rPr>
      </w:pPr>
      <w:r>
        <w:rPr>
          <w:sz w:val="32"/>
          <w:lang w:val="en-US" w:eastAsia="zh-CN" w:bidi="ar-SA"/>
          <w:kern w:val="0"/>
          <w:szCs w:val="32"/>
          <w:rFonts w:ascii="仿宋" w:hAnsi="仿宋" w:eastAsia="仿宋" w:hint="eastAsia"/>
        </w:rPr>
        <w:t xml:space="preserve">纳入本单位2025年度部门决算范围的为许昌市河湖事务中心</w:t>
      </w:r>
      <w:bookmarkStart w:id="0" w:name="_GoBack"/>
      <w:bookmarkEnd w:id="0"/>
      <w:r>
        <w:rPr>
          <w:sz w:val="32"/>
          <w:lang w:val="en-US" w:eastAsia="zh-CN" w:bidi="ar-SA"/>
          <w:kern w:val="0"/>
          <w:szCs w:val="32"/>
          <w:rFonts w:ascii="仿宋" w:hAnsi="仿宋" w:eastAsia="仿宋" w:hint="eastAsia"/>
        </w:rPr>
        <w:t xml:space="preserve">。</w:t>
      </w:r>
    </w:p>
    <w:p>
      <w:pPr>
        <w:pStyle w:val="Normal"/>
        <w:widowControl w:val="0"/>
        <w:keepNext w:val="0"/>
        <w:keepLines w:val="0"/>
        <w:pageBreakBefore w:val="0"/>
        <w:wordWrap w:val="0"/>
        <w:overflowPunct w:val="1"/>
        <w:topLinePunct w:val="0"/>
        <w:kinsoku w:val="1"/>
        <w:autoSpaceDE w:val="1"/>
        <w:autoSpaceDN w:val="1"/>
        <w:bidi w:val="0"/>
        <w:snapToGrid w:val="1"/>
        <w:jc w:val="both"/>
        <w:suppressLineNumbers w:val="off"/>
        <w:spacing w:after="0" w:afterAutospacing="0" w:before="0" w:beforeAutospacing="0" w:line="360" w:lineRule="auto"/>
        <w:ind w:firstLine="640" w:firstLineChars="200" w:left="0" w:right="0"/>
        <w:rPr>
          <w:sz w:val="32"/>
          <w:lang w:val="en-US" w:eastAsia="zh-CN"/>
          <w:kern w:val="0"/>
          <w:szCs w:val="32"/>
          <w:rFonts w:ascii="仿宋_GB2312" w:hAnsi="宋体" w:eastAsia="仿宋_GB2312" w:hint="eastAsia"/>
        </w:rPr>
      </w:pPr>
      <w:r>
        <w:rPr>
          <w:sz w:val="32"/>
          <w:lang w:val="en-US" w:eastAsia="zh-CN"/>
          <w:kern w:val="0"/>
          <w:szCs w:val="32"/>
          <w:rFonts w:ascii="仿宋_GB2312" w:hAnsi="宋体" w:eastAsia="仿宋_GB2312" w:hint="eastAsia"/>
        </w:rPr>
      </w:r>
    </w:p>
    <w:p>
      <w:pPr>
        <w:pStyle w:val="Normal"/>
        <w:bidi w:val="0"/>
        <w:rPr>
          <w:lang w:val="en-US" w:eastAsia="zh-CN"/>
          <w:rFonts w:hint="eastAsia"/>
        </w:rPr>
        <w:sectPr>
          <w:type w:val="nextPage"/>
          <w:docGrid w:type="lines" w:linePitch="312" w:charSpace="0"/>
          <w:pgSz w:w="11906" w:h="16838" w:orient="portrait"/>
          <w:pgMar w:top="1440" w:right="1800" w:bottom="1440" w:left="1800" w:header="720" w:footer="720" w:gutter="0"/>
          <w:pgNumType w:fmt="57"/>
          <w:cols w:num="1" w:equalWidth="0" w:space="425">
            <w:col w:space="-12288" w:w="8306"/>
          </w:cols>
          <w:pgNumType w:fmt="57"/>
        </w:sectPr>
      </w:pPr>
    </w:p>
    <w:p>
      <w:pPr>
        <w:pStyle w:val="Normal"/>
        <w:bidi w:val="0"/>
        <w:rPr>
          <w:lang w:val="en-US" w:eastAsia="zh-CN"/>
          <w:rFonts w:hint="eastAsia"/>
        </w:rPr>
      </w:pPr>
      <w:r>
        <w:rPr>
          <w:lang w:val="en-US" w:eastAsia="zh-CN"/>
          <w:rFonts w:hint="eastAsia"/>
        </w:rPr>
      </w:r>
    </w:p>
    <w:p>
      <w:pPr>
        <w:pStyle w:val="Normal"/>
        <w:bidi w:val="0"/>
        <w:rPr>
          <w:lang w:val="en-US" w:eastAsia="zh-CN"/>
          <w:rFonts w:hint="eastAsia"/>
        </w:rPr>
      </w:pPr>
      <w:r>
        <w:rPr>
          <w:lang w:val="en-US" w:eastAsia="zh-CN"/>
          <w:rFonts w:hint="eastAsia"/>
        </w:rPr>
      </w:r>
    </w:p>
    <w:p>
      <w:pPr>
        <w:pStyle w:val="Normal"/>
        <w:bidi w:val="0"/>
        <w:rPr>
          <w:lang w:val="en-US" w:eastAsia="zh-CN"/>
        </w:rPr>
      </w:pPr>
      <w:r>
        <w:rPr>
          <w:lang w:val="en-US" w:eastAsia="zh-CN"/>
        </w:rPr>
      </w:r>
    </w:p>
    <w:p>
      <w:pPr>
        <w:pStyle w:val="Normal"/>
        <w:bidi w:val="0"/>
        <w:rPr>
          <w:lang w:val="en-US" w:eastAsia="zh-CN"/>
          <w:rFonts w:hint="eastAsia"/>
        </w:rPr>
      </w:pPr>
      <w:r>
        <w:rPr>
          <w:lang w:val="en-US" w:eastAsia="zh-CN"/>
          <w:rFonts w:hint="eastAsia"/>
        </w:rPr>
        <w:t xml:space="preserve"> </w:t>
      </w:r>
    </w:p>
    <w:p>
      <w:pPr>
        <w:pStyle w:val="Normal"/>
        <w:bidi w:val="0"/>
        <w:rPr>
          <w:lang w:val="en-US" w:eastAsia="zh-CN"/>
          <w:rFonts w:hint="eastAsia"/>
        </w:rPr>
      </w:pPr>
      <w:r>
        <w:rPr>
          <w:lang w:val="en-US" w:eastAsia="zh-CN"/>
          <w:rFonts w:hint="eastAsia"/>
        </w:rPr>
        <w:t xml:space="preserve"> </w:t>
      </w:r>
      <w:r>
        <w:rPr>
          <w:rFonts w:hint="eastAsia"/>
        </w:rPr>
      </w:r>
    </w:p>
    <w:p>
      <w:pPr>
        <w:pStyle w:val="Normal"/>
        <w:bidi w:val="0"/>
        <w:rPr>
          <w:lang w:val="en-US" w:eastAsia="zh-CN"/>
          <w:rFonts w:hint="eastAsia"/>
        </w:rPr>
      </w:pPr>
      <w:r>
        <w:rPr>
          <w:lang w:val="en-US" w:eastAsia="zh-CN"/>
          <w:rFonts w:hint="eastAsia"/>
        </w:rPr>
        <w:t xml:space="preserve"> </w:t>
      </w:r>
      <w:r>
        <w:rPr>
          <w:rFonts w:hint="eastAsia"/>
        </w:rPr>
      </w:r>
    </w:p>
    <w:p>
      <w:pPr>
        <w:pStyle w:val="Normal"/>
        <w:bidi w:val="0"/>
        <w:rPr>
          <w:lang w:val="en-US" w:eastAsia="zh-CN"/>
          <w:rFonts w:hint="eastAsia"/>
        </w:rPr>
      </w:pPr>
      <w:r>
        <w:rPr>
          <w:lang w:val="en-US" w:eastAsia="zh-CN"/>
          <w:rFonts w:hint="eastAsia"/>
        </w:rPr>
        <w:t xml:space="preserve"> </w:t>
      </w:r>
      <w:r>
        <w:rPr>
          <w:rFonts w:hint="eastAsia"/>
        </w:rPr>
      </w:r>
    </w:p>
    <w:p>
      <w:pPr>
        <w:pStyle w:val="Normal"/>
        <w:bidi w:val="0"/>
        <w:rPr>
          <w:lang w:val="en-US" w:eastAsia="zh-CN"/>
          <w:rFonts w:hint="eastAsia"/>
        </w:rPr>
      </w:pPr>
      <w:r>
        <w:rPr>
          <w:lang w:val="en-US" w:eastAsia="zh-CN"/>
          <w:rFonts w:hint="eastAsia"/>
        </w:rPr>
        <w:t xml:space="preserve"> </w:t>
      </w:r>
      <w:r>
        <w:rPr>
          <w:rFonts w:hint="eastAsia"/>
        </w:rPr>
      </w:r>
    </w:p>
    <w:p>
      <w:pPr>
        <w:pStyle w:val="Normal"/>
        <w:bidi w:val="0"/>
        <w:rPr>
          <w:lang w:val="en-US" w:eastAsia="zh-CN"/>
          <w:rFonts w:hint="eastAsia"/>
        </w:rPr>
      </w:pPr>
      <w:r>
        <w:rPr>
          <w:lang w:val="en-US" w:eastAsia="zh-CN"/>
          <w:rFonts w:hint="eastAsia"/>
        </w:rPr>
        <w:t xml:space="preserve"> </w:t>
      </w:r>
      <w:r>
        <w:rPr>
          <w:rFonts w:hint="eastAsia"/>
        </w:rPr>
      </w:r>
    </w:p>
    <w:p>
      <w:pPr>
        <w:pStyle w:val="Normal"/>
        <w:bidi w:val="0"/>
        <w:rPr>
          <w:lang w:val="en-US" w:eastAsia="zh-CN"/>
          <w:rFonts w:hint="eastAsia"/>
        </w:rPr>
      </w:pPr>
      <w:r>
        <w:rPr>
          <w:lang w:val="en-US" w:eastAsia="zh-CN"/>
          <w:rFonts w:hint="eastAsia"/>
        </w:rPr>
        <w:t xml:space="preserve"> </w:t>
      </w:r>
      <w:r>
        <w:rPr>
          <w:rFonts w:hint="eastAsia"/>
        </w:rPr>
      </w:r>
    </w:p>
    <w:p>
      <w:pPr>
        <w:pStyle w:val="Normal"/>
        <w:widowControl w:val="0"/>
        <w:keepNext w:val="0"/>
        <w:keepLines w:val="0"/>
        <w:jc w:val="center"/>
        <w:suppressLineNumbers w:val="off"/>
        <w:outlineLvl w:val="0"/>
        <w:spacing w:after="0" w:afterAutospacing="0" w:before="0" w:beforeAutospacing="0"/>
        <w:ind w:left="0" w:right="0"/>
        <w:rPr>
          <w:sz w:val="48"/>
          <w:lang w:val="en-US" w:eastAsia="zh-CN"/>
          <w:kern w:val="2"/>
          <w:szCs w:val="48"/>
          <w:rFonts w:ascii="黑体" w:hAnsi="宋体" w:eastAsia="黑体" w:hint="eastAsia"/>
        </w:rPr>
      </w:pPr>
      <w:r>
        <w:rPr>
          <w:sz w:val="48"/>
          <w:lang w:val="en-US" w:eastAsia="zh-CN"/>
          <w:kern w:val="2"/>
          <w:szCs w:val="48"/>
          <w:rFonts w:ascii="黑体" w:hAnsi="宋体" w:eastAsia="黑体" w:hint="eastAsia"/>
        </w:rPr>
        <w:t xml:space="preserve">第二部分 2025年度单位决算表</w:t>
      </w:r>
      <w:r>
        <w:rPr>
          <w:sz w:val="48"/>
          <w:kern w:val="2"/>
          <w:szCs w:val="4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sectPr>
          <w:type w:val="nextPage"/>
          <w:docGrid w:type="lines" w:linePitch="312" w:charSpace="0"/>
          <w:pgSz w:w="11906" w:h="16838" w:orient="portrait"/>
          <w:pgMar w:top="1440" w:right="1800" w:bottom="1440" w:left="1800" w:header="720" w:footer="720" w:gutter="0"/>
          <w:pgNumType w:fmt="57"/>
          <w:cols w:num="1" w:equalWidth="0" w:space="425">
            <w:col w:space="-12288" w:w="8306"/>
          </w:cols>
          <w:pgNumType w:fmt="57"/>
        </w:sectPr>
      </w:pPr>
      <w:r>
        <w:rPr>
          <w:sz w:val="28"/>
          <w:lang w:val="en-US" w:eastAsia="zh-CN"/>
          <w:kern w:val="0"/>
          <w:szCs w:val="28"/>
          <w:rFonts w:ascii="黑体" w:hAnsi="宋体" w:eastAsia="黑体" w:hint="eastAsia"/>
        </w:rPr>
        <w:t xml:space="preserve"> </w:t>
      </w:r>
    </w:p>
    <w:p>
      <w:pPr>
        <w:pStyle w:val="Normal"/>
        <w:keepNext w:val="0"/>
        <w:keepLines w:val="0"/>
        <w:pageBreakBefore w:val="0"/>
        <w:wordWrap w:val="0"/>
        <w:overflowPunct w:val="1"/>
        <w:topLinePunct w:val="0"/>
        <w:kinsoku w:val="1"/>
        <w:autoSpaceDE w:val="1"/>
        <w:autoSpaceDN w:val="1"/>
        <w:bidi w:val="0"/>
        <w:jc w:val="center"/>
        <w:rPr>
          <w:sz w:val="32"/>
          <w:lang w:val="en-US" w:eastAsia="zh-CN"/>
          <w:szCs w:val="32"/>
          <w:rFonts w:ascii="黑体" w:hAnsi="黑体" w:eastAsia="黑体" w:hint="eastAsia"/>
        </w:rPr>
      </w:pPr>
      <w:r>
        <w:rPr>
          <w:sz w:val="32"/>
          <w:lang w:val="en-US" w:eastAsia="zh-CN"/>
          <w:szCs w:val="32"/>
          <w:rFonts w:ascii="黑体" w:hAnsi="黑体" w:eastAsia="黑体" w:hint="eastAsia"/>
        </w:rPr>
        <w:t xml:space="preserve">收入支出决算总表</w:t>
      </w:r>
      <w:r>
        <w:rPr>
          <w:color w:val="000000"/>
          <w:sz w:val="20"/>
          <w:lang w:val="en-US" w:eastAsia="zh-CN"/>
          <w:kern w:val="0"/>
          <w:szCs w:val="20"/>
          <w:rFonts w:ascii="宋体" w:hAnsi="宋体" w:hint="eastAsia"/>
        </w:rPr>
      </w:r>
    </w:p>
    <w:tbl>
      <w:tblPr>
        <w:tblW w:w="0" w:type="auto"/>
        <w:jc w:val="center"/>
        <w:tblInd w:type="dxa" w:w="0.000000"/>
        <w:tblLayout w:type="fixed"/>
        <w:tblLook w:noVBand="0" w:noHBand="0" w:lastColumn="0" w:firstColumn="0" w:lastRow="0" w:firstRow="0" w:val="04a0"/>
        <w:tblBorders>
          <w:top w:val="nil"/>
          <w:left w:val="nil"/>
          <w:bottom w:val="nil"/>
          <w:right w:val="nil"/>
          <w:insideH w:val="nil"/>
          <w:insideV w:val="nil"/>
        </w:tblBorders>
        <w:tblCellMar>
          <w:top w:type="dxa" w:w="0.000000"/>
          <w:bottom w:type="dxa" w:w="0.000000"/>
          <w:left w:type="dxa" w:w="80.000000"/>
          <w:right w:type="dxa" w:w="80.000000"/>
        </w:tblCellMar>
      </w:tblPr>
      <w:tblGrid>
        <w:gridCol w:w="5412.000000"/>
        <w:gridCol w:w="2000.000000"/>
        <w:gridCol w:w="5412.000000"/>
      </w:tblGrid>
      <w:tr>
        <w:tblPrEx>
          <w:tblBorders>
            <w:top w:val="nil"/>
            <w:left w:val="nil"/>
            <w:bottom w:val="nil"/>
            <w:right w:val="nil"/>
            <w:insideH w:val="nil"/>
            <w:insideV w:val="nil"/>
          </w:tblBorders>
        </w:tblPrEx>
        <w:trPr>
          <w:trHeight w:val="0" w:hRule="auto"/>
        </w:trPr>
        <w:tc>
          <w:tcPr>
            <w:tcW w:w="12824" w:type="dxa"/>
            <w:gridSpan w:val="3"/>
            <w:vAlign w:val="center"/>
            <w:textDirection w:val="lrTb"/>
          </w:tcPr>
          <w:p>
            <w:pPr>
              <w:pStyle w:val="Normal"/>
              <w:widowControl w:val="0"/>
              <w:jc w:val="end"/>
              <w:divId w:val="0"/>
              <w:rPr>
                <w:sz w:val="12"/>
                <w:lang w:val="en-US" w:eastAsia="zh-CN" w:bidi="ar-SA"/>
                <w:kern w:val="2"/>
                <w:szCs w:val="24"/>
                <w:rFonts w:ascii="宋体" w:hAnsi="宋体" w:eastAsia="宋体"/>
              </w:rPr>
            </w:pPr>
            <w:r>
              <w:rPr>
                <w:sz w:val="12"/>
                <w:lang w:val="en-US" w:eastAsia="zh-CN" w:bidi="ar-SA"/>
                <w:kern w:val="2"/>
                <w:szCs w:val="24"/>
                <w:rFonts w:ascii="宋体" w:hAnsi="宋体" w:eastAsia="宋体"/>
              </w:rPr>
              <w:t xml:space="preserve">公开01表</w:t>
            </w:r>
            <w:r>
              <w:rPr>
                <w:sz w:val="32"/>
                <w:lang w:val="en-US" w:eastAsia="zh-CN" w:bidi="ar-SA"/>
                <w:kern w:val="2"/>
                <w:szCs w:val="24"/>
                <w:rFonts w:ascii="Calibri" w:hAnsi="Calibri" w:eastAsia="仿宋_GB2312"/>
              </w:rPr>
            </w:r>
          </w:p>
        </w:tc>
      </w:tr>
      <w:tr>
        <w:tblPrEx>
          <w:tblBorders>
            <w:top w:val="nil"/>
            <w:left w:val="nil"/>
            <w:bottom w:val="nil"/>
            <w:right w:val="nil"/>
            <w:insideH w:val="nil"/>
            <w:insideV w:val="nil"/>
          </w:tblBorders>
        </w:tblPrEx>
        <w:trPr>
          <w:trHeight w:val="0" w:hRule="auto"/>
        </w:trPr>
        <w:tc>
          <w:tcPr>
            <w:tcW w:w="5412" w:type="dxa"/>
            <w:vAlign w:val="center"/>
            <w:textDirection w:val="lrTb"/>
          </w:tcPr>
          <w:p>
            <w:pPr>
              <w:pStyle w:val="Normal"/>
              <w:widowControl w:val="0"/>
              <w:jc w:val="start"/>
              <w:divId w:val="0"/>
              <w:rPr>
                <w:sz w:val="12"/>
                <w:lang w:val="en-US" w:eastAsia="zh-CN" w:bidi="ar-SA"/>
                <w:kern w:val="2"/>
                <w:szCs w:val="24"/>
                <w:rFonts w:ascii="宋体" w:hAnsi="宋体" w:eastAsia="宋体"/>
              </w:rPr>
            </w:pPr>
            <w:r>
              <w:rPr>
                <w:sz w:val="12"/>
                <w:lang w:val="en-US" w:eastAsia="zh-CN" w:bidi="ar-SA"/>
                <w:kern w:val="2"/>
                <w:szCs w:val="24"/>
                <w:rFonts w:ascii="宋体" w:hAnsi="宋体" w:eastAsia="宋体"/>
              </w:rPr>
              <w:t xml:space="preserve">单位：许昌市河湖事务中心</w:t>
            </w:r>
            <w:r>
              <w:rPr>
                <w:sz w:val="32"/>
                <w:lang w:val="en-US" w:eastAsia="zh-CN" w:bidi="ar-SA"/>
                <w:kern w:val="2"/>
                <w:szCs w:val="24"/>
                <w:rFonts w:ascii="Calibri" w:hAnsi="Calibri" w:eastAsia="仿宋_GB2312"/>
              </w:rPr>
            </w:r>
          </w:p>
        </w:tc>
        <w:tc>
          <w:tcPr>
            <w:tcW w:w="2000" w:type="dxa"/>
            <w:vAlign w:val="center"/>
            <w:textDirection w:val="lrTb"/>
          </w:tcPr>
          <w:p>
            <w:pPr>
              <w:pStyle w:val="Normal"/>
              <w:widowControl w:val="0"/>
              <w:jc w:val="center"/>
              <w:divId w:val="0"/>
              <w:rPr>
                <w:sz w:val="12"/>
                <w:lang w:val="en-US" w:eastAsia="zh-CN" w:bidi="ar-SA"/>
                <w:kern w:val="2"/>
                <w:szCs w:val="24"/>
                <w:rFonts w:ascii="宋体" w:hAnsi="宋体" w:eastAsia="宋体"/>
              </w:rPr>
            </w:pPr>
            <w:r>
              <w:rPr>
                <w:sz w:val="12"/>
                <w:lang w:val="en-US" w:eastAsia="zh-CN" w:bidi="ar-SA"/>
                <w:kern w:val="2"/>
                <w:szCs w:val="24"/>
                <w:rFonts w:ascii="宋体" w:hAnsi="宋体" w:eastAsia="宋体"/>
              </w:rPr>
              <w:t xml:space="preserve">2025年度</w:t>
            </w:r>
            <w:r>
              <w:rPr>
                <w:sz w:val="32"/>
                <w:lang w:val="en-US" w:eastAsia="zh-CN" w:bidi="ar-SA"/>
                <w:kern w:val="2"/>
                <w:szCs w:val="24"/>
                <w:rFonts w:ascii="Calibri" w:hAnsi="Calibri" w:eastAsia="仿宋_GB2312"/>
              </w:rPr>
            </w:r>
          </w:p>
        </w:tc>
        <w:tc>
          <w:tcPr>
            <w:tcW w:w="5412" w:type="dxa"/>
            <w:vAlign w:val="center"/>
            <w:textDirection w:val="lrTb"/>
          </w:tcPr>
          <w:p>
            <w:pPr>
              <w:pStyle w:val="Normal"/>
              <w:widowControl w:val="0"/>
              <w:jc w:val="end"/>
              <w:divId w:val="0"/>
              <w:rPr>
                <w:sz w:val="12"/>
                <w:lang w:val="en-US" w:eastAsia="zh-CN" w:bidi="ar-SA"/>
                <w:kern w:val="2"/>
                <w:szCs w:val="24"/>
                <w:rFonts w:ascii="宋体" w:hAnsi="宋体" w:eastAsia="宋体"/>
              </w:rPr>
            </w:pPr>
            <w:r>
              <w:rPr>
                <w:sz w:val="12"/>
                <w:lang w:val="en-US" w:eastAsia="zh-CN" w:bidi="ar-SA"/>
                <w:kern w:val="2"/>
                <w:szCs w:val="24"/>
                <w:rFonts w:ascii="宋体" w:hAnsi="宋体" w:eastAsia="宋体"/>
              </w:rPr>
              <w:t xml:space="preserve">单位：万元</w:t>
            </w:r>
            <w:r>
              <w:rPr>
                <w:sz w:val="32"/>
                <w:lang w:val="en-US" w:eastAsia="zh-CN" w:bidi="ar-SA"/>
                <w:kern w:val="2"/>
                <w:szCs w:val="24"/>
                <w:rFonts w:ascii="Calibri" w:hAnsi="Calibri" w:eastAsia="仿宋_GB2312"/>
              </w:rPr>
            </w:r>
          </w:p>
        </w:tc>
      </w:tr>
    </w:tbl>
    <w:p>
      <w:pPr>
        <w:pStyle w:val="Normal"/>
        <w:snapToGrid w:val="0"/>
        <w:spacing w:after="0" w:before="0" w:line="0" w:lineRule="auto"/>
        <w:rPr>
          <w:sz w:val="8"/>
        </w:rPr>
      </w:pPr>
      <w:r>
        <w:rPr>
          <w:sz w:val="8"/>
        </w:rPr>
        <w:t xml:space="preserve"> </w:t>
      </w:r>
      <w:r/>
    </w:p>
    <w:tbl>
      <w:tblPr>
        <w:tblW w:w="0" w:type="auto"/>
        <w:jc w:val="center"/>
        <w:tblInd w:type="dxa" w:w="0.000000"/>
        <w:tblLayout w:type="fixed"/>
        <w:tblLook w:noVBand="0" w:noHBand="0" w:lastColumn="0" w:firstColumn="0" w:lastRow="0" w:firstRow="0" w:val="04a0"/>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type="dxa" w:w="0.000000"/>
          <w:bottom w:type="dxa" w:w="0.000000"/>
          <w:left w:type="dxa" w:w="80.000000"/>
          <w:right w:type="dxa" w:w="80.000000"/>
        </w:tblCellMar>
      </w:tblPr>
      <w:tblGrid>
        <w:gridCol w:w="3780.000000"/>
        <w:gridCol w:w="620.000000"/>
        <w:gridCol w:w="2020.000000"/>
        <w:gridCol w:w="3780.000000"/>
        <w:gridCol w:w="620.000000"/>
        <w:gridCol w:w="2004.000000"/>
      </w:tblGrid>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6420" w:type="dxa"/>
            <w:gridSpan w:val="3"/>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收入</w:t>
            </w:r>
            <w:r>
              <w:rPr>
                <w:sz w:val="32"/>
                <w:lang w:val="en-US" w:eastAsia="zh-CN" w:bidi="ar-SA"/>
                <w:kern w:val="2"/>
                <w:szCs w:val="24"/>
                <w:rFonts w:ascii="Calibri" w:hAnsi="Calibri" w:eastAsia="仿宋_GB2312"/>
              </w:rPr>
            </w:r>
          </w:p>
        </w:tc>
        <w:tc>
          <w:tcPr>
            <w:tcW w:w="6404" w:type="dxa"/>
            <w:gridSpan w:val="3"/>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支出</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项目</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行次</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决算数</w:t>
            </w: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项目</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行次</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决算数</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栏次</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1</w:t>
            </w: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栏次</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2</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一、一般公共预算财政拨款收入</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1</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1,428.03</w:t>
            </w: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一、一般公共服务支出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31</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二、政府性基金预算财政拨款收入</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2</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二、外交支出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32</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三、国有资本经营预算财政拨款收入</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3</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三、国防支出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33</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四、上级补助收入</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4</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四、公共安全支出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34</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五、事业收入</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五、教育支出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35</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六、经营收入</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6</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六、科学技术支出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36</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七、附属单位上缴收入</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7</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七、文化旅游体育与传媒支出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37</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八、其他收入</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8</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八、社会保障和就业支出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38</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179.77</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9</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九、卫生健康支出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39</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10</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十、节能环保支出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40</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11</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十一、城乡社区支出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41</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12</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十二、农林水支出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42</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1,163.19</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13</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十三、交通运输支出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43</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14</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十四、资源勘探工业信息等支出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44</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15</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十五、商业服务业等支出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45</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16</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十六、金融支出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46</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17</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十七、援助其他地区支出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47</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18</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十八、自然资源海洋气象等支出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48</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19</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十九、住房保障支出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49</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20</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二十、粮油物资储备支出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50</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21</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二十一、国有资本经营预算支出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51</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22</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二十二、灾害防治及应急管理支出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52</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23</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二十三、其他支出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53</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8"/>
                <w:lang w:val="en-US" w:eastAsia="zh-CN" w:bidi="ar-SA"/>
                <w:kern w:val="2"/>
                <w:szCs w:val="24"/>
                <w:rFonts w:ascii="宋体" w:hAnsi="宋体" w:eastAsia="宋体"/>
              </w:rPr>
            </w:pPr>
            <w:r>
              <w:rPr>
                <w:b w:val="0"/>
                <w:i w:val="0"/>
                <w:color w:val="262626"/>
                <w:sz w:val="18"/>
                <w:lang w:val="en-US" w:eastAsia="zh-CN" w:bidi="ar-SA"/>
                <w:kern w:val="2"/>
                <w:szCs w:val="24"/>
                <w:rFonts w:ascii="宋体" w:hAnsi="宋体" w:eastAsia="宋体"/>
              </w:rPr>
              <w:t xml:space="preserve">24</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二十四、债务还本支出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54</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8"/>
                <w:lang w:val="en-US" w:eastAsia="zh-CN" w:bidi="ar-SA"/>
                <w:kern w:val="2"/>
                <w:szCs w:val="24"/>
                <w:rFonts w:ascii="宋体" w:hAnsi="宋体" w:eastAsia="宋体"/>
              </w:rPr>
            </w:pPr>
            <w:r>
              <w:rPr>
                <w:b w:val="0"/>
                <w:i w:val="0"/>
                <w:color w:val="262626"/>
                <w:sz w:val="18"/>
                <w:lang w:val="en-US" w:eastAsia="zh-CN" w:bidi="ar-SA"/>
                <w:kern w:val="2"/>
                <w:szCs w:val="24"/>
                <w:rFonts w:ascii="宋体" w:hAnsi="宋体" w:eastAsia="宋体"/>
              </w:rPr>
              <w:t xml:space="preserve">25</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二十五、债务付息支出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55</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8"/>
                <w:lang w:val="en-US" w:eastAsia="zh-CN" w:bidi="ar-SA"/>
                <w:kern w:val="2"/>
                <w:szCs w:val="24"/>
                <w:rFonts w:ascii="宋体" w:hAnsi="宋体" w:eastAsia="宋体"/>
              </w:rPr>
            </w:pPr>
            <w:r>
              <w:rPr>
                <w:b w:val="0"/>
                <w:i w:val="0"/>
                <w:color w:val="262626"/>
                <w:sz w:val="18"/>
                <w:lang w:val="en-US" w:eastAsia="zh-CN" w:bidi="ar-SA"/>
                <w:kern w:val="2"/>
                <w:szCs w:val="24"/>
                <w:rFonts w:ascii="宋体" w:hAnsi="宋体" w:eastAsia="宋体"/>
              </w:rPr>
              <w:t xml:space="preserve">26</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二十六、抗疫特别国债安排的支出</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56</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snapToGrid w:val="0"/>
              <w:jc w:val="center"/>
              <w:divId w:val="0"/>
              <w:rPr>
                <w:b w:val="1"/>
                <w:i w:val="0"/>
                <w:color w:val="262626"/>
                <w:sz w:val="19"/>
                <w:lang w:val="en-US" w:eastAsia="zh-CN" w:bidi="ar-SA"/>
                <w:kern w:val="2"/>
                <w:szCs w:val="24"/>
                <w:rFonts w:ascii="宋体" w:hAnsi="宋体" w:eastAsia="宋体"/>
              </w:rPr>
            </w:pPr>
            <w:r>
              <w:rPr>
                <w:b w:val="1"/>
                <w:i w:val="0"/>
                <w:color w:val="262626"/>
                <w:sz w:val="19"/>
                <w:lang w:val="en-US" w:eastAsia="zh-CN" w:bidi="ar-SA"/>
                <w:kern w:val="2"/>
                <w:szCs w:val="24"/>
                <w:rFonts w:ascii="宋体" w:hAnsi="宋体" w:eastAsia="宋体"/>
              </w:rPr>
              <w:t xml:space="preserve">本年收入合计</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27</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1,428.03</w:t>
            </w: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center"/>
              <w:divId w:val="0"/>
              <w:rPr>
                <w:b w:val="1"/>
                <w:i w:val="0"/>
                <w:color w:val="262626"/>
                <w:sz w:val="19"/>
                <w:lang w:val="en-US" w:eastAsia="zh-CN" w:bidi="ar-SA"/>
                <w:kern w:val="2"/>
                <w:szCs w:val="24"/>
                <w:rFonts w:ascii="宋体" w:hAnsi="宋体" w:eastAsia="宋体"/>
              </w:rPr>
            </w:pPr>
            <w:r>
              <w:rPr>
                <w:b w:val="1"/>
                <w:i w:val="0"/>
                <w:color w:val="262626"/>
                <w:sz w:val="19"/>
                <w:lang w:val="en-US" w:eastAsia="zh-CN" w:bidi="ar-SA"/>
                <w:kern w:val="2"/>
                <w:szCs w:val="24"/>
                <w:rFonts w:ascii="宋体" w:hAnsi="宋体" w:eastAsia="宋体"/>
              </w:rPr>
              <w:t xml:space="preserve">本年支出合计</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57</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1,428.03</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   使用非财政拨款结余（含专用结余）</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28</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   结余分配</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58</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   年初结转和结余</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29</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   年末结转和结余</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59</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3780" w:type="dxa"/>
            <w:vAlign w:val="center"/>
            <w:textDirection w:val="lrTb"/>
          </w:tcPr>
          <w:p>
            <w:pPr>
              <w:pStyle w:val="Normal"/>
              <w:widowControl w:val="0"/>
              <w:snapToGrid w:val="0"/>
              <w:jc w:val="center"/>
              <w:divId w:val="0"/>
              <w:rPr>
                <w:b w:val="1"/>
                <w:i w:val="0"/>
                <w:color w:val="262626"/>
                <w:sz w:val="19"/>
                <w:lang w:val="en-US" w:eastAsia="zh-CN" w:bidi="ar-SA"/>
                <w:kern w:val="2"/>
                <w:szCs w:val="24"/>
                <w:rFonts w:ascii="宋体" w:hAnsi="宋体" w:eastAsia="宋体"/>
              </w:rPr>
            </w:pPr>
            <w:r>
              <w:rPr>
                <w:b w:val="1"/>
                <w:i w:val="0"/>
                <w:color w:val="262626"/>
                <w:sz w:val="19"/>
                <w:lang w:val="en-US" w:eastAsia="zh-CN" w:bidi="ar-SA"/>
                <w:kern w:val="2"/>
                <w:szCs w:val="24"/>
                <w:rFonts w:ascii="宋体" w:hAnsi="宋体" w:eastAsia="宋体"/>
              </w:rPr>
              <w:t xml:space="preserve">总计</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30</w:t>
            </w:r>
            <w:r>
              <w:rPr>
                <w:sz w:val="32"/>
                <w:lang w:val="en-US" w:eastAsia="zh-CN" w:bidi="ar-SA"/>
                <w:kern w:val="2"/>
                <w:szCs w:val="24"/>
                <w:rFonts w:ascii="Calibri" w:hAnsi="Calibri" w:eastAsia="仿宋_GB2312"/>
              </w:rPr>
            </w:r>
          </w:p>
        </w:tc>
        <w:tc>
          <w:tcPr>
            <w:tcW w:w="2020"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1,428.03</w:t>
            </w:r>
            <w:r>
              <w:rPr>
                <w:sz w:val="32"/>
                <w:lang w:val="en-US" w:eastAsia="zh-CN" w:bidi="ar-SA"/>
                <w:kern w:val="2"/>
                <w:szCs w:val="24"/>
                <w:rFonts w:ascii="Calibri" w:hAnsi="Calibri" w:eastAsia="仿宋_GB2312"/>
              </w:rPr>
            </w:r>
          </w:p>
        </w:tc>
        <w:tc>
          <w:tcPr>
            <w:tcW w:w="3780" w:type="dxa"/>
            <w:vAlign w:val="center"/>
            <w:textDirection w:val="lrTb"/>
          </w:tcPr>
          <w:p>
            <w:pPr>
              <w:pStyle w:val="Normal"/>
              <w:widowControl w:val="0"/>
              <w:snapToGrid w:val="0"/>
              <w:jc w:val="center"/>
              <w:divId w:val="0"/>
              <w:rPr>
                <w:b w:val="1"/>
                <w:i w:val="0"/>
                <w:color w:val="262626"/>
                <w:sz w:val="19"/>
                <w:lang w:val="en-US" w:eastAsia="zh-CN" w:bidi="ar-SA"/>
                <w:kern w:val="2"/>
                <w:szCs w:val="24"/>
                <w:rFonts w:ascii="宋体" w:hAnsi="宋体" w:eastAsia="宋体"/>
              </w:rPr>
            </w:pPr>
            <w:r>
              <w:rPr>
                <w:b w:val="1"/>
                <w:i w:val="0"/>
                <w:color w:val="262626"/>
                <w:sz w:val="19"/>
                <w:lang w:val="en-US" w:eastAsia="zh-CN" w:bidi="ar-SA"/>
                <w:kern w:val="2"/>
                <w:szCs w:val="24"/>
                <w:rFonts w:ascii="宋体" w:hAnsi="宋体" w:eastAsia="宋体"/>
              </w:rPr>
              <w:t xml:space="preserve">总计</w:t>
            </w:r>
            <w:r>
              <w:rPr>
                <w:sz w:val="32"/>
                <w:lang w:val="en-US" w:eastAsia="zh-CN" w:bidi="ar-SA"/>
                <w:kern w:val="2"/>
                <w:szCs w:val="24"/>
                <w:rFonts w:ascii="Calibri" w:hAnsi="Calibri" w:eastAsia="仿宋_GB2312"/>
              </w:rPr>
            </w:r>
          </w:p>
        </w:tc>
        <w:tc>
          <w:tcPr>
            <w:tcW w:w="6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60</w:t>
            </w:r>
            <w:r>
              <w:rPr>
                <w:sz w:val="32"/>
                <w:lang w:val="en-US" w:eastAsia="zh-CN" w:bidi="ar-SA"/>
                <w:kern w:val="2"/>
                <w:szCs w:val="24"/>
                <w:rFonts w:ascii="Calibri" w:hAnsi="Calibri" w:eastAsia="仿宋_GB2312"/>
              </w:rPr>
            </w:r>
          </w:p>
        </w:tc>
        <w:tc>
          <w:tcPr>
            <w:tcW w:w="2004" w:type="dxa"/>
            <w:vAlign w:val="center"/>
            <w:textDirection w:val="lrTb"/>
          </w:tcPr>
          <w:p>
            <w:pPr>
              <w:pStyle w:val="Normal"/>
              <w:widowControl w:val="0"/>
              <w:snapToGrid w:val="0"/>
              <w:jc w:val="end"/>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1,428.03</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12824" w:type="dxa"/>
            <w:gridSpan w:val="6"/>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注：1.本表反映部门本年度的总收支和年末结转结余情况。</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0" w:hRule="exact"/>
        </w:trPr>
        <w:tc>
          <w:tcPr>
            <w:tcW w:w="12824" w:type="dxa"/>
            <w:gridSpan w:val="6"/>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    2.本套报表金额单位转换时可能存在尾数误差。</w:t>
            </w:r>
            <w:r>
              <w:rPr>
                <w:sz w:val="32"/>
                <w:lang w:val="en-US" w:eastAsia="zh-CN" w:bidi="ar-SA"/>
                <w:kern w:val="2"/>
                <w:szCs w:val="24"/>
                <w:rFonts w:ascii="Calibri" w:hAnsi="Calibri" w:eastAsia="仿宋_GB2312"/>
              </w:rPr>
            </w:r>
          </w:p>
        </w:tc>
      </w:tr>
    </w:tbl>
    <w:p>
      <w:pPr>
        <w:pStyle w:val="Normal"/>
        <w:keepNext w:val="0"/>
        <w:keepLines w:val="0"/>
        <w:pageBreakBefore w:val="0"/>
        <w:wordWrap w:val="0"/>
        <w:overflowPunct w:val="1"/>
        <w:topLinePunct w:val="0"/>
        <w:kinsoku w:val="1"/>
        <w:autoSpaceDE w:val="1"/>
        <w:autoSpaceDN w:val="1"/>
        <w:bidi w:val="0"/>
        <w:jc w:val="both"/>
        <w:rPr>
          <w:color w:val="000000"/>
          <w:sz w:val="20"/>
          <w:lang w:val="en-US" w:eastAsia="zh-CN"/>
          <w:kern w:val="0"/>
          <w:szCs w:val="20"/>
          <w:rFonts w:ascii="宋体" w:hAnsi="宋体" w:hint="eastAsia"/>
        </w:rPr>
        <w:sectPr>
          <w:type w:val="nextPage"/>
          <w:docGrid w:type="lines" w:linePitch="312" w:charSpace="0"/>
          <w:pgSz w:w="16838" w:h="11906" w:orient="landscape"/>
          <w:pgMar w:top="669" w:right="2007" w:bottom="669" w:left="2007" w:header="720" w:footer="720" w:gutter="0"/>
          <w:pgNumType w:fmt="57"/>
          <w:cols w:num="1" w:equalWidth="0" w:space="720">
            <w:col w:space="-12288" w:w="12824"/>
          </w:cols>
          <w:pgNumType w:fmt="57"/>
        </w:sectPr>
      </w:pPr>
    </w:p>
    <w:p>
      <w:pPr>
        <w:pStyle w:val="Normal"/>
        <w:keepNext w:val="0"/>
        <w:keepLines w:val="0"/>
        <w:pageBreakBefore w:val="0"/>
        <w:wordWrap w:val="0"/>
        <w:overflowPunct w:val="1"/>
        <w:topLinePunct w:val="0"/>
        <w:kinsoku w:val="1"/>
        <w:autoSpaceDE w:val="1"/>
        <w:autoSpaceDN w:val="1"/>
        <w:bidi w:val="0"/>
        <w:jc w:val="center"/>
        <w:rPr>
          <w:sz w:val="32"/>
          <w:lang w:val="en-US" w:eastAsia="zh-CN"/>
          <w:szCs w:val="32"/>
          <w:rFonts w:ascii="黑体" w:hAnsi="黑体" w:eastAsia="黑体" w:hint="eastAsia"/>
        </w:rPr>
      </w:pPr>
      <w:r>
        <w:rPr>
          <w:sz w:val="32"/>
          <w:lang w:val="en-US" w:eastAsia="zh-CN"/>
          <w:szCs w:val="32"/>
          <w:rFonts w:ascii="黑体" w:hAnsi="黑体" w:eastAsia="黑体" w:hint="eastAsia"/>
        </w:rPr>
        <w:t xml:space="preserve">收入决算表</w:t>
      </w:r>
      <w:r>
        <w:rPr>
          <w:sz w:val="32"/>
          <w:lang w:val="en-US" w:eastAsia="zh-CN"/>
          <w:bCs/>
          <w:szCs w:val="32"/>
          <w:rFonts w:ascii="黑体" w:hAnsi="黑体" w:eastAsia="黑体" w:hint="eastAsia"/>
        </w:rPr>
      </w:r>
    </w:p>
    <w:tbl>
      <w:tblPr>
        <w:tblW w:w="0" w:type="auto"/>
        <w:jc w:val="center"/>
        <w:tblInd w:type="dxa" w:w="0.000000"/>
        <w:tblLayout w:type="fixed"/>
        <w:tblLook w:noVBand="0" w:noHBand="0" w:lastColumn="0" w:firstColumn="0" w:lastRow="0" w:firstRow="0" w:val="04a0"/>
        <w:tblBorders>
          <w:top w:val="nil"/>
          <w:left w:val="nil"/>
          <w:bottom w:val="nil"/>
          <w:right w:val="nil"/>
          <w:insideH w:val="nil"/>
          <w:insideV w:val="nil"/>
        </w:tblBorders>
        <w:tblCellMar>
          <w:top w:type="dxa" w:w="0.000000"/>
          <w:bottom w:type="dxa" w:w="0.000000"/>
          <w:left w:type="dxa" w:w="80.000000"/>
          <w:right w:type="dxa" w:w="80.000000"/>
        </w:tblCellMar>
      </w:tblPr>
      <w:tblGrid>
        <w:gridCol w:w="3524.000000"/>
        <w:gridCol w:w="2000.000000"/>
        <w:gridCol w:w="3524.000000"/>
      </w:tblGrid>
      <w:tr>
        <w:tblPrEx>
          <w:tblBorders>
            <w:top w:val="nil"/>
            <w:left w:val="nil"/>
            <w:bottom w:val="nil"/>
            <w:right w:val="nil"/>
            <w:insideH w:val="nil"/>
            <w:insideV w:val="nil"/>
          </w:tblBorders>
        </w:tblPrEx>
        <w:trPr>
          <w:trHeight w:val="0" w:hRule="auto"/>
        </w:trPr>
        <w:tc>
          <w:tcPr>
            <w:tcW w:w="9048" w:type="dxa"/>
            <w:gridSpan w:val="3"/>
            <w:vAlign w:val="center"/>
            <w:textDirection w:val="lrTb"/>
          </w:tcPr>
          <w:p>
            <w:pPr>
              <w:pStyle w:val="Normal"/>
              <w:widowControl w:val="0"/>
              <w:jc w:val="end"/>
              <w:divId w:val="0"/>
              <w:rPr>
                <w:sz w:val="11"/>
                <w:lang w:val="en-US" w:eastAsia="zh-CN" w:bidi="ar-SA"/>
                <w:kern w:val="2"/>
                <w:szCs w:val="24"/>
                <w:rFonts w:ascii="宋体" w:hAnsi="宋体" w:eastAsia="宋体"/>
              </w:rPr>
            </w:pPr>
            <w:r>
              <w:rPr>
                <w:sz w:val="11"/>
                <w:lang w:val="en-US" w:eastAsia="zh-CN" w:bidi="ar-SA"/>
                <w:kern w:val="2"/>
                <w:szCs w:val="24"/>
                <w:rFonts w:ascii="宋体" w:hAnsi="宋体" w:eastAsia="宋体"/>
              </w:rPr>
              <w:t xml:space="preserve">公开02表</w:t>
            </w:r>
            <w:r>
              <w:rPr>
                <w:sz w:val="32"/>
                <w:lang w:val="en-US" w:eastAsia="zh-CN" w:bidi="ar-SA"/>
                <w:kern w:val="2"/>
                <w:szCs w:val="24"/>
                <w:rFonts w:ascii="Calibri" w:hAnsi="Calibri" w:eastAsia="仿宋_GB2312"/>
              </w:rPr>
            </w:r>
          </w:p>
        </w:tc>
      </w:tr>
      <w:tr>
        <w:tblPrEx>
          <w:tblBorders>
            <w:top w:val="nil"/>
            <w:left w:val="nil"/>
            <w:bottom w:val="nil"/>
            <w:right w:val="nil"/>
            <w:insideH w:val="nil"/>
            <w:insideV w:val="nil"/>
          </w:tblBorders>
        </w:tblPrEx>
        <w:trPr>
          <w:trHeight w:val="0" w:hRule="auto"/>
        </w:trPr>
        <w:tc>
          <w:tcPr>
            <w:tcW w:w="3524" w:type="dxa"/>
            <w:vAlign w:val="center"/>
            <w:textDirection w:val="lrTb"/>
          </w:tcPr>
          <w:p>
            <w:pPr>
              <w:pStyle w:val="Normal"/>
              <w:widowControl w:val="0"/>
              <w:jc w:val="start"/>
              <w:divId w:val="0"/>
              <w:rPr>
                <w:sz w:val="11"/>
                <w:lang w:val="en-US" w:eastAsia="zh-CN" w:bidi="ar-SA"/>
                <w:kern w:val="2"/>
                <w:szCs w:val="24"/>
                <w:rFonts w:ascii="宋体" w:hAnsi="宋体" w:eastAsia="宋体"/>
              </w:rPr>
            </w:pPr>
            <w:r>
              <w:rPr>
                <w:sz w:val="11"/>
                <w:lang w:val="en-US" w:eastAsia="zh-CN" w:bidi="ar-SA"/>
                <w:kern w:val="2"/>
                <w:szCs w:val="24"/>
                <w:rFonts w:ascii="宋体" w:hAnsi="宋体" w:eastAsia="宋体"/>
              </w:rPr>
              <w:t xml:space="preserve">单位：许昌市河湖事务中心</w:t>
            </w:r>
            <w:r>
              <w:rPr>
                <w:sz w:val="32"/>
                <w:lang w:val="en-US" w:eastAsia="zh-CN" w:bidi="ar-SA"/>
                <w:kern w:val="2"/>
                <w:szCs w:val="24"/>
                <w:rFonts w:ascii="Calibri" w:hAnsi="Calibri" w:eastAsia="仿宋_GB2312"/>
              </w:rPr>
            </w:r>
          </w:p>
        </w:tc>
        <w:tc>
          <w:tcPr>
            <w:tcW w:w="2000" w:type="dxa"/>
            <w:vAlign w:val="center"/>
            <w:textDirection w:val="lrTb"/>
          </w:tcPr>
          <w:p>
            <w:pPr>
              <w:pStyle w:val="Normal"/>
              <w:widowControl w:val="0"/>
              <w:jc w:val="center"/>
              <w:divId w:val="0"/>
              <w:rPr>
                <w:sz w:val="11"/>
                <w:lang w:val="en-US" w:eastAsia="zh-CN" w:bidi="ar-SA"/>
                <w:kern w:val="2"/>
                <w:szCs w:val="24"/>
                <w:rFonts w:ascii="宋体" w:hAnsi="宋体" w:eastAsia="宋体"/>
              </w:rPr>
            </w:pPr>
            <w:r>
              <w:rPr>
                <w:sz w:val="11"/>
                <w:lang w:val="en-US" w:eastAsia="zh-CN" w:bidi="ar-SA"/>
                <w:kern w:val="2"/>
                <w:szCs w:val="24"/>
                <w:rFonts w:ascii="宋体" w:hAnsi="宋体" w:eastAsia="宋体"/>
              </w:rPr>
              <w:t xml:space="preserve">2025年度</w:t>
            </w:r>
            <w:r>
              <w:rPr>
                <w:sz w:val="32"/>
                <w:lang w:val="en-US" w:eastAsia="zh-CN" w:bidi="ar-SA"/>
                <w:kern w:val="2"/>
                <w:szCs w:val="24"/>
                <w:rFonts w:ascii="Calibri" w:hAnsi="Calibri" w:eastAsia="仿宋_GB2312"/>
              </w:rPr>
            </w:r>
          </w:p>
        </w:tc>
        <w:tc>
          <w:tcPr>
            <w:tcW w:w="3524" w:type="dxa"/>
            <w:vAlign w:val="center"/>
            <w:textDirection w:val="lrTb"/>
          </w:tcPr>
          <w:p>
            <w:pPr>
              <w:pStyle w:val="Normal"/>
              <w:widowControl w:val="0"/>
              <w:jc w:val="end"/>
              <w:divId w:val="0"/>
              <w:rPr>
                <w:sz w:val="11"/>
                <w:lang w:val="en-US" w:eastAsia="zh-CN" w:bidi="ar-SA"/>
                <w:kern w:val="2"/>
                <w:szCs w:val="24"/>
                <w:rFonts w:ascii="宋体" w:hAnsi="宋体" w:eastAsia="宋体"/>
              </w:rPr>
            </w:pPr>
            <w:r>
              <w:rPr>
                <w:sz w:val="11"/>
                <w:lang w:val="en-US" w:eastAsia="zh-CN" w:bidi="ar-SA"/>
                <w:kern w:val="2"/>
                <w:szCs w:val="24"/>
                <w:rFonts w:ascii="宋体" w:hAnsi="宋体" w:eastAsia="宋体"/>
              </w:rPr>
              <w:t xml:space="preserve">单位：万元</w:t>
            </w:r>
            <w:r>
              <w:rPr>
                <w:sz w:val="32"/>
                <w:lang w:val="en-US" w:eastAsia="zh-CN" w:bidi="ar-SA"/>
                <w:kern w:val="2"/>
                <w:szCs w:val="24"/>
                <w:rFonts w:ascii="Calibri" w:hAnsi="Calibri" w:eastAsia="仿宋_GB2312"/>
              </w:rPr>
            </w:r>
          </w:p>
        </w:tc>
      </w:tr>
    </w:tbl>
    <w:p>
      <w:pPr>
        <w:pStyle w:val="Normal"/>
        <w:snapToGrid w:val="0"/>
        <w:spacing w:after="0" w:before="0" w:line="0" w:lineRule="auto"/>
        <w:rPr>
          <w:sz w:val="8"/>
        </w:rPr>
      </w:pPr>
      <w:r>
        <w:rPr>
          <w:sz w:val="8"/>
        </w:rPr>
        <w:t xml:space="preserve"> </w:t>
      </w:r>
      <w:r/>
    </w:p>
    <w:tbl>
      <w:tblPr>
        <w:tblW w:w="0" w:type="auto"/>
        <w:jc w:val="center"/>
        <w:tblInd w:type="dxa" w:w="0.000000"/>
        <w:tblLayout w:type="fixed"/>
        <w:tblLook w:noVBand="0" w:noHBand="0" w:lastColumn="0" w:firstColumn="0" w:lastRow="0" w:firstRow="0" w:val="04a0"/>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type="dxa" w:w="0.000000"/>
          <w:bottom w:type="dxa" w:w="0.000000"/>
          <w:left w:type="dxa" w:w="80.000000"/>
          <w:right w:type="dxa" w:w="80.000000"/>
        </w:tblCellMar>
      </w:tblPr>
      <w:tblGrid>
        <w:gridCol w:w="840.000000"/>
        <w:gridCol w:w="2080.000000"/>
        <w:gridCol w:w="880.000000"/>
        <w:gridCol w:w="880.000000"/>
        <w:gridCol w:w="880.000000"/>
        <w:gridCol w:w="880.000000"/>
        <w:gridCol w:w="880.000000"/>
        <w:gridCol w:w="880.000000"/>
        <w:gridCol w:w="849.000000"/>
      </w:tblGrid>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239" w:hRule="exact"/>
        </w:trPr>
        <w:tc>
          <w:tcPr>
            <w:tcW w:w="2920" w:type="dxa"/>
            <w:gridSpan w:val="2"/>
            <w:vAlign w:val="center"/>
            <w:textDirection w:val="lrTb"/>
          </w:tcPr>
          <w:p>
            <w:pPr>
              <w:pStyle w:val="Normal"/>
              <w:widowControl w:val="0"/>
              <w:snapToGrid w:val="0"/>
              <w:jc w:val="center"/>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项目</w:t>
            </w:r>
            <w:r>
              <w:rPr>
                <w:sz w:val="32"/>
                <w:lang w:val="en-US" w:eastAsia="zh-CN" w:bidi="ar-SA"/>
                <w:kern w:val="2"/>
                <w:szCs w:val="24"/>
                <w:rFonts w:ascii="Calibri" w:hAnsi="Calibri" w:eastAsia="仿宋_GB2312"/>
              </w:rPr>
            </w:r>
          </w:p>
        </w:tc>
        <w:tc>
          <w:tcPr>
            <w:tcW w:w="880" w:type="dxa"/>
            <w:vMerge w:val="restart"/>
            <w:vAlign w:val="center"/>
            <w:textDirection w:val="lrTb"/>
          </w:tcPr>
          <w:p>
            <w:pPr>
              <w:pStyle w:val="Normal"/>
              <w:widowControl w:val="0"/>
              <w:snapToGrid w:val="0"/>
              <w:jc w:val="center"/>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本年收入合计</w:t>
            </w:r>
            <w:r>
              <w:rPr>
                <w:sz w:val="32"/>
                <w:lang w:val="en-US" w:eastAsia="zh-CN" w:bidi="ar-SA"/>
                <w:kern w:val="2"/>
                <w:szCs w:val="24"/>
                <w:rFonts w:ascii="Calibri" w:hAnsi="Calibri" w:eastAsia="仿宋_GB2312"/>
              </w:rPr>
            </w:r>
          </w:p>
        </w:tc>
        <w:tc>
          <w:tcPr>
            <w:tcW w:w="880" w:type="dxa"/>
            <w:vMerge w:val="restart"/>
            <w:vAlign w:val="center"/>
            <w:textDirection w:val="lrTb"/>
          </w:tcPr>
          <w:p>
            <w:pPr>
              <w:pStyle w:val="Normal"/>
              <w:widowControl w:val="0"/>
              <w:snapToGrid w:val="0"/>
              <w:jc w:val="center"/>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财政拨款收入</w:t>
            </w:r>
            <w:r>
              <w:rPr>
                <w:sz w:val="32"/>
                <w:lang w:val="en-US" w:eastAsia="zh-CN" w:bidi="ar-SA"/>
                <w:kern w:val="2"/>
                <w:szCs w:val="24"/>
                <w:rFonts w:ascii="Calibri" w:hAnsi="Calibri" w:eastAsia="仿宋_GB2312"/>
              </w:rPr>
            </w:r>
          </w:p>
        </w:tc>
        <w:tc>
          <w:tcPr>
            <w:tcW w:w="880" w:type="dxa"/>
            <w:vMerge w:val="restart"/>
            <w:vAlign w:val="center"/>
            <w:textDirection w:val="lrTb"/>
          </w:tcPr>
          <w:p>
            <w:pPr>
              <w:pStyle w:val="Normal"/>
              <w:widowControl w:val="0"/>
              <w:snapToGrid w:val="0"/>
              <w:jc w:val="center"/>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上级补助收入</w:t>
            </w:r>
            <w:r>
              <w:rPr>
                <w:sz w:val="32"/>
                <w:lang w:val="en-US" w:eastAsia="zh-CN" w:bidi="ar-SA"/>
                <w:kern w:val="2"/>
                <w:szCs w:val="24"/>
                <w:rFonts w:ascii="Calibri" w:hAnsi="Calibri" w:eastAsia="仿宋_GB2312"/>
              </w:rPr>
            </w:r>
          </w:p>
        </w:tc>
        <w:tc>
          <w:tcPr>
            <w:tcW w:w="880" w:type="dxa"/>
            <w:vMerge w:val="restart"/>
            <w:vAlign w:val="center"/>
            <w:textDirection w:val="lrTb"/>
          </w:tcPr>
          <w:p>
            <w:pPr>
              <w:pStyle w:val="Normal"/>
              <w:widowControl w:val="0"/>
              <w:snapToGrid w:val="0"/>
              <w:jc w:val="center"/>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事业收入</w:t>
            </w:r>
            <w:r>
              <w:rPr>
                <w:sz w:val="32"/>
                <w:lang w:val="en-US" w:eastAsia="zh-CN" w:bidi="ar-SA"/>
                <w:kern w:val="2"/>
                <w:szCs w:val="24"/>
                <w:rFonts w:ascii="Calibri" w:hAnsi="Calibri" w:eastAsia="仿宋_GB2312"/>
              </w:rPr>
            </w:r>
          </w:p>
        </w:tc>
        <w:tc>
          <w:tcPr>
            <w:tcW w:w="880" w:type="dxa"/>
            <w:vMerge w:val="restart"/>
            <w:vAlign w:val="center"/>
            <w:textDirection w:val="lrTb"/>
          </w:tcPr>
          <w:p>
            <w:pPr>
              <w:pStyle w:val="Normal"/>
              <w:widowControl w:val="0"/>
              <w:snapToGrid w:val="0"/>
              <w:jc w:val="center"/>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经营收入</w:t>
            </w:r>
            <w:r>
              <w:rPr>
                <w:sz w:val="32"/>
                <w:lang w:val="en-US" w:eastAsia="zh-CN" w:bidi="ar-SA"/>
                <w:kern w:val="2"/>
                <w:szCs w:val="24"/>
                <w:rFonts w:ascii="Calibri" w:hAnsi="Calibri" w:eastAsia="仿宋_GB2312"/>
              </w:rPr>
            </w:r>
          </w:p>
        </w:tc>
        <w:tc>
          <w:tcPr>
            <w:tcW w:w="880" w:type="dxa"/>
            <w:vMerge w:val="restart"/>
            <w:vAlign w:val="center"/>
            <w:textDirection w:val="lrTb"/>
          </w:tcPr>
          <w:p>
            <w:pPr>
              <w:pStyle w:val="Normal"/>
              <w:widowControl w:val="0"/>
              <w:snapToGrid w:val="0"/>
              <w:jc w:val="center"/>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附属单位上缴收入</w:t>
            </w:r>
            <w:r>
              <w:rPr>
                <w:sz w:val="32"/>
                <w:lang w:val="en-US" w:eastAsia="zh-CN" w:bidi="ar-SA"/>
                <w:kern w:val="2"/>
                <w:szCs w:val="24"/>
                <w:rFonts w:ascii="Calibri" w:hAnsi="Calibri" w:eastAsia="仿宋_GB2312"/>
              </w:rPr>
            </w:r>
          </w:p>
        </w:tc>
        <w:tc>
          <w:tcPr>
            <w:tcW w:w="849" w:type="dxa"/>
            <w:vMerge w:val="restart"/>
            <w:vAlign w:val="center"/>
            <w:textDirection w:val="lrTb"/>
          </w:tcPr>
          <w:p>
            <w:pPr>
              <w:pStyle w:val="Normal"/>
              <w:widowControl w:val="0"/>
              <w:snapToGrid w:val="0"/>
              <w:jc w:val="center"/>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其他收入</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239" w:hRule="exact"/>
        </w:trPr>
        <w:tc>
          <w:tcPr>
            <w:tcW w:w="840" w:type="dxa"/>
            <w:vMerge w:val="restart"/>
            <w:vAlign w:val="center"/>
            <w:textDirection w:val="lrTb"/>
          </w:tcPr>
          <w:p>
            <w:pPr>
              <w:pStyle w:val="Normal"/>
              <w:widowControl w:val="0"/>
              <w:snapToGrid w:val="0"/>
              <w:jc w:val="center"/>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科目编码</w:t>
            </w:r>
            <w:r>
              <w:rPr>
                <w:sz w:val="32"/>
                <w:lang w:val="en-US" w:eastAsia="zh-CN" w:bidi="ar-SA"/>
                <w:kern w:val="2"/>
                <w:szCs w:val="24"/>
                <w:rFonts w:ascii="Calibri" w:hAnsi="Calibri" w:eastAsia="仿宋_GB2312"/>
              </w:rPr>
            </w:r>
          </w:p>
        </w:tc>
        <w:tc>
          <w:tcPr>
            <w:tcW w:w="2080" w:type="dxa"/>
            <w:vMerge w:val="restart"/>
            <w:vAlign w:val="center"/>
            <w:textDirection w:val="lrTb"/>
          </w:tcPr>
          <w:p>
            <w:pPr>
              <w:pStyle w:val="Normal"/>
              <w:widowControl w:val="0"/>
              <w:snapToGrid w:val="0"/>
              <w:jc w:val="center"/>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科目名称</w:t>
            </w:r>
            <w:r>
              <w:rPr>
                <w:sz w:val="32"/>
                <w:lang w:val="en-US" w:eastAsia="zh-CN" w:bidi="ar-SA"/>
                <w:kern w:val="2"/>
                <w:szCs w:val="24"/>
                <w:rFonts w:ascii="Calibri" w:hAnsi="Calibri" w:eastAsia="仿宋_GB2312"/>
              </w:rPr>
            </w:r>
          </w:p>
        </w:tc>
        <w:tc>
          <w:tcPr>
            <w:tcW w:w="8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8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8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8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8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8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849"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239" w:hRule="exact"/>
        </w:trPr>
        <w:tc>
          <w:tcPr>
            <w:tcW w:w="84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0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8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8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8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8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8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8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849"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239" w:hRule="exact"/>
        </w:trPr>
        <w:tc>
          <w:tcPr>
            <w:tcW w:w="84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0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8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8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8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8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8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8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849"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39" w:hRule="exact"/>
        </w:trPr>
        <w:tc>
          <w:tcPr>
            <w:tcW w:w="2920" w:type="dxa"/>
            <w:gridSpan w:val="2"/>
            <w:vAlign w:val="center"/>
            <w:textDirection w:val="lrTb"/>
          </w:tcPr>
          <w:p>
            <w:pPr>
              <w:pStyle w:val="Normal"/>
              <w:widowControl w:val="0"/>
              <w:snapToGrid w:val="0"/>
              <w:jc w:val="center"/>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栏次</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center"/>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1</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center"/>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center"/>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3</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center"/>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4</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center"/>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center"/>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6</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center"/>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7</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39" w:hRule="exact"/>
        </w:trPr>
        <w:tc>
          <w:tcPr>
            <w:tcW w:w="2920" w:type="dxa"/>
            <w:gridSpan w:val="2"/>
            <w:vAlign w:val="center"/>
            <w:textDirection w:val="lrTb"/>
          </w:tcPr>
          <w:p>
            <w:pPr>
              <w:pStyle w:val="Normal"/>
              <w:widowControl w:val="0"/>
              <w:snapToGrid w:val="0"/>
              <w:jc w:val="center"/>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合计</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1,428.03</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1,428.03</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58" w:hRule="exact"/>
        </w:trPr>
        <w:tc>
          <w:tcPr>
            <w:tcW w:w="84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208</w:t>
            </w:r>
            <w:r>
              <w:rPr>
                <w:sz w:val="32"/>
                <w:lang w:val="en-US" w:eastAsia="zh-CN" w:bidi="ar-SA"/>
                <w:kern w:val="2"/>
                <w:szCs w:val="24"/>
                <w:rFonts w:ascii="Calibri" w:hAnsi="Calibri" w:eastAsia="仿宋_GB2312"/>
              </w:rPr>
            </w:r>
          </w:p>
        </w:tc>
        <w:tc>
          <w:tcPr>
            <w:tcW w:w="208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社会保障和就业支出</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179.77</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179.77</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58" w:hRule="exact"/>
        </w:trPr>
        <w:tc>
          <w:tcPr>
            <w:tcW w:w="84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20805</w:t>
            </w:r>
            <w:r>
              <w:rPr>
                <w:sz w:val="32"/>
                <w:lang w:val="en-US" w:eastAsia="zh-CN" w:bidi="ar-SA"/>
                <w:kern w:val="2"/>
                <w:szCs w:val="24"/>
                <w:rFonts w:ascii="Calibri" w:hAnsi="Calibri" w:eastAsia="仿宋_GB2312"/>
              </w:rPr>
            </w:r>
          </w:p>
        </w:tc>
        <w:tc>
          <w:tcPr>
            <w:tcW w:w="208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行政事业单位养老支出</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173.33</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173.33</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58" w:hRule="exact"/>
        </w:trPr>
        <w:tc>
          <w:tcPr>
            <w:tcW w:w="84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2080502</w:t>
            </w:r>
            <w:r>
              <w:rPr>
                <w:sz w:val="32"/>
                <w:lang w:val="en-US" w:eastAsia="zh-CN" w:bidi="ar-SA"/>
                <w:kern w:val="2"/>
                <w:szCs w:val="24"/>
                <w:rFonts w:ascii="Calibri" w:hAnsi="Calibri" w:eastAsia="仿宋_GB2312"/>
              </w:rPr>
            </w:r>
          </w:p>
        </w:tc>
        <w:tc>
          <w:tcPr>
            <w:tcW w:w="208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事业单位离退休</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110.50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110.50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58" w:hRule="exact"/>
        </w:trPr>
        <w:tc>
          <w:tcPr>
            <w:tcW w:w="84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2080505</w:t>
            </w:r>
            <w:r>
              <w:rPr>
                <w:sz w:val="32"/>
                <w:lang w:val="en-US" w:eastAsia="zh-CN" w:bidi="ar-SA"/>
                <w:kern w:val="2"/>
                <w:szCs w:val="24"/>
                <w:rFonts w:ascii="Calibri" w:hAnsi="Calibri" w:eastAsia="仿宋_GB2312"/>
              </w:rPr>
            </w:r>
          </w:p>
        </w:tc>
        <w:tc>
          <w:tcPr>
            <w:tcW w:w="208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机关事业单位基本养老保险缴费支出</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62.83</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62.83</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58" w:hRule="exact"/>
        </w:trPr>
        <w:tc>
          <w:tcPr>
            <w:tcW w:w="84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20808</w:t>
            </w:r>
            <w:r>
              <w:rPr>
                <w:sz w:val="32"/>
                <w:lang w:val="en-US" w:eastAsia="zh-CN" w:bidi="ar-SA"/>
                <w:kern w:val="2"/>
                <w:szCs w:val="24"/>
                <w:rFonts w:ascii="Calibri" w:hAnsi="Calibri" w:eastAsia="仿宋_GB2312"/>
              </w:rPr>
            </w:r>
          </w:p>
        </w:tc>
        <w:tc>
          <w:tcPr>
            <w:tcW w:w="208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抚恤</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6.44</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6.44</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58" w:hRule="exact"/>
        </w:trPr>
        <w:tc>
          <w:tcPr>
            <w:tcW w:w="84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2080801</w:t>
            </w:r>
            <w:r>
              <w:rPr>
                <w:sz w:val="32"/>
                <w:lang w:val="en-US" w:eastAsia="zh-CN" w:bidi="ar-SA"/>
                <w:kern w:val="2"/>
                <w:szCs w:val="24"/>
                <w:rFonts w:ascii="Calibri" w:hAnsi="Calibri" w:eastAsia="仿宋_GB2312"/>
              </w:rPr>
            </w:r>
          </w:p>
        </w:tc>
        <w:tc>
          <w:tcPr>
            <w:tcW w:w="208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死亡抚恤</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6.44</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6.44</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58" w:hRule="exact"/>
        </w:trPr>
        <w:tc>
          <w:tcPr>
            <w:tcW w:w="84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210</w:t>
            </w:r>
            <w:r>
              <w:rPr>
                <w:sz w:val="32"/>
                <w:lang w:val="en-US" w:eastAsia="zh-CN" w:bidi="ar-SA"/>
                <w:kern w:val="2"/>
                <w:szCs w:val="24"/>
                <w:rFonts w:ascii="Calibri" w:hAnsi="Calibri" w:eastAsia="仿宋_GB2312"/>
              </w:rPr>
            </w:r>
          </w:p>
        </w:tc>
        <w:tc>
          <w:tcPr>
            <w:tcW w:w="208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卫生健康支出</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58" w:hRule="exact"/>
        </w:trPr>
        <w:tc>
          <w:tcPr>
            <w:tcW w:w="84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21011</w:t>
            </w:r>
            <w:r>
              <w:rPr>
                <w:sz w:val="32"/>
                <w:lang w:val="en-US" w:eastAsia="zh-CN" w:bidi="ar-SA"/>
                <w:kern w:val="2"/>
                <w:szCs w:val="24"/>
                <w:rFonts w:ascii="Calibri" w:hAnsi="Calibri" w:eastAsia="仿宋_GB2312"/>
              </w:rPr>
            </w:r>
          </w:p>
        </w:tc>
        <w:tc>
          <w:tcPr>
            <w:tcW w:w="208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行政事业单位医疗</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58" w:hRule="exact"/>
        </w:trPr>
        <w:tc>
          <w:tcPr>
            <w:tcW w:w="84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2101102</w:t>
            </w:r>
            <w:r>
              <w:rPr>
                <w:sz w:val="32"/>
                <w:lang w:val="en-US" w:eastAsia="zh-CN" w:bidi="ar-SA"/>
                <w:kern w:val="2"/>
                <w:szCs w:val="24"/>
                <w:rFonts w:ascii="Calibri" w:hAnsi="Calibri" w:eastAsia="仿宋_GB2312"/>
              </w:rPr>
            </w:r>
          </w:p>
        </w:tc>
        <w:tc>
          <w:tcPr>
            <w:tcW w:w="208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事业单位医疗</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58" w:hRule="exact"/>
        </w:trPr>
        <w:tc>
          <w:tcPr>
            <w:tcW w:w="84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213</w:t>
            </w:r>
            <w:r>
              <w:rPr>
                <w:sz w:val="32"/>
                <w:lang w:val="en-US" w:eastAsia="zh-CN" w:bidi="ar-SA"/>
                <w:kern w:val="2"/>
                <w:szCs w:val="24"/>
                <w:rFonts w:ascii="Calibri" w:hAnsi="Calibri" w:eastAsia="仿宋_GB2312"/>
              </w:rPr>
            </w:r>
          </w:p>
        </w:tc>
        <w:tc>
          <w:tcPr>
            <w:tcW w:w="208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农林水支出</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1,163.19</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1,163.19</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58" w:hRule="exact"/>
        </w:trPr>
        <w:tc>
          <w:tcPr>
            <w:tcW w:w="84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21301</w:t>
            </w:r>
            <w:r>
              <w:rPr>
                <w:sz w:val="32"/>
                <w:lang w:val="en-US" w:eastAsia="zh-CN" w:bidi="ar-SA"/>
                <w:kern w:val="2"/>
                <w:szCs w:val="24"/>
                <w:rFonts w:ascii="Calibri" w:hAnsi="Calibri" w:eastAsia="仿宋_GB2312"/>
              </w:rPr>
            </w:r>
          </w:p>
        </w:tc>
        <w:tc>
          <w:tcPr>
            <w:tcW w:w="208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农业农村</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4.30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4.30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58" w:hRule="exact"/>
        </w:trPr>
        <w:tc>
          <w:tcPr>
            <w:tcW w:w="84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2130199</w:t>
            </w:r>
            <w:r>
              <w:rPr>
                <w:sz w:val="32"/>
                <w:lang w:val="en-US" w:eastAsia="zh-CN" w:bidi="ar-SA"/>
                <w:kern w:val="2"/>
                <w:szCs w:val="24"/>
                <w:rFonts w:ascii="Calibri" w:hAnsi="Calibri" w:eastAsia="仿宋_GB2312"/>
              </w:rPr>
            </w:r>
          </w:p>
        </w:tc>
        <w:tc>
          <w:tcPr>
            <w:tcW w:w="208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其他农业农村支出</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4.30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4.30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58" w:hRule="exact"/>
        </w:trPr>
        <w:tc>
          <w:tcPr>
            <w:tcW w:w="84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21303</w:t>
            </w:r>
            <w:r>
              <w:rPr>
                <w:sz w:val="32"/>
                <w:lang w:val="en-US" w:eastAsia="zh-CN" w:bidi="ar-SA"/>
                <w:kern w:val="2"/>
                <w:szCs w:val="24"/>
                <w:rFonts w:ascii="Calibri" w:hAnsi="Calibri" w:eastAsia="仿宋_GB2312"/>
              </w:rPr>
            </w:r>
          </w:p>
        </w:tc>
        <w:tc>
          <w:tcPr>
            <w:tcW w:w="208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水利</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1,158.89</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1,158.89</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58" w:hRule="exact"/>
        </w:trPr>
        <w:tc>
          <w:tcPr>
            <w:tcW w:w="84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2130304</w:t>
            </w:r>
            <w:r>
              <w:rPr>
                <w:sz w:val="32"/>
                <w:lang w:val="en-US" w:eastAsia="zh-CN" w:bidi="ar-SA"/>
                <w:kern w:val="2"/>
                <w:szCs w:val="24"/>
                <w:rFonts w:ascii="Calibri" w:hAnsi="Calibri" w:eastAsia="仿宋_GB2312"/>
              </w:rPr>
            </w:r>
          </w:p>
        </w:tc>
        <w:tc>
          <w:tcPr>
            <w:tcW w:w="208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水利行业业务管理</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1,114.79</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1,114.79</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58" w:hRule="exact"/>
        </w:trPr>
        <w:tc>
          <w:tcPr>
            <w:tcW w:w="84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2130306</w:t>
            </w:r>
            <w:r>
              <w:rPr>
                <w:sz w:val="32"/>
                <w:lang w:val="en-US" w:eastAsia="zh-CN" w:bidi="ar-SA"/>
                <w:kern w:val="2"/>
                <w:szCs w:val="24"/>
                <w:rFonts w:ascii="Calibri" w:hAnsi="Calibri" w:eastAsia="仿宋_GB2312"/>
              </w:rPr>
            </w:r>
          </w:p>
        </w:tc>
        <w:tc>
          <w:tcPr>
            <w:tcW w:w="208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水利工程运行与维护</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39.10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39.10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58" w:hRule="exact"/>
        </w:trPr>
        <w:tc>
          <w:tcPr>
            <w:tcW w:w="84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2130399</w:t>
            </w:r>
            <w:r>
              <w:rPr>
                <w:sz w:val="32"/>
                <w:lang w:val="en-US" w:eastAsia="zh-CN" w:bidi="ar-SA"/>
                <w:kern w:val="2"/>
                <w:szCs w:val="24"/>
                <w:rFonts w:ascii="Calibri" w:hAnsi="Calibri" w:eastAsia="仿宋_GB2312"/>
              </w:rPr>
            </w:r>
          </w:p>
        </w:tc>
        <w:tc>
          <w:tcPr>
            <w:tcW w:w="208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其他水利支出</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5.00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5.00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58" w:hRule="exact"/>
        </w:trPr>
        <w:tc>
          <w:tcPr>
            <w:tcW w:w="84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221</w:t>
            </w:r>
            <w:r>
              <w:rPr>
                <w:sz w:val="32"/>
                <w:lang w:val="en-US" w:eastAsia="zh-CN" w:bidi="ar-SA"/>
                <w:kern w:val="2"/>
                <w:szCs w:val="24"/>
                <w:rFonts w:ascii="Calibri" w:hAnsi="Calibri" w:eastAsia="仿宋_GB2312"/>
              </w:rPr>
            </w:r>
          </w:p>
        </w:tc>
        <w:tc>
          <w:tcPr>
            <w:tcW w:w="208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住房保障支出</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58" w:hRule="exact"/>
        </w:trPr>
        <w:tc>
          <w:tcPr>
            <w:tcW w:w="84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22102</w:t>
            </w:r>
            <w:r>
              <w:rPr>
                <w:sz w:val="32"/>
                <w:lang w:val="en-US" w:eastAsia="zh-CN" w:bidi="ar-SA"/>
                <w:kern w:val="2"/>
                <w:szCs w:val="24"/>
                <w:rFonts w:ascii="Calibri" w:hAnsi="Calibri" w:eastAsia="仿宋_GB2312"/>
              </w:rPr>
            </w:r>
          </w:p>
        </w:tc>
        <w:tc>
          <w:tcPr>
            <w:tcW w:w="208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住房改革支出</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58" w:hRule="exact"/>
        </w:trPr>
        <w:tc>
          <w:tcPr>
            <w:tcW w:w="84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2210201</w:t>
            </w:r>
            <w:r>
              <w:rPr>
                <w:sz w:val="32"/>
                <w:lang w:val="en-US" w:eastAsia="zh-CN" w:bidi="ar-SA"/>
                <w:kern w:val="2"/>
                <w:szCs w:val="24"/>
                <w:rFonts w:ascii="Calibri" w:hAnsi="Calibri" w:eastAsia="仿宋_GB2312"/>
              </w:rPr>
            </w:r>
          </w:p>
        </w:tc>
        <w:tc>
          <w:tcPr>
            <w:tcW w:w="2080" w:type="dxa"/>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住房公积金</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80"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849" w:type="dxa"/>
            <w:vAlign w:val="center"/>
            <w:textDirection w:val="lrTb"/>
          </w:tcPr>
          <w:p>
            <w:pPr>
              <w:pStyle w:val="Normal"/>
              <w:widowControl w:val="0"/>
              <w:snapToGrid w:val="0"/>
              <w:jc w:val="end"/>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39" w:hRule="exact"/>
        </w:trPr>
        <w:tc>
          <w:tcPr>
            <w:tcW w:w="9049" w:type="dxa"/>
            <w:gridSpan w:val="9"/>
            <w:vAlign w:val="center"/>
            <w:textDirection w:val="lrTb"/>
          </w:tcPr>
          <w:p>
            <w:pPr>
              <w:pStyle w:val="Normal"/>
              <w:widowControl w:val="0"/>
              <w:snapToGrid w:val="0"/>
              <w:jc w:val="start"/>
              <w:divId w:val="0"/>
              <w:rPr>
                <w:b w:val="0"/>
                <w:i w:val="0"/>
                <w:color w:val="262626"/>
                <w:sz w:val="11"/>
                <w:lang w:val="en-US" w:eastAsia="zh-CN" w:bidi="ar-SA"/>
                <w:kern w:val="2"/>
                <w:szCs w:val="24"/>
                <w:rFonts w:ascii="宋体" w:hAnsi="宋体" w:eastAsia="宋体"/>
              </w:rPr>
            </w:pPr>
            <w:r>
              <w:rPr>
                <w:b w:val="0"/>
                <w:i w:val="0"/>
                <w:color w:val="262626"/>
                <w:sz w:val="11"/>
                <w:lang w:val="en-US" w:eastAsia="zh-CN" w:bidi="ar-SA"/>
                <w:kern w:val="2"/>
                <w:szCs w:val="24"/>
                <w:rFonts w:ascii="宋体" w:hAnsi="宋体" w:eastAsia="宋体"/>
              </w:rPr>
              <w:t xml:space="preserve">注：本表反映本年度取得的各项收入情况。本表金额转换为万元时，因四舍五入可能存在尾差。</w:t>
            </w:r>
            <w:r>
              <w:rPr>
                <w:sz w:val="32"/>
                <w:lang w:val="en-US" w:eastAsia="zh-CN" w:bidi="ar-SA"/>
                <w:kern w:val="2"/>
                <w:szCs w:val="24"/>
                <w:rFonts w:ascii="Calibri" w:hAnsi="Calibri" w:eastAsia="仿宋_GB2312"/>
              </w:rPr>
            </w:r>
          </w:p>
        </w:tc>
      </w:tr>
    </w:tbl>
    <w:p>
      <w:pPr>
        <w:pStyle w:val="Normal"/>
        <w:sectPr>
          <w:type w:val="nextPage"/>
          <w:docGrid w:type="lines" w:linePitch="312" w:charSpace="0"/>
          <w:pgSz w:w="11906" w:h="16838" w:orient="portrait"/>
          <w:pgMar w:top="873" w:right="1417" w:bottom="873" w:left="1440" w:header="720" w:footer="720" w:gutter="0"/>
          <w:pgNumType w:fmt="57"/>
          <w:cols w:num="1" w:equalWidth="0" w:space="720">
            <w:col w:space="-12288" w:w="9049"/>
          </w:cols>
          <w:pgNumType w:fmt="57"/>
        </w:sectPr>
      </w:pPr>
    </w:p>
    <w:p>
      <w:pPr>
        <w:pStyle w:val="Normal"/>
        <w:keepNext w:val="0"/>
        <w:keepLines w:val="0"/>
        <w:pageBreakBefore w:val="0"/>
        <w:wordWrap w:val="0"/>
        <w:overflowPunct w:val="1"/>
        <w:topLinePunct w:val="0"/>
        <w:kinsoku w:val="1"/>
        <w:autoSpaceDE w:val="1"/>
        <w:autoSpaceDN w:val="1"/>
        <w:bidi w:val="0"/>
        <w:jc w:val="center"/>
        <w:rPr>
          <w:sz w:val="32"/>
          <w:lang w:val="en-US" w:eastAsia="zh-CN"/>
          <w:bCs/>
          <w:szCs w:val="32"/>
          <w:rFonts w:ascii="黑体" w:hAnsi="黑体" w:eastAsia="黑体" w:hint="eastAsia"/>
        </w:rPr>
      </w:pPr>
      <w:r>
        <w:rPr>
          <w:sz w:val="32"/>
          <w:lang w:val="en-US" w:eastAsia="zh-CN"/>
          <w:bCs/>
          <w:szCs w:val="32"/>
          <w:rFonts w:ascii="黑体" w:hAnsi="黑体" w:eastAsia="黑体" w:hint="eastAsia"/>
        </w:rPr>
        <w:t xml:space="preserve">支出决算表</w:t>
      </w:r>
      <w:r>
        <w:rPr>
          <w:color w:val="000000"/>
          <w:sz w:val="20"/>
          <w:lang w:val="en-US" w:eastAsia="zh-CN"/>
          <w:kern w:val="0"/>
          <w:szCs w:val="20"/>
          <w:rFonts w:ascii="宋体" w:hAnsi="宋体" w:hint="eastAsia"/>
        </w:rPr>
      </w:r>
    </w:p>
    <w:tbl>
      <w:tblPr>
        <w:tblW w:w="0" w:type="auto"/>
        <w:jc w:val="center"/>
        <w:tblInd w:type="dxa" w:w="0.000000"/>
        <w:tblLayout w:type="fixed"/>
        <w:tblLook w:noVBand="0" w:noHBand="0" w:lastColumn="0" w:firstColumn="0" w:lastRow="0" w:firstRow="0" w:val="04a0"/>
        <w:tblBorders>
          <w:top w:val="nil"/>
          <w:left w:val="nil"/>
          <w:bottom w:val="nil"/>
          <w:right w:val="nil"/>
          <w:insideH w:val="nil"/>
          <w:insideV w:val="nil"/>
        </w:tblBorders>
        <w:tblCellMar>
          <w:top w:type="dxa" w:w="0.000000"/>
          <w:bottom w:type="dxa" w:w="0.000000"/>
          <w:left w:type="dxa" w:w="80.000000"/>
          <w:right w:type="dxa" w:w="80.000000"/>
        </w:tblCellMar>
      </w:tblPr>
      <w:tblGrid>
        <w:gridCol w:w="3513.000000"/>
        <w:gridCol w:w="2000.000000"/>
        <w:gridCol w:w="3513.000000"/>
      </w:tblGrid>
      <w:tr>
        <w:tblPrEx>
          <w:tblBorders>
            <w:top w:val="nil"/>
            <w:left w:val="nil"/>
            <w:bottom w:val="nil"/>
            <w:right w:val="nil"/>
            <w:insideH w:val="nil"/>
            <w:insideV w:val="nil"/>
          </w:tblBorders>
        </w:tblPrEx>
        <w:trPr>
          <w:trHeight w:val="0" w:hRule="auto"/>
        </w:trPr>
        <w:tc>
          <w:tcPr>
            <w:tcW w:w="9026" w:type="dxa"/>
            <w:gridSpan w:val="3"/>
            <w:vAlign w:val="center"/>
            <w:textDirection w:val="lrTb"/>
          </w:tcPr>
          <w:p>
            <w:pPr>
              <w:pStyle w:val="Normal"/>
              <w:widowControl w:val="0"/>
              <w:jc w:val="end"/>
              <w:divId w:val="0"/>
              <w:rPr>
                <w:sz w:val="12"/>
                <w:lang w:val="en-US" w:eastAsia="zh-CN" w:bidi="ar-SA"/>
                <w:kern w:val="2"/>
                <w:szCs w:val="24"/>
                <w:rFonts w:ascii="宋体" w:hAnsi="宋体" w:eastAsia="宋体"/>
              </w:rPr>
            </w:pPr>
            <w:r>
              <w:rPr>
                <w:sz w:val="12"/>
                <w:lang w:val="en-US" w:eastAsia="zh-CN" w:bidi="ar-SA"/>
                <w:kern w:val="2"/>
                <w:szCs w:val="24"/>
                <w:rFonts w:ascii="宋体" w:hAnsi="宋体" w:eastAsia="宋体"/>
              </w:rPr>
              <w:t xml:space="preserve">公开03表</w:t>
            </w:r>
            <w:r>
              <w:rPr>
                <w:sz w:val="32"/>
                <w:lang w:val="en-US" w:eastAsia="zh-CN" w:bidi="ar-SA"/>
                <w:kern w:val="2"/>
                <w:szCs w:val="24"/>
                <w:rFonts w:ascii="Calibri" w:hAnsi="Calibri" w:eastAsia="仿宋_GB2312"/>
              </w:rPr>
            </w:r>
          </w:p>
        </w:tc>
      </w:tr>
      <w:tr>
        <w:tblPrEx>
          <w:tblBorders>
            <w:top w:val="nil"/>
            <w:left w:val="nil"/>
            <w:bottom w:val="nil"/>
            <w:right w:val="nil"/>
            <w:insideH w:val="nil"/>
            <w:insideV w:val="nil"/>
          </w:tblBorders>
        </w:tblPrEx>
        <w:trPr>
          <w:trHeight w:val="0" w:hRule="auto"/>
        </w:trPr>
        <w:tc>
          <w:tcPr>
            <w:tcW w:w="3513" w:type="dxa"/>
            <w:vAlign w:val="center"/>
            <w:textDirection w:val="lrTb"/>
          </w:tcPr>
          <w:p>
            <w:pPr>
              <w:pStyle w:val="Normal"/>
              <w:widowControl w:val="0"/>
              <w:jc w:val="start"/>
              <w:divId w:val="0"/>
              <w:rPr>
                <w:sz w:val="12"/>
                <w:lang w:val="en-US" w:eastAsia="zh-CN" w:bidi="ar-SA"/>
                <w:kern w:val="2"/>
                <w:szCs w:val="24"/>
                <w:rFonts w:ascii="宋体" w:hAnsi="宋体" w:eastAsia="宋体"/>
              </w:rPr>
            </w:pPr>
            <w:r>
              <w:rPr>
                <w:sz w:val="12"/>
                <w:lang w:val="en-US" w:eastAsia="zh-CN" w:bidi="ar-SA"/>
                <w:kern w:val="2"/>
                <w:szCs w:val="24"/>
                <w:rFonts w:ascii="宋体" w:hAnsi="宋体" w:eastAsia="宋体"/>
              </w:rPr>
              <w:t xml:space="preserve">单位：许昌市河湖事务中心</w:t>
            </w:r>
            <w:r>
              <w:rPr>
                <w:sz w:val="32"/>
                <w:lang w:val="en-US" w:eastAsia="zh-CN" w:bidi="ar-SA"/>
                <w:kern w:val="2"/>
                <w:szCs w:val="24"/>
                <w:rFonts w:ascii="Calibri" w:hAnsi="Calibri" w:eastAsia="仿宋_GB2312"/>
              </w:rPr>
            </w:r>
          </w:p>
        </w:tc>
        <w:tc>
          <w:tcPr>
            <w:tcW w:w="2000" w:type="dxa"/>
            <w:vAlign w:val="center"/>
            <w:textDirection w:val="lrTb"/>
          </w:tcPr>
          <w:p>
            <w:pPr>
              <w:pStyle w:val="Normal"/>
              <w:widowControl w:val="0"/>
              <w:jc w:val="center"/>
              <w:divId w:val="0"/>
              <w:rPr>
                <w:sz w:val="12"/>
                <w:lang w:val="en-US" w:eastAsia="zh-CN" w:bidi="ar-SA"/>
                <w:kern w:val="2"/>
                <w:szCs w:val="24"/>
                <w:rFonts w:ascii="宋体" w:hAnsi="宋体" w:eastAsia="宋体"/>
              </w:rPr>
            </w:pPr>
            <w:r>
              <w:rPr>
                <w:sz w:val="12"/>
                <w:lang w:val="en-US" w:eastAsia="zh-CN" w:bidi="ar-SA"/>
                <w:kern w:val="2"/>
                <w:szCs w:val="24"/>
                <w:rFonts w:ascii="宋体" w:hAnsi="宋体" w:eastAsia="宋体"/>
              </w:rPr>
              <w:t xml:space="preserve">2025年度</w:t>
            </w:r>
            <w:r>
              <w:rPr>
                <w:sz w:val="32"/>
                <w:lang w:val="en-US" w:eastAsia="zh-CN" w:bidi="ar-SA"/>
                <w:kern w:val="2"/>
                <w:szCs w:val="24"/>
                <w:rFonts w:ascii="Calibri" w:hAnsi="Calibri" w:eastAsia="仿宋_GB2312"/>
              </w:rPr>
            </w:r>
          </w:p>
        </w:tc>
        <w:tc>
          <w:tcPr>
            <w:tcW w:w="3513" w:type="dxa"/>
            <w:vAlign w:val="center"/>
            <w:textDirection w:val="lrTb"/>
          </w:tcPr>
          <w:p>
            <w:pPr>
              <w:pStyle w:val="Normal"/>
              <w:widowControl w:val="0"/>
              <w:jc w:val="end"/>
              <w:divId w:val="0"/>
              <w:rPr>
                <w:sz w:val="12"/>
                <w:lang w:val="en-US" w:eastAsia="zh-CN" w:bidi="ar-SA"/>
                <w:kern w:val="2"/>
                <w:szCs w:val="24"/>
                <w:rFonts w:ascii="宋体" w:hAnsi="宋体" w:eastAsia="宋体"/>
              </w:rPr>
            </w:pPr>
            <w:r>
              <w:rPr>
                <w:sz w:val="12"/>
                <w:lang w:val="en-US" w:eastAsia="zh-CN" w:bidi="ar-SA"/>
                <w:kern w:val="2"/>
                <w:szCs w:val="24"/>
                <w:rFonts w:ascii="宋体" w:hAnsi="宋体" w:eastAsia="宋体"/>
              </w:rPr>
              <w:t xml:space="preserve">单位：万元</w:t>
            </w:r>
            <w:r>
              <w:rPr>
                <w:sz w:val="32"/>
                <w:lang w:val="en-US" w:eastAsia="zh-CN" w:bidi="ar-SA"/>
                <w:kern w:val="2"/>
                <w:szCs w:val="24"/>
                <w:rFonts w:ascii="Calibri" w:hAnsi="Calibri" w:eastAsia="仿宋_GB2312"/>
              </w:rPr>
            </w:r>
          </w:p>
        </w:tc>
      </w:tr>
    </w:tbl>
    <w:p>
      <w:pPr>
        <w:pStyle w:val="Normal"/>
        <w:snapToGrid w:val="0"/>
        <w:spacing w:after="0" w:before="0" w:line="0" w:lineRule="auto"/>
        <w:rPr>
          <w:sz w:val="8"/>
        </w:rPr>
      </w:pPr>
      <w:r>
        <w:rPr>
          <w:sz w:val="8"/>
        </w:rPr>
        <w:t xml:space="preserve"> </w:t>
      </w:r>
      <w:r/>
    </w:p>
    <w:tbl>
      <w:tblPr>
        <w:tblW w:w="0" w:type="auto"/>
        <w:jc w:val="center"/>
        <w:tblInd w:type="dxa" w:w="0.000000"/>
        <w:tblLayout w:type="fixed"/>
        <w:tblLook w:noVBand="0" w:noHBand="0" w:lastColumn="0" w:firstColumn="0" w:lastRow="0" w:firstRow="0" w:val="04a0"/>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type="dxa" w:w="0.000000"/>
          <w:bottom w:type="dxa" w:w="0.000000"/>
          <w:left w:type="dxa" w:w="80.000000"/>
          <w:right w:type="dxa" w:w="80.000000"/>
        </w:tblCellMar>
      </w:tblPr>
      <w:tblGrid>
        <w:gridCol w:w="960.000000"/>
        <w:gridCol w:w="2340.000000"/>
        <w:gridCol w:w="960.000000"/>
        <w:gridCol w:w="960.000000"/>
        <w:gridCol w:w="960.000000"/>
        <w:gridCol w:w="960.000000"/>
        <w:gridCol w:w="960.000000"/>
        <w:gridCol w:w="926.000000"/>
      </w:tblGrid>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268" w:hRule="exact"/>
        </w:trPr>
        <w:tc>
          <w:tcPr>
            <w:tcW w:w="3300" w:type="dxa"/>
            <w:gridSpan w:val="2"/>
            <w:vAlign w:val="center"/>
            <w:textDirection w:val="lrTb"/>
          </w:tcPr>
          <w:p>
            <w:pPr>
              <w:pStyle w:val="Normal"/>
              <w:widowControl w:val="0"/>
              <w:snapToGrid w:val="0"/>
              <w:jc w:val="center"/>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项目</w:t>
            </w:r>
            <w:r>
              <w:rPr>
                <w:sz w:val="32"/>
                <w:lang w:val="en-US" w:eastAsia="zh-CN" w:bidi="ar-SA"/>
                <w:kern w:val="2"/>
                <w:szCs w:val="24"/>
                <w:rFonts w:ascii="Calibri" w:hAnsi="Calibri" w:eastAsia="仿宋_GB2312"/>
              </w:rPr>
            </w:r>
          </w:p>
        </w:tc>
        <w:tc>
          <w:tcPr>
            <w:tcW w:w="960" w:type="dxa"/>
            <w:vMerge w:val="restart"/>
            <w:vAlign w:val="center"/>
            <w:textDirection w:val="lrTb"/>
          </w:tcPr>
          <w:p>
            <w:pPr>
              <w:pStyle w:val="Normal"/>
              <w:widowControl w:val="0"/>
              <w:snapToGrid w:val="0"/>
              <w:jc w:val="center"/>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本年支出合计</w:t>
            </w:r>
            <w:r>
              <w:rPr>
                <w:sz w:val="32"/>
                <w:lang w:val="en-US" w:eastAsia="zh-CN" w:bidi="ar-SA"/>
                <w:kern w:val="2"/>
                <w:szCs w:val="24"/>
                <w:rFonts w:ascii="Calibri" w:hAnsi="Calibri" w:eastAsia="仿宋_GB2312"/>
              </w:rPr>
            </w:r>
          </w:p>
        </w:tc>
        <w:tc>
          <w:tcPr>
            <w:tcW w:w="960" w:type="dxa"/>
            <w:vMerge w:val="restart"/>
            <w:vAlign w:val="center"/>
            <w:textDirection w:val="lrTb"/>
          </w:tcPr>
          <w:p>
            <w:pPr>
              <w:pStyle w:val="Normal"/>
              <w:widowControl w:val="0"/>
              <w:snapToGrid w:val="0"/>
              <w:jc w:val="center"/>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基本支出</w:t>
            </w:r>
            <w:r>
              <w:rPr>
                <w:sz w:val="32"/>
                <w:lang w:val="en-US" w:eastAsia="zh-CN" w:bidi="ar-SA"/>
                <w:kern w:val="2"/>
                <w:szCs w:val="24"/>
                <w:rFonts w:ascii="Calibri" w:hAnsi="Calibri" w:eastAsia="仿宋_GB2312"/>
              </w:rPr>
            </w:r>
          </w:p>
        </w:tc>
        <w:tc>
          <w:tcPr>
            <w:tcW w:w="960" w:type="dxa"/>
            <w:vMerge w:val="restart"/>
            <w:vAlign w:val="center"/>
            <w:textDirection w:val="lrTb"/>
          </w:tcPr>
          <w:p>
            <w:pPr>
              <w:pStyle w:val="Normal"/>
              <w:widowControl w:val="0"/>
              <w:snapToGrid w:val="0"/>
              <w:jc w:val="center"/>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项目支出</w:t>
            </w:r>
            <w:r>
              <w:rPr>
                <w:sz w:val="32"/>
                <w:lang w:val="en-US" w:eastAsia="zh-CN" w:bidi="ar-SA"/>
                <w:kern w:val="2"/>
                <w:szCs w:val="24"/>
                <w:rFonts w:ascii="Calibri" w:hAnsi="Calibri" w:eastAsia="仿宋_GB2312"/>
              </w:rPr>
            </w:r>
          </w:p>
        </w:tc>
        <w:tc>
          <w:tcPr>
            <w:tcW w:w="960" w:type="dxa"/>
            <w:vMerge w:val="restart"/>
            <w:vAlign w:val="center"/>
            <w:textDirection w:val="lrTb"/>
          </w:tcPr>
          <w:p>
            <w:pPr>
              <w:pStyle w:val="Normal"/>
              <w:widowControl w:val="0"/>
              <w:snapToGrid w:val="0"/>
              <w:jc w:val="center"/>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上缴上级支出</w:t>
            </w:r>
            <w:r>
              <w:rPr>
                <w:sz w:val="32"/>
                <w:lang w:val="en-US" w:eastAsia="zh-CN" w:bidi="ar-SA"/>
                <w:kern w:val="2"/>
                <w:szCs w:val="24"/>
                <w:rFonts w:ascii="Calibri" w:hAnsi="Calibri" w:eastAsia="仿宋_GB2312"/>
              </w:rPr>
            </w:r>
          </w:p>
        </w:tc>
        <w:tc>
          <w:tcPr>
            <w:tcW w:w="960" w:type="dxa"/>
            <w:vMerge w:val="restart"/>
            <w:vAlign w:val="center"/>
            <w:textDirection w:val="lrTb"/>
          </w:tcPr>
          <w:p>
            <w:pPr>
              <w:pStyle w:val="Normal"/>
              <w:widowControl w:val="0"/>
              <w:snapToGrid w:val="0"/>
              <w:jc w:val="center"/>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经营支出</w:t>
            </w:r>
            <w:r>
              <w:rPr>
                <w:sz w:val="32"/>
                <w:lang w:val="en-US" w:eastAsia="zh-CN" w:bidi="ar-SA"/>
                <w:kern w:val="2"/>
                <w:szCs w:val="24"/>
                <w:rFonts w:ascii="Calibri" w:hAnsi="Calibri" w:eastAsia="仿宋_GB2312"/>
              </w:rPr>
            </w:r>
          </w:p>
        </w:tc>
        <w:tc>
          <w:tcPr>
            <w:tcW w:w="926" w:type="dxa"/>
            <w:vMerge w:val="restart"/>
            <w:vAlign w:val="center"/>
            <w:textDirection w:val="lrTb"/>
          </w:tcPr>
          <w:p>
            <w:pPr>
              <w:pStyle w:val="Normal"/>
              <w:widowControl w:val="0"/>
              <w:snapToGrid w:val="0"/>
              <w:jc w:val="center"/>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对附属单位补助支出</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268" w:hRule="exact"/>
        </w:trPr>
        <w:tc>
          <w:tcPr>
            <w:tcW w:w="960" w:type="dxa"/>
            <w:vMerge w:val="restart"/>
            <w:vAlign w:val="center"/>
            <w:textDirection w:val="lrTb"/>
          </w:tcPr>
          <w:p>
            <w:pPr>
              <w:pStyle w:val="Normal"/>
              <w:widowControl w:val="0"/>
              <w:snapToGrid w:val="0"/>
              <w:jc w:val="center"/>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科目代码</w:t>
            </w:r>
            <w:r>
              <w:rPr>
                <w:sz w:val="32"/>
                <w:lang w:val="en-US" w:eastAsia="zh-CN" w:bidi="ar-SA"/>
                <w:kern w:val="2"/>
                <w:szCs w:val="24"/>
                <w:rFonts w:ascii="Calibri" w:hAnsi="Calibri" w:eastAsia="仿宋_GB2312"/>
              </w:rPr>
            </w:r>
          </w:p>
        </w:tc>
        <w:tc>
          <w:tcPr>
            <w:tcW w:w="2340" w:type="dxa"/>
            <w:vMerge w:val="restart"/>
            <w:vAlign w:val="center"/>
            <w:textDirection w:val="lrTb"/>
          </w:tcPr>
          <w:p>
            <w:pPr>
              <w:pStyle w:val="Normal"/>
              <w:widowControl w:val="0"/>
              <w:snapToGrid w:val="0"/>
              <w:jc w:val="center"/>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科目名称</w:t>
            </w:r>
            <w:r>
              <w:rPr>
                <w:sz w:val="32"/>
                <w:lang w:val="en-US" w:eastAsia="zh-CN" w:bidi="ar-SA"/>
                <w:kern w:val="2"/>
                <w:szCs w:val="24"/>
                <w:rFonts w:ascii="Calibri" w:hAnsi="Calibri" w:eastAsia="仿宋_GB2312"/>
              </w:rPr>
            </w:r>
          </w:p>
        </w:tc>
        <w:tc>
          <w:tcPr>
            <w:tcW w:w="9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9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9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9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9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926"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268" w:hRule="exact"/>
        </w:trPr>
        <w:tc>
          <w:tcPr>
            <w:tcW w:w="9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34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9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9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9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9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9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926"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268" w:hRule="exact"/>
        </w:trPr>
        <w:tc>
          <w:tcPr>
            <w:tcW w:w="9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34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9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9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9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9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9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926"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68" w:hRule="exact"/>
        </w:trPr>
        <w:tc>
          <w:tcPr>
            <w:tcW w:w="3300" w:type="dxa"/>
            <w:gridSpan w:val="2"/>
            <w:vAlign w:val="center"/>
            <w:textDirection w:val="lrTb"/>
          </w:tcPr>
          <w:p>
            <w:pPr>
              <w:pStyle w:val="Normal"/>
              <w:widowControl w:val="0"/>
              <w:snapToGrid w:val="0"/>
              <w:jc w:val="center"/>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栏次</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center"/>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1</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center"/>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center"/>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3</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center"/>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4</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center"/>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center"/>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6</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68" w:hRule="exact"/>
        </w:trPr>
        <w:tc>
          <w:tcPr>
            <w:tcW w:w="3300" w:type="dxa"/>
            <w:gridSpan w:val="2"/>
            <w:vAlign w:val="center"/>
            <w:textDirection w:val="lrTb"/>
          </w:tcPr>
          <w:p>
            <w:pPr>
              <w:pStyle w:val="Normal"/>
              <w:widowControl w:val="0"/>
              <w:snapToGrid w:val="0"/>
              <w:jc w:val="center"/>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合计</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1"/>
                <w:i w:val="0"/>
                <w:color w:val="262626"/>
                <w:sz w:val="12"/>
                <w:lang w:val="en-US" w:eastAsia="zh-CN" w:bidi="ar-SA"/>
                <w:kern w:val="2"/>
                <w:szCs w:val="24"/>
                <w:rFonts w:ascii="宋体" w:hAnsi="宋体" w:eastAsia="宋体"/>
              </w:rPr>
            </w:pPr>
            <w:r>
              <w:rPr>
                <w:b w:val="1"/>
                <w:i w:val="0"/>
                <w:color w:val="262626"/>
                <w:sz w:val="12"/>
                <w:lang w:val="en-US" w:eastAsia="zh-CN" w:bidi="ar-SA"/>
                <w:kern w:val="2"/>
                <w:szCs w:val="24"/>
                <w:rFonts w:ascii="宋体" w:hAnsi="宋体" w:eastAsia="宋体"/>
              </w:rPr>
              <w:t xml:space="preserve">1,428.03</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1"/>
                <w:i w:val="0"/>
                <w:color w:val="262626"/>
                <w:sz w:val="12"/>
                <w:lang w:val="en-US" w:eastAsia="zh-CN" w:bidi="ar-SA"/>
                <w:kern w:val="2"/>
                <w:szCs w:val="24"/>
                <w:rFonts w:ascii="宋体" w:hAnsi="宋体" w:eastAsia="宋体"/>
              </w:rPr>
            </w:pPr>
            <w:r>
              <w:rPr>
                <w:b w:val="1"/>
                <w:i w:val="0"/>
                <w:color w:val="262626"/>
                <w:sz w:val="12"/>
                <w:lang w:val="en-US" w:eastAsia="zh-CN" w:bidi="ar-SA"/>
                <w:kern w:val="2"/>
                <w:szCs w:val="24"/>
                <w:rFonts w:ascii="宋体" w:hAnsi="宋体" w:eastAsia="宋体"/>
              </w:rPr>
              <w:t xml:space="preserve">1,271.81</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1"/>
                <w:i w:val="0"/>
                <w:color w:val="262626"/>
                <w:sz w:val="12"/>
                <w:lang w:val="en-US" w:eastAsia="zh-CN" w:bidi="ar-SA"/>
                <w:kern w:val="2"/>
                <w:szCs w:val="24"/>
                <w:rFonts w:ascii="宋体" w:hAnsi="宋体" w:eastAsia="宋体"/>
              </w:rPr>
            </w:pPr>
            <w:r>
              <w:rPr>
                <w:b w:val="1"/>
                <w:i w:val="0"/>
                <w:color w:val="262626"/>
                <w:sz w:val="12"/>
                <w:lang w:val="en-US" w:eastAsia="zh-CN" w:bidi="ar-SA"/>
                <w:kern w:val="2"/>
                <w:szCs w:val="24"/>
                <w:rFonts w:ascii="宋体" w:hAnsi="宋体" w:eastAsia="宋体"/>
              </w:rPr>
              <w:t xml:space="preserve">156.22</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1"/>
                <w:i w:val="0"/>
                <w:color w:val="262626"/>
                <w:sz w:val="12"/>
                <w:lang w:val="en-US" w:eastAsia="zh-CN" w:bidi="ar-SA"/>
                <w:kern w:val="2"/>
                <w:szCs w:val="24"/>
                <w:rFonts w:ascii="宋体" w:hAnsi="宋体" w:eastAsia="宋体"/>
              </w:rPr>
            </w:pPr>
            <w:r>
              <w:rPr>
                <w:b w:val="1"/>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1"/>
                <w:i w:val="0"/>
                <w:color w:val="262626"/>
                <w:sz w:val="12"/>
                <w:lang w:val="en-US" w:eastAsia="zh-CN" w:bidi="ar-SA"/>
                <w:kern w:val="2"/>
                <w:szCs w:val="24"/>
                <w:rFonts w:ascii="宋体" w:hAnsi="宋体" w:eastAsia="宋体"/>
              </w:rPr>
            </w:pPr>
            <w:r>
              <w:rPr>
                <w:b w:val="1"/>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end"/>
              <w:divId w:val="0"/>
              <w:rPr>
                <w:b w:val="1"/>
                <w:i w:val="0"/>
                <w:color w:val="262626"/>
                <w:sz w:val="12"/>
                <w:lang w:val="en-US" w:eastAsia="zh-CN" w:bidi="ar-SA"/>
                <w:kern w:val="2"/>
                <w:szCs w:val="24"/>
                <w:rFonts w:ascii="宋体" w:hAnsi="宋体" w:eastAsia="宋体"/>
              </w:rPr>
            </w:pPr>
            <w:r>
              <w:rPr>
                <w:b w:val="1"/>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2" w:hRule="exact"/>
        </w:trPr>
        <w:tc>
          <w:tcPr>
            <w:tcW w:w="96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208</w:t>
            </w:r>
            <w:r>
              <w:rPr>
                <w:sz w:val="32"/>
                <w:lang w:val="en-US" w:eastAsia="zh-CN" w:bidi="ar-SA"/>
                <w:kern w:val="2"/>
                <w:szCs w:val="24"/>
                <w:rFonts w:ascii="Calibri" w:hAnsi="Calibri" w:eastAsia="仿宋_GB2312"/>
              </w:rPr>
            </w:r>
          </w:p>
        </w:tc>
        <w:tc>
          <w:tcPr>
            <w:tcW w:w="234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社会保障和就业支出</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179.77</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179.77</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2" w:hRule="exact"/>
        </w:trPr>
        <w:tc>
          <w:tcPr>
            <w:tcW w:w="96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20805</w:t>
            </w:r>
            <w:r>
              <w:rPr>
                <w:sz w:val="32"/>
                <w:lang w:val="en-US" w:eastAsia="zh-CN" w:bidi="ar-SA"/>
                <w:kern w:val="2"/>
                <w:szCs w:val="24"/>
                <w:rFonts w:ascii="Calibri" w:hAnsi="Calibri" w:eastAsia="仿宋_GB2312"/>
              </w:rPr>
            </w:r>
          </w:p>
        </w:tc>
        <w:tc>
          <w:tcPr>
            <w:tcW w:w="234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行政事业单位养老支出</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173.33</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173.33</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2" w:hRule="exact"/>
        </w:trPr>
        <w:tc>
          <w:tcPr>
            <w:tcW w:w="96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2080502</w:t>
            </w:r>
            <w:r>
              <w:rPr>
                <w:sz w:val="32"/>
                <w:lang w:val="en-US" w:eastAsia="zh-CN" w:bidi="ar-SA"/>
                <w:kern w:val="2"/>
                <w:szCs w:val="24"/>
                <w:rFonts w:ascii="Calibri" w:hAnsi="Calibri" w:eastAsia="仿宋_GB2312"/>
              </w:rPr>
            </w:r>
          </w:p>
        </w:tc>
        <w:tc>
          <w:tcPr>
            <w:tcW w:w="234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事业单位离退休</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110.50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110.50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2" w:hRule="exact"/>
        </w:trPr>
        <w:tc>
          <w:tcPr>
            <w:tcW w:w="96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2080505</w:t>
            </w:r>
            <w:r>
              <w:rPr>
                <w:sz w:val="32"/>
                <w:lang w:val="en-US" w:eastAsia="zh-CN" w:bidi="ar-SA"/>
                <w:kern w:val="2"/>
                <w:szCs w:val="24"/>
                <w:rFonts w:ascii="Calibri" w:hAnsi="Calibri" w:eastAsia="仿宋_GB2312"/>
              </w:rPr>
            </w:r>
          </w:p>
        </w:tc>
        <w:tc>
          <w:tcPr>
            <w:tcW w:w="234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机关事业单位基本养老保险缴费支出</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62.83</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62.83</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2" w:hRule="exact"/>
        </w:trPr>
        <w:tc>
          <w:tcPr>
            <w:tcW w:w="96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20808</w:t>
            </w:r>
            <w:r>
              <w:rPr>
                <w:sz w:val="32"/>
                <w:lang w:val="en-US" w:eastAsia="zh-CN" w:bidi="ar-SA"/>
                <w:kern w:val="2"/>
                <w:szCs w:val="24"/>
                <w:rFonts w:ascii="Calibri" w:hAnsi="Calibri" w:eastAsia="仿宋_GB2312"/>
              </w:rPr>
            </w:r>
          </w:p>
        </w:tc>
        <w:tc>
          <w:tcPr>
            <w:tcW w:w="234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抚恤</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6.44</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6.44</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2" w:hRule="exact"/>
        </w:trPr>
        <w:tc>
          <w:tcPr>
            <w:tcW w:w="96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2080801</w:t>
            </w:r>
            <w:r>
              <w:rPr>
                <w:sz w:val="32"/>
                <w:lang w:val="en-US" w:eastAsia="zh-CN" w:bidi="ar-SA"/>
                <w:kern w:val="2"/>
                <w:szCs w:val="24"/>
                <w:rFonts w:ascii="Calibri" w:hAnsi="Calibri" w:eastAsia="仿宋_GB2312"/>
              </w:rPr>
            </w:r>
          </w:p>
        </w:tc>
        <w:tc>
          <w:tcPr>
            <w:tcW w:w="234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死亡抚恤</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6.44</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6.44</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2" w:hRule="exact"/>
        </w:trPr>
        <w:tc>
          <w:tcPr>
            <w:tcW w:w="96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210</w:t>
            </w:r>
            <w:r>
              <w:rPr>
                <w:sz w:val="32"/>
                <w:lang w:val="en-US" w:eastAsia="zh-CN" w:bidi="ar-SA"/>
                <w:kern w:val="2"/>
                <w:szCs w:val="24"/>
                <w:rFonts w:ascii="Calibri" w:hAnsi="Calibri" w:eastAsia="仿宋_GB2312"/>
              </w:rPr>
            </w:r>
          </w:p>
        </w:tc>
        <w:tc>
          <w:tcPr>
            <w:tcW w:w="234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卫生健康支出</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2" w:hRule="exact"/>
        </w:trPr>
        <w:tc>
          <w:tcPr>
            <w:tcW w:w="96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21011</w:t>
            </w:r>
            <w:r>
              <w:rPr>
                <w:sz w:val="32"/>
                <w:lang w:val="en-US" w:eastAsia="zh-CN" w:bidi="ar-SA"/>
                <w:kern w:val="2"/>
                <w:szCs w:val="24"/>
                <w:rFonts w:ascii="Calibri" w:hAnsi="Calibri" w:eastAsia="仿宋_GB2312"/>
              </w:rPr>
            </w:r>
          </w:p>
        </w:tc>
        <w:tc>
          <w:tcPr>
            <w:tcW w:w="234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行政事业单位医疗</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2" w:hRule="exact"/>
        </w:trPr>
        <w:tc>
          <w:tcPr>
            <w:tcW w:w="96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2101102</w:t>
            </w:r>
            <w:r>
              <w:rPr>
                <w:sz w:val="32"/>
                <w:lang w:val="en-US" w:eastAsia="zh-CN" w:bidi="ar-SA"/>
                <w:kern w:val="2"/>
                <w:szCs w:val="24"/>
                <w:rFonts w:ascii="Calibri" w:hAnsi="Calibri" w:eastAsia="仿宋_GB2312"/>
              </w:rPr>
            </w:r>
          </w:p>
        </w:tc>
        <w:tc>
          <w:tcPr>
            <w:tcW w:w="234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事业单位医疗</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2" w:hRule="exact"/>
        </w:trPr>
        <w:tc>
          <w:tcPr>
            <w:tcW w:w="96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213</w:t>
            </w:r>
            <w:r>
              <w:rPr>
                <w:sz w:val="32"/>
                <w:lang w:val="en-US" w:eastAsia="zh-CN" w:bidi="ar-SA"/>
                <w:kern w:val="2"/>
                <w:szCs w:val="24"/>
                <w:rFonts w:ascii="Calibri" w:hAnsi="Calibri" w:eastAsia="仿宋_GB2312"/>
              </w:rPr>
            </w:r>
          </w:p>
        </w:tc>
        <w:tc>
          <w:tcPr>
            <w:tcW w:w="234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农林水支出</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1,163.19</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1,006.97</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156.22</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2" w:hRule="exact"/>
        </w:trPr>
        <w:tc>
          <w:tcPr>
            <w:tcW w:w="96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21301</w:t>
            </w:r>
            <w:r>
              <w:rPr>
                <w:sz w:val="32"/>
                <w:lang w:val="en-US" w:eastAsia="zh-CN" w:bidi="ar-SA"/>
                <w:kern w:val="2"/>
                <w:szCs w:val="24"/>
                <w:rFonts w:ascii="Calibri" w:hAnsi="Calibri" w:eastAsia="仿宋_GB2312"/>
              </w:rPr>
            </w:r>
          </w:p>
        </w:tc>
        <w:tc>
          <w:tcPr>
            <w:tcW w:w="234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农业农村</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4.30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4.30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2" w:hRule="exact"/>
        </w:trPr>
        <w:tc>
          <w:tcPr>
            <w:tcW w:w="96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2130199</w:t>
            </w:r>
            <w:r>
              <w:rPr>
                <w:sz w:val="32"/>
                <w:lang w:val="en-US" w:eastAsia="zh-CN" w:bidi="ar-SA"/>
                <w:kern w:val="2"/>
                <w:szCs w:val="24"/>
                <w:rFonts w:ascii="Calibri" w:hAnsi="Calibri" w:eastAsia="仿宋_GB2312"/>
              </w:rPr>
            </w:r>
          </w:p>
        </w:tc>
        <w:tc>
          <w:tcPr>
            <w:tcW w:w="234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其他农业农村支出</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4.30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4.30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2" w:hRule="exact"/>
        </w:trPr>
        <w:tc>
          <w:tcPr>
            <w:tcW w:w="96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21303</w:t>
            </w:r>
            <w:r>
              <w:rPr>
                <w:sz w:val="32"/>
                <w:lang w:val="en-US" w:eastAsia="zh-CN" w:bidi="ar-SA"/>
                <w:kern w:val="2"/>
                <w:szCs w:val="24"/>
                <w:rFonts w:ascii="Calibri" w:hAnsi="Calibri" w:eastAsia="仿宋_GB2312"/>
              </w:rPr>
            </w:r>
          </w:p>
        </w:tc>
        <w:tc>
          <w:tcPr>
            <w:tcW w:w="234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水利</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1,158.89</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1,006.97</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151.92</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2" w:hRule="exact"/>
        </w:trPr>
        <w:tc>
          <w:tcPr>
            <w:tcW w:w="96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2130304</w:t>
            </w:r>
            <w:r>
              <w:rPr>
                <w:sz w:val="32"/>
                <w:lang w:val="en-US" w:eastAsia="zh-CN" w:bidi="ar-SA"/>
                <w:kern w:val="2"/>
                <w:szCs w:val="24"/>
                <w:rFonts w:ascii="Calibri" w:hAnsi="Calibri" w:eastAsia="仿宋_GB2312"/>
              </w:rPr>
            </w:r>
          </w:p>
        </w:tc>
        <w:tc>
          <w:tcPr>
            <w:tcW w:w="234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水利行业业务管理</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1,114.79</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1,006.97</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107.82</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2" w:hRule="exact"/>
        </w:trPr>
        <w:tc>
          <w:tcPr>
            <w:tcW w:w="96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2130306</w:t>
            </w:r>
            <w:r>
              <w:rPr>
                <w:sz w:val="32"/>
                <w:lang w:val="en-US" w:eastAsia="zh-CN" w:bidi="ar-SA"/>
                <w:kern w:val="2"/>
                <w:szCs w:val="24"/>
                <w:rFonts w:ascii="Calibri" w:hAnsi="Calibri" w:eastAsia="仿宋_GB2312"/>
              </w:rPr>
            </w:r>
          </w:p>
        </w:tc>
        <w:tc>
          <w:tcPr>
            <w:tcW w:w="234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水利工程运行与维护</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39.10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39.10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2" w:hRule="exact"/>
        </w:trPr>
        <w:tc>
          <w:tcPr>
            <w:tcW w:w="96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2130399</w:t>
            </w:r>
            <w:r>
              <w:rPr>
                <w:sz w:val="32"/>
                <w:lang w:val="en-US" w:eastAsia="zh-CN" w:bidi="ar-SA"/>
                <w:kern w:val="2"/>
                <w:szCs w:val="24"/>
                <w:rFonts w:ascii="Calibri" w:hAnsi="Calibri" w:eastAsia="仿宋_GB2312"/>
              </w:rPr>
            </w:r>
          </w:p>
        </w:tc>
        <w:tc>
          <w:tcPr>
            <w:tcW w:w="234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其他水利支出</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5.00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5.00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2" w:hRule="exact"/>
        </w:trPr>
        <w:tc>
          <w:tcPr>
            <w:tcW w:w="96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221</w:t>
            </w:r>
            <w:r>
              <w:rPr>
                <w:sz w:val="32"/>
                <w:lang w:val="en-US" w:eastAsia="zh-CN" w:bidi="ar-SA"/>
                <w:kern w:val="2"/>
                <w:szCs w:val="24"/>
                <w:rFonts w:ascii="Calibri" w:hAnsi="Calibri" w:eastAsia="仿宋_GB2312"/>
              </w:rPr>
            </w:r>
          </w:p>
        </w:tc>
        <w:tc>
          <w:tcPr>
            <w:tcW w:w="234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住房保障支出</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2" w:hRule="exact"/>
        </w:trPr>
        <w:tc>
          <w:tcPr>
            <w:tcW w:w="96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22102</w:t>
            </w:r>
            <w:r>
              <w:rPr>
                <w:sz w:val="32"/>
                <w:lang w:val="en-US" w:eastAsia="zh-CN" w:bidi="ar-SA"/>
                <w:kern w:val="2"/>
                <w:szCs w:val="24"/>
                <w:rFonts w:ascii="Calibri" w:hAnsi="Calibri" w:eastAsia="仿宋_GB2312"/>
              </w:rPr>
            </w:r>
          </w:p>
        </w:tc>
        <w:tc>
          <w:tcPr>
            <w:tcW w:w="234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住房改革支出</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2" w:hRule="exact"/>
        </w:trPr>
        <w:tc>
          <w:tcPr>
            <w:tcW w:w="96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2210201</w:t>
            </w:r>
            <w:r>
              <w:rPr>
                <w:sz w:val="32"/>
                <w:lang w:val="en-US" w:eastAsia="zh-CN" w:bidi="ar-SA"/>
                <w:kern w:val="2"/>
                <w:szCs w:val="24"/>
                <w:rFonts w:ascii="Calibri" w:hAnsi="Calibri" w:eastAsia="仿宋_GB2312"/>
              </w:rPr>
            </w:r>
          </w:p>
        </w:tc>
        <w:tc>
          <w:tcPr>
            <w:tcW w:w="2340" w:type="dxa"/>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住房公积金</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60"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926" w:type="dxa"/>
            <w:vAlign w:val="center"/>
            <w:textDirection w:val="lrTb"/>
          </w:tcPr>
          <w:p>
            <w:pPr>
              <w:pStyle w:val="Normal"/>
              <w:widowControl w:val="0"/>
              <w:snapToGrid w:val="0"/>
              <w:jc w:val="end"/>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68" w:hRule="exact"/>
        </w:trPr>
        <w:tc>
          <w:tcPr>
            <w:tcW w:w="9026" w:type="dxa"/>
            <w:gridSpan w:val="8"/>
            <w:vAlign w:val="center"/>
            <w:textDirection w:val="lrTb"/>
          </w:tcPr>
          <w:p>
            <w:pPr>
              <w:pStyle w:val="Normal"/>
              <w:widowControl w:val="0"/>
              <w:snapToGrid w:val="0"/>
              <w:jc w:val="start"/>
              <w:divId w:val="0"/>
              <w:rPr>
                <w:b w:val="0"/>
                <w:i w:val="0"/>
                <w:color w:val="262626"/>
                <w:sz w:val="12"/>
                <w:lang w:val="en-US" w:eastAsia="zh-CN" w:bidi="ar-SA"/>
                <w:kern w:val="2"/>
                <w:szCs w:val="24"/>
                <w:rFonts w:ascii="宋体" w:hAnsi="宋体" w:eastAsia="宋体"/>
              </w:rPr>
            </w:pPr>
            <w:r>
              <w:rPr>
                <w:b w:val="0"/>
                <w:i w:val="0"/>
                <w:color w:val="262626"/>
                <w:sz w:val="12"/>
                <w:lang w:val="en-US" w:eastAsia="zh-CN" w:bidi="ar-SA"/>
                <w:kern w:val="2"/>
                <w:szCs w:val="24"/>
                <w:rFonts w:ascii="宋体" w:hAnsi="宋体" w:eastAsia="宋体"/>
              </w:rPr>
              <w:t xml:space="preserve">注：本表反映部门本年度各项支出情况。</w:t>
            </w:r>
            <w:r>
              <w:rPr>
                <w:sz w:val="32"/>
                <w:lang w:val="en-US" w:eastAsia="zh-CN" w:bidi="ar-SA"/>
                <w:kern w:val="2"/>
                <w:szCs w:val="24"/>
                <w:rFonts w:ascii="Calibri" w:hAnsi="Calibri" w:eastAsia="仿宋_GB2312"/>
              </w:rPr>
            </w:r>
          </w:p>
        </w:tc>
      </w:tr>
    </w:tbl>
    <w:p>
      <w:pPr>
        <w:pStyle w:val="Normal"/>
        <w:sectPr>
          <w:type w:val="nextPage"/>
          <w:docGrid w:type="lines" w:linePitch="312" w:charSpace="0"/>
          <w:pgSz w:w="11906" w:h="16838" w:orient="portrait"/>
          <w:pgMar w:top="873" w:right="1440" w:bottom="873" w:left="1440" w:header="720" w:footer="720" w:gutter="0"/>
          <w:pgNumType w:fmt="57"/>
          <w:cols w:num="1" w:equalWidth="0" w:space="720">
            <w:col w:space="-12288" w:w="9026"/>
          </w:cols>
          <w:pgNumType w:fmt="57"/>
        </w:sectPr>
      </w:pPr>
    </w:p>
    <w:p>
      <w:pPr>
        <w:pStyle w:val="Normal"/>
        <w:keepNext w:val="0"/>
        <w:keepLines w:val="0"/>
        <w:pageBreakBefore w:val="0"/>
        <w:wordWrap w:val="0"/>
        <w:overflowPunct w:val="1"/>
        <w:topLinePunct w:val="0"/>
        <w:kinsoku w:val="1"/>
        <w:autoSpaceDE w:val="1"/>
        <w:autoSpaceDN w:val="1"/>
        <w:bidi w:val="0"/>
        <w:jc w:val="center"/>
        <w:rPr>
          <w:sz w:val="32"/>
          <w:lang w:val="en-US" w:eastAsia="zh-CN"/>
          <w:bCs/>
          <w:szCs w:val="32"/>
          <w:rFonts w:ascii="黑体" w:hAnsi="黑体" w:eastAsia="黑体" w:hint="eastAsia"/>
        </w:rPr>
      </w:pPr>
      <w:r>
        <w:rPr>
          <w:sz w:val="32"/>
          <w:lang w:val="en-US" w:eastAsia="zh-CN"/>
          <w:bCs/>
          <w:szCs w:val="32"/>
          <w:rFonts w:ascii="黑体" w:hAnsi="黑体" w:eastAsia="黑体" w:hint="eastAsia"/>
        </w:rPr>
        <w:t xml:space="preserve">财政拨款收入支出决算总表</w:t>
      </w:r>
      <w:r>
        <w:rPr>
          <w:color w:val="000000"/>
          <w:sz w:val="20"/>
          <w:lang w:val="en-US" w:eastAsia="zh-CN"/>
          <w:kern w:val="0"/>
          <w:szCs w:val="20"/>
          <w:rFonts w:ascii="宋体" w:hAnsi="宋体" w:hint="eastAsia"/>
        </w:rPr>
      </w:r>
    </w:p>
    <w:tbl>
      <w:tblPr>
        <w:tblW w:w="0" w:type="auto"/>
        <w:jc w:val="center"/>
        <w:tblInd w:type="dxa" w:w="0.000000"/>
        <w:tblLayout w:type="fixed"/>
        <w:tblLook w:noVBand="0" w:noHBand="0" w:lastColumn="0" w:firstColumn="0" w:lastRow="0" w:firstRow="0" w:val="04a0"/>
        <w:tblBorders>
          <w:top w:val="nil"/>
          <w:left w:val="nil"/>
          <w:bottom w:val="nil"/>
          <w:right w:val="nil"/>
          <w:insideH w:val="nil"/>
          <w:insideV w:val="nil"/>
        </w:tblBorders>
        <w:tblCellMar>
          <w:top w:type="dxa" w:w="0.000000"/>
          <w:bottom w:type="dxa" w:w="0.000000"/>
          <w:left w:type="dxa" w:w="80.000000"/>
          <w:right w:type="dxa" w:w="80.000000"/>
        </w:tblCellMar>
      </w:tblPr>
      <w:tblGrid>
        <w:gridCol w:w="5412.000000"/>
        <w:gridCol w:w="2000.000000"/>
        <w:gridCol w:w="5412.000000"/>
      </w:tblGrid>
      <w:tr>
        <w:tblPrEx>
          <w:tblBorders>
            <w:top w:val="nil"/>
            <w:left w:val="nil"/>
            <w:bottom w:val="nil"/>
            <w:right w:val="nil"/>
            <w:insideH w:val="nil"/>
            <w:insideV w:val="nil"/>
          </w:tblBorders>
        </w:tblPrEx>
        <w:trPr>
          <w:trHeight w:val="0" w:hRule="auto"/>
        </w:trPr>
        <w:tc>
          <w:tcPr>
            <w:tcW w:w="12824" w:type="dxa"/>
            <w:gridSpan w:val="3"/>
            <w:vAlign w:val="center"/>
            <w:textDirection w:val="lrTb"/>
          </w:tcPr>
          <w:p>
            <w:pPr>
              <w:pStyle w:val="Normal"/>
              <w:widowControl w:val="0"/>
              <w:jc w:val="end"/>
              <w:divId w:val="0"/>
              <w:rPr>
                <w:sz w:val="11"/>
                <w:lang w:val="en-US" w:eastAsia="zh-CN" w:bidi="ar-SA"/>
                <w:kern w:val="2"/>
                <w:szCs w:val="24"/>
                <w:rFonts w:ascii="宋体" w:hAnsi="宋体" w:eastAsia="宋体"/>
              </w:rPr>
            </w:pPr>
            <w:r>
              <w:rPr>
                <w:sz w:val="11"/>
                <w:lang w:val="en-US" w:eastAsia="zh-CN" w:bidi="ar-SA"/>
                <w:kern w:val="2"/>
                <w:szCs w:val="24"/>
                <w:rFonts w:ascii="宋体" w:hAnsi="宋体" w:eastAsia="宋体"/>
              </w:rPr>
              <w:t xml:space="preserve">公开04表</w:t>
            </w:r>
            <w:r>
              <w:rPr>
                <w:sz w:val="32"/>
                <w:lang w:val="en-US" w:eastAsia="zh-CN" w:bidi="ar-SA"/>
                <w:kern w:val="2"/>
                <w:szCs w:val="24"/>
                <w:rFonts w:ascii="Calibri" w:hAnsi="Calibri" w:eastAsia="仿宋_GB2312"/>
              </w:rPr>
            </w:r>
          </w:p>
        </w:tc>
      </w:tr>
      <w:tr>
        <w:tblPrEx>
          <w:tblBorders>
            <w:top w:val="nil"/>
            <w:left w:val="nil"/>
            <w:bottom w:val="nil"/>
            <w:right w:val="nil"/>
            <w:insideH w:val="nil"/>
            <w:insideV w:val="nil"/>
          </w:tblBorders>
        </w:tblPrEx>
        <w:trPr>
          <w:trHeight w:val="0" w:hRule="auto"/>
        </w:trPr>
        <w:tc>
          <w:tcPr>
            <w:tcW w:w="5412" w:type="dxa"/>
            <w:vAlign w:val="center"/>
            <w:textDirection w:val="lrTb"/>
          </w:tcPr>
          <w:p>
            <w:pPr>
              <w:pStyle w:val="Normal"/>
              <w:widowControl w:val="0"/>
              <w:jc w:val="start"/>
              <w:divId w:val="0"/>
              <w:rPr>
                <w:sz w:val="11"/>
                <w:lang w:val="en-US" w:eastAsia="zh-CN" w:bidi="ar-SA"/>
                <w:kern w:val="2"/>
                <w:szCs w:val="24"/>
                <w:rFonts w:ascii="宋体" w:hAnsi="宋体" w:eastAsia="宋体"/>
              </w:rPr>
            </w:pPr>
            <w:r>
              <w:rPr>
                <w:sz w:val="11"/>
                <w:lang w:val="en-US" w:eastAsia="zh-CN" w:bidi="ar-SA"/>
                <w:kern w:val="2"/>
                <w:szCs w:val="24"/>
                <w:rFonts w:ascii="宋体" w:hAnsi="宋体" w:eastAsia="宋体"/>
              </w:rPr>
              <w:t xml:space="preserve">单位：许昌市河湖事务中心</w:t>
            </w:r>
            <w:r>
              <w:rPr>
                <w:sz w:val="32"/>
                <w:lang w:val="en-US" w:eastAsia="zh-CN" w:bidi="ar-SA"/>
                <w:kern w:val="2"/>
                <w:szCs w:val="24"/>
                <w:rFonts w:ascii="Calibri" w:hAnsi="Calibri" w:eastAsia="仿宋_GB2312"/>
              </w:rPr>
            </w:r>
          </w:p>
        </w:tc>
        <w:tc>
          <w:tcPr>
            <w:tcW w:w="2000" w:type="dxa"/>
            <w:vAlign w:val="center"/>
            <w:textDirection w:val="lrTb"/>
          </w:tcPr>
          <w:p>
            <w:pPr>
              <w:pStyle w:val="Normal"/>
              <w:widowControl w:val="0"/>
              <w:jc w:val="center"/>
              <w:divId w:val="0"/>
              <w:rPr>
                <w:sz w:val="11"/>
                <w:lang w:val="en-US" w:eastAsia="zh-CN" w:bidi="ar-SA"/>
                <w:kern w:val="2"/>
                <w:szCs w:val="24"/>
                <w:rFonts w:ascii="宋体" w:hAnsi="宋体" w:eastAsia="宋体"/>
              </w:rPr>
            </w:pPr>
            <w:r>
              <w:rPr>
                <w:sz w:val="11"/>
                <w:lang w:val="en-US" w:eastAsia="zh-CN" w:bidi="ar-SA"/>
                <w:kern w:val="2"/>
                <w:szCs w:val="24"/>
                <w:rFonts w:ascii="宋体" w:hAnsi="宋体" w:eastAsia="宋体"/>
              </w:rPr>
              <w:t xml:space="preserve">2025年度</w:t>
            </w:r>
            <w:r>
              <w:rPr>
                <w:sz w:val="32"/>
                <w:lang w:val="en-US" w:eastAsia="zh-CN" w:bidi="ar-SA"/>
                <w:kern w:val="2"/>
                <w:szCs w:val="24"/>
                <w:rFonts w:ascii="Calibri" w:hAnsi="Calibri" w:eastAsia="仿宋_GB2312"/>
              </w:rPr>
            </w:r>
          </w:p>
        </w:tc>
        <w:tc>
          <w:tcPr>
            <w:tcW w:w="5412" w:type="dxa"/>
            <w:vAlign w:val="center"/>
            <w:textDirection w:val="lrTb"/>
          </w:tcPr>
          <w:p>
            <w:pPr>
              <w:pStyle w:val="Normal"/>
              <w:widowControl w:val="0"/>
              <w:jc w:val="end"/>
              <w:divId w:val="0"/>
              <w:rPr>
                <w:sz w:val="11"/>
                <w:lang w:val="en-US" w:eastAsia="zh-CN" w:bidi="ar-SA"/>
                <w:kern w:val="2"/>
                <w:szCs w:val="24"/>
                <w:rFonts w:ascii="宋体" w:hAnsi="宋体" w:eastAsia="宋体"/>
              </w:rPr>
            </w:pPr>
            <w:r>
              <w:rPr>
                <w:sz w:val="11"/>
                <w:lang w:val="en-US" w:eastAsia="zh-CN" w:bidi="ar-SA"/>
                <w:kern w:val="2"/>
                <w:szCs w:val="24"/>
                <w:rFonts w:ascii="宋体" w:hAnsi="宋体" w:eastAsia="宋体"/>
              </w:rPr>
              <w:t xml:space="preserve">单位：万元</w:t>
            </w:r>
            <w:r>
              <w:rPr>
                <w:sz w:val="32"/>
                <w:lang w:val="en-US" w:eastAsia="zh-CN" w:bidi="ar-SA"/>
                <w:kern w:val="2"/>
                <w:szCs w:val="24"/>
                <w:rFonts w:ascii="Calibri" w:hAnsi="Calibri" w:eastAsia="仿宋_GB2312"/>
              </w:rPr>
            </w:r>
          </w:p>
        </w:tc>
      </w:tr>
    </w:tbl>
    <w:p>
      <w:pPr>
        <w:pStyle w:val="Normal"/>
        <w:snapToGrid w:val="0"/>
        <w:spacing w:after="0" w:before="0" w:line="0" w:lineRule="auto"/>
        <w:rPr>
          <w:sz w:val="8"/>
        </w:rPr>
      </w:pPr>
      <w:r>
        <w:rPr>
          <w:sz w:val="8"/>
        </w:rPr>
        <w:t xml:space="preserve"> </w:t>
      </w:r>
      <w:r/>
    </w:p>
    <w:tbl>
      <w:tblPr>
        <w:tblW w:w="0" w:type="auto"/>
        <w:jc w:val="center"/>
        <w:tblInd w:type="dxa" w:w="0.000000"/>
        <w:tblLayout w:type="fixed"/>
        <w:tblLook w:noVBand="0" w:noHBand="0" w:lastColumn="0" w:firstColumn="0" w:lastRow="0" w:firstRow="0" w:val="04a0"/>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type="dxa" w:w="0.000000"/>
          <w:bottom w:type="dxa" w:w="0.000000"/>
          <w:left w:type="dxa" w:w="80.000000"/>
          <w:right w:type="dxa" w:w="80.000000"/>
        </w:tblCellMar>
      </w:tblPr>
      <w:tblGrid>
        <w:gridCol w:w="2660.000000"/>
        <w:gridCol w:w="440.000000"/>
        <w:gridCol w:w="1280.000000"/>
        <w:gridCol w:w="2800.000000"/>
        <w:gridCol w:w="440.000000"/>
        <w:gridCol w:w="1280.000000"/>
        <w:gridCol w:w="1280.000000"/>
        <w:gridCol w:w="1280.000000"/>
        <w:gridCol w:w="1364.000000"/>
      </w:tblGrid>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4380" w:type="dxa"/>
            <w:gridSpan w:val="3"/>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收入</w:t>
            </w:r>
            <w:r>
              <w:rPr>
                <w:sz w:val="32"/>
                <w:lang w:val="en-US" w:eastAsia="zh-CN" w:bidi="ar-SA"/>
                <w:kern w:val="2"/>
                <w:szCs w:val="24"/>
                <w:rFonts w:ascii="Calibri" w:hAnsi="Calibri" w:eastAsia="仿宋_GB2312"/>
              </w:rPr>
            </w:r>
          </w:p>
        </w:tc>
        <w:tc>
          <w:tcPr>
            <w:tcW w:w="8444" w:type="dxa"/>
            <w:gridSpan w:val="6"/>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支出</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326" w:hRule="exact"/>
        </w:trPr>
        <w:tc>
          <w:tcPr>
            <w:tcW w:w="2660" w:type="dxa"/>
            <w:vMerge w:val="restart"/>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项目</w:t>
            </w:r>
            <w:r>
              <w:rPr>
                <w:sz w:val="32"/>
                <w:lang w:val="en-US" w:eastAsia="zh-CN" w:bidi="ar-SA"/>
                <w:kern w:val="2"/>
                <w:szCs w:val="24"/>
                <w:rFonts w:ascii="Calibri" w:hAnsi="Calibri" w:eastAsia="仿宋_GB2312"/>
              </w:rPr>
            </w:r>
          </w:p>
        </w:tc>
        <w:tc>
          <w:tcPr>
            <w:tcW w:w="440" w:type="dxa"/>
            <w:vMerge w:val="restart"/>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行次</w:t>
            </w:r>
            <w:r>
              <w:rPr>
                <w:sz w:val="32"/>
                <w:lang w:val="en-US" w:eastAsia="zh-CN" w:bidi="ar-SA"/>
                <w:kern w:val="2"/>
                <w:szCs w:val="24"/>
                <w:rFonts w:ascii="Calibri" w:hAnsi="Calibri" w:eastAsia="仿宋_GB2312"/>
              </w:rPr>
            </w:r>
          </w:p>
        </w:tc>
        <w:tc>
          <w:tcPr>
            <w:tcW w:w="1280" w:type="dxa"/>
            <w:vMerge w:val="restart"/>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金额</w:t>
            </w:r>
            <w:r>
              <w:rPr>
                <w:sz w:val="32"/>
                <w:lang w:val="en-US" w:eastAsia="zh-CN" w:bidi="ar-SA"/>
                <w:kern w:val="2"/>
                <w:szCs w:val="24"/>
                <w:rFonts w:ascii="Calibri" w:hAnsi="Calibri" w:eastAsia="仿宋_GB2312"/>
              </w:rPr>
            </w:r>
          </w:p>
        </w:tc>
        <w:tc>
          <w:tcPr>
            <w:tcW w:w="2800" w:type="dxa"/>
            <w:vMerge w:val="restart"/>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项目</w:t>
            </w:r>
            <w:r>
              <w:rPr>
                <w:sz w:val="32"/>
                <w:lang w:val="en-US" w:eastAsia="zh-CN" w:bidi="ar-SA"/>
                <w:kern w:val="2"/>
                <w:szCs w:val="24"/>
                <w:rFonts w:ascii="Calibri" w:hAnsi="Calibri" w:eastAsia="仿宋_GB2312"/>
              </w:rPr>
            </w:r>
          </w:p>
        </w:tc>
        <w:tc>
          <w:tcPr>
            <w:tcW w:w="440" w:type="dxa"/>
            <w:vMerge w:val="restart"/>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行次</w:t>
            </w:r>
            <w:r>
              <w:rPr>
                <w:sz w:val="32"/>
                <w:lang w:val="en-US" w:eastAsia="zh-CN" w:bidi="ar-SA"/>
                <w:kern w:val="2"/>
                <w:szCs w:val="24"/>
                <w:rFonts w:ascii="Calibri" w:hAnsi="Calibri" w:eastAsia="仿宋_GB2312"/>
              </w:rPr>
            </w:r>
          </w:p>
        </w:tc>
        <w:tc>
          <w:tcPr>
            <w:tcW w:w="1280" w:type="dxa"/>
            <w:vMerge w:val="restart"/>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合计</w:t>
            </w:r>
            <w:r>
              <w:rPr>
                <w:sz w:val="32"/>
                <w:lang w:val="en-US" w:eastAsia="zh-CN" w:bidi="ar-SA"/>
                <w:kern w:val="2"/>
                <w:szCs w:val="24"/>
                <w:rFonts w:ascii="Calibri" w:hAnsi="Calibri" w:eastAsia="仿宋_GB2312"/>
              </w:rPr>
            </w:r>
          </w:p>
        </w:tc>
        <w:tc>
          <w:tcPr>
            <w:tcW w:w="1280" w:type="dxa"/>
            <w:vMerge w:val="restart"/>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一般公共预算财政拨款</w:t>
            </w:r>
            <w:r>
              <w:rPr>
                <w:sz w:val="32"/>
                <w:lang w:val="en-US" w:eastAsia="zh-CN" w:bidi="ar-SA"/>
                <w:kern w:val="2"/>
                <w:szCs w:val="24"/>
                <w:rFonts w:ascii="Calibri" w:hAnsi="Calibri" w:eastAsia="仿宋_GB2312"/>
              </w:rPr>
            </w:r>
          </w:p>
        </w:tc>
        <w:tc>
          <w:tcPr>
            <w:tcW w:w="1280" w:type="dxa"/>
            <w:vMerge w:val="restart"/>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政府性基金预算财政拨款</w:t>
            </w:r>
            <w:r>
              <w:rPr>
                <w:sz w:val="32"/>
                <w:lang w:val="en-US" w:eastAsia="zh-CN" w:bidi="ar-SA"/>
                <w:kern w:val="2"/>
                <w:szCs w:val="24"/>
                <w:rFonts w:ascii="Calibri" w:hAnsi="Calibri" w:eastAsia="仿宋_GB2312"/>
              </w:rPr>
            </w:r>
          </w:p>
        </w:tc>
        <w:tc>
          <w:tcPr>
            <w:tcW w:w="1364" w:type="dxa"/>
            <w:vMerge w:val="restart"/>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国有资本经营预算财政拨款</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686" w:hRule="exact"/>
        </w:trPr>
        <w:tc>
          <w:tcPr>
            <w:tcW w:w="26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2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2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2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2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364"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栏次</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w:t>
            </w: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栏次</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2</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3</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4</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一、一般公共预算财政拨款</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1,428.03</w:t>
            </w: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一、一般公共服务支出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33</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二、政府性基金预算财政拨款</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2</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二、外交支出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34</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三、国有资本经营预算财政拨款</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3</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三、国防支出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35</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4</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四、公共安全支出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36</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五、教育支出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37</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6</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六、科学技术支出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38</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7</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七、文化旅游体育与传媒支出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39</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8</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八、社会保障和就业支出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40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179.77</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179.77</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9</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九、卫生健康支出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41</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十、节能环保支出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42</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11</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十一、城乡社区支出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43</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12</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十二、农林水支出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44</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1,163.19</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1,163.19</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13</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十三、交通运输支出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45</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14</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十四、资源勘探工业信息等支出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46</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15</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十五、商业服务业等支出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47</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16</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十六、金融支出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48</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17</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十七、援助其他地区支出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49</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18</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十八、自然资源海洋气象等支出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50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19</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十九、住房保障支出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51</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20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二十、粮油物资储备支出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52</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21</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二十一、国有资本经营预算支出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53</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22</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二十二、灾害防治及应急管理支出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54</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23</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二十三、其他支出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55</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24</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二十四、债务还本支出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56</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25</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二十五、债务付息支出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57</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26</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二十六、抗疫特别国债安排的支出</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58</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snapToGrid w:val="0"/>
              <w:jc w:val="center"/>
              <w:divId w:val="0"/>
              <w:rPr>
                <w:b w:val="1"/>
                <w:i w:val="0"/>
                <w:color w:val="000000"/>
                <w:sz w:val="16"/>
                <w:lang w:val="en-US" w:eastAsia="zh-CN" w:bidi="ar-SA"/>
                <w:kern w:val="2"/>
                <w:szCs w:val="24"/>
                <w:rFonts w:ascii="宋体" w:hAnsi="宋体" w:eastAsia="宋体"/>
              </w:rPr>
            </w:pPr>
            <w:r>
              <w:rPr>
                <w:b w:val="1"/>
                <w:i w:val="0"/>
                <w:color w:val="000000"/>
                <w:sz w:val="16"/>
                <w:lang w:val="en-US" w:eastAsia="zh-CN" w:bidi="ar-SA"/>
                <w:kern w:val="2"/>
                <w:szCs w:val="24"/>
                <w:rFonts w:ascii="宋体" w:hAnsi="宋体" w:eastAsia="宋体"/>
              </w:rPr>
              <w:t xml:space="preserve">本年收入合计</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27</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1,428.03</w:t>
            </w: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center"/>
              <w:divId w:val="0"/>
              <w:rPr>
                <w:b w:val="1"/>
                <w:i w:val="0"/>
                <w:color w:val="000000"/>
                <w:sz w:val="16"/>
                <w:lang w:val="en-US" w:eastAsia="zh-CN" w:bidi="ar-SA"/>
                <w:kern w:val="2"/>
                <w:szCs w:val="24"/>
                <w:rFonts w:ascii="宋体" w:hAnsi="宋体" w:eastAsia="宋体"/>
              </w:rPr>
            </w:pPr>
            <w:r>
              <w:rPr>
                <w:b w:val="1"/>
                <w:i w:val="0"/>
                <w:color w:val="000000"/>
                <w:sz w:val="16"/>
                <w:lang w:val="en-US" w:eastAsia="zh-CN" w:bidi="ar-SA"/>
                <w:kern w:val="2"/>
                <w:szCs w:val="24"/>
                <w:rFonts w:ascii="宋体" w:hAnsi="宋体" w:eastAsia="宋体"/>
              </w:rPr>
              <w:t xml:space="preserve">本年支出合计</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59</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1,428.03</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1,428.03</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  年初财政拨款结转和结余</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28</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   年末财政拨款结转和结余</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60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     一般公共预算财政拨款</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29</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61</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     政府性基金预算财政拨款</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30</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62</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     国有资本经营预算财政拨款</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31</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63</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2660" w:type="dxa"/>
            <w:vAlign w:val="center"/>
            <w:textDirection w:val="lrTb"/>
          </w:tcPr>
          <w:p>
            <w:pPr>
              <w:pStyle w:val="Normal"/>
              <w:widowControl w:val="0"/>
              <w:snapToGrid w:val="0"/>
              <w:jc w:val="center"/>
              <w:divId w:val="0"/>
              <w:rPr>
                <w:b w:val="1"/>
                <w:i w:val="0"/>
                <w:color w:val="000000"/>
                <w:sz w:val="16"/>
                <w:lang w:val="en-US" w:eastAsia="zh-CN" w:bidi="ar-SA"/>
                <w:kern w:val="2"/>
                <w:szCs w:val="24"/>
                <w:rFonts w:ascii="宋体" w:hAnsi="宋体" w:eastAsia="宋体"/>
              </w:rPr>
            </w:pPr>
            <w:r>
              <w:rPr>
                <w:b w:val="1"/>
                <w:i w:val="0"/>
                <w:color w:val="000000"/>
                <w:sz w:val="16"/>
                <w:lang w:val="en-US" w:eastAsia="zh-CN" w:bidi="ar-SA"/>
                <w:kern w:val="2"/>
                <w:szCs w:val="24"/>
                <w:rFonts w:ascii="宋体" w:hAnsi="宋体" w:eastAsia="宋体"/>
              </w:rPr>
              <w:t xml:space="preserve">总计</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32</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1,428.03</w:t>
            </w:r>
            <w:r>
              <w:rPr>
                <w:sz w:val="32"/>
                <w:lang w:val="en-US" w:eastAsia="zh-CN" w:bidi="ar-SA"/>
                <w:kern w:val="2"/>
                <w:szCs w:val="24"/>
                <w:rFonts w:ascii="Calibri" w:hAnsi="Calibri" w:eastAsia="仿宋_GB2312"/>
              </w:rPr>
            </w:r>
          </w:p>
        </w:tc>
        <w:tc>
          <w:tcPr>
            <w:tcW w:w="2800" w:type="dxa"/>
            <w:vAlign w:val="center"/>
            <w:textDirection w:val="lrTb"/>
          </w:tcPr>
          <w:p>
            <w:pPr>
              <w:pStyle w:val="Normal"/>
              <w:widowControl w:val="0"/>
              <w:snapToGrid w:val="0"/>
              <w:jc w:val="center"/>
              <w:divId w:val="0"/>
              <w:rPr>
                <w:b w:val="1"/>
                <w:i w:val="0"/>
                <w:color w:val="000000"/>
                <w:sz w:val="16"/>
                <w:lang w:val="en-US" w:eastAsia="zh-CN" w:bidi="ar-SA"/>
                <w:kern w:val="2"/>
                <w:szCs w:val="24"/>
                <w:rFonts w:ascii="宋体" w:hAnsi="宋体" w:eastAsia="宋体"/>
              </w:rPr>
            </w:pPr>
            <w:r>
              <w:rPr>
                <w:b w:val="1"/>
                <w:i w:val="0"/>
                <w:color w:val="000000"/>
                <w:sz w:val="16"/>
                <w:lang w:val="en-US" w:eastAsia="zh-CN" w:bidi="ar-SA"/>
                <w:kern w:val="2"/>
                <w:szCs w:val="24"/>
                <w:rFonts w:ascii="宋体" w:hAnsi="宋体" w:eastAsia="宋体"/>
              </w:rPr>
              <w:t xml:space="preserve">总计</w:t>
            </w:r>
            <w:r>
              <w:rPr>
                <w:sz w:val="32"/>
                <w:lang w:val="en-US" w:eastAsia="zh-CN" w:bidi="ar-SA"/>
                <w:kern w:val="2"/>
                <w:szCs w:val="24"/>
                <w:rFonts w:ascii="Calibri" w:hAnsi="Calibri" w:eastAsia="仿宋_GB2312"/>
              </w:rPr>
            </w:r>
          </w:p>
        </w:tc>
        <w:tc>
          <w:tcPr>
            <w:tcW w:w="440" w:type="dxa"/>
            <w:vAlign w:val="center"/>
            <w:textDirection w:val="lrTb"/>
          </w:tcPr>
          <w:p>
            <w:pPr>
              <w:pStyle w:val="Normal"/>
              <w:widowControl w:val="0"/>
              <w:snapToGrid w:val="0"/>
              <w:jc w:val="center"/>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64</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1,428.03</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1,428.03</w:t>
            </w:r>
            <w:r>
              <w:rPr>
                <w:sz w:val="32"/>
                <w:lang w:val="en-US" w:eastAsia="zh-CN" w:bidi="ar-SA"/>
                <w:kern w:val="2"/>
                <w:szCs w:val="24"/>
                <w:rFonts w:ascii="Calibri" w:hAnsi="Calibri" w:eastAsia="仿宋_GB2312"/>
              </w:rPr>
            </w:r>
          </w:p>
        </w:tc>
        <w:tc>
          <w:tcPr>
            <w:tcW w:w="1280"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snapToGrid w:val="0"/>
              <w:jc w:val="end"/>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3" w:hRule="exact"/>
        </w:trPr>
        <w:tc>
          <w:tcPr>
            <w:tcW w:w="11460" w:type="dxa"/>
            <w:gridSpan w:val="8"/>
            <w:vAlign w:val="center"/>
            <w:textDirection w:val="lrTb"/>
          </w:tcPr>
          <w:p>
            <w:pPr>
              <w:pStyle w:val="Normal"/>
              <w:widowControl w:val="0"/>
              <w:snapToGrid w:val="0"/>
              <w:jc w:val="start"/>
              <w:divId w:val="0"/>
              <w:rPr>
                <w:b w:val="0"/>
                <w:i w:val="0"/>
                <w:color w:val="000000"/>
                <w:sz w:val="16"/>
                <w:lang w:val="en-US" w:eastAsia="zh-CN" w:bidi="ar-SA"/>
                <w:kern w:val="2"/>
                <w:szCs w:val="24"/>
                <w:rFonts w:ascii="宋体" w:hAnsi="宋体" w:eastAsia="宋体"/>
              </w:rPr>
            </w:pPr>
            <w:r>
              <w:rPr>
                <w:b w:val="0"/>
                <w:i w:val="0"/>
                <w:color w:val="000000"/>
                <w:sz w:val="16"/>
                <w:lang w:val="en-US" w:eastAsia="zh-CN" w:bidi="ar-SA"/>
                <w:kern w:val="2"/>
                <w:szCs w:val="24"/>
                <w:rFonts w:ascii="宋体" w:hAnsi="宋体" w:eastAsia="宋体"/>
              </w:rPr>
              <w:t xml:space="preserve">注：本表反映部门本年度一般公共预算财政拨款、政府性基金预算财政拨款和国有资本经营预算财政拨款的总收支和年末结转结余情况。</w:t>
            </w:r>
            <w:r>
              <w:rPr>
                <w:sz w:val="32"/>
                <w:lang w:val="en-US" w:eastAsia="zh-CN" w:bidi="ar-SA"/>
                <w:kern w:val="2"/>
                <w:szCs w:val="24"/>
                <w:rFonts w:ascii="Calibri" w:hAnsi="Calibri" w:eastAsia="仿宋_GB2312"/>
              </w:rPr>
            </w:r>
          </w:p>
        </w:tc>
        <w:tc>
          <w:tcPr>
            <w:tcW w:w="1364"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bl>
    <w:p>
      <w:pPr>
        <w:pStyle w:val="Normal"/>
        <w:sectPr>
          <w:type w:val="nextPage"/>
          <w:docGrid w:type="lines" w:linePitch="312" w:charSpace="0"/>
          <w:pgSz w:w="16838" w:h="11906" w:orient="landscape"/>
          <w:pgMar w:top="669" w:right="2007" w:bottom="669" w:left="2007" w:header="720" w:footer="720" w:gutter="0"/>
          <w:pgNumType w:fmt="57"/>
          <w:cols w:num="1" w:equalWidth="0" w:space="720">
            <w:col w:space="-12288" w:w="12824"/>
          </w:cols>
          <w:pgNumType w:fmt="57"/>
        </w:sectPr>
      </w:pPr>
    </w:p>
    <w:p>
      <w:pPr>
        <w:pStyle w:val="Normal"/>
        <w:keepNext w:val="0"/>
        <w:keepLines w:val="0"/>
        <w:pageBreakBefore w:val="0"/>
        <w:wordWrap w:val="0"/>
        <w:overflowPunct w:val="1"/>
        <w:topLinePunct w:val="0"/>
        <w:kinsoku w:val="1"/>
        <w:autoSpaceDE w:val="1"/>
        <w:autoSpaceDN w:val="1"/>
        <w:bidi w:val="0"/>
        <w:jc w:val="center"/>
        <w:rPr>
          <w:sz w:val="32"/>
          <w:lang w:val="en-US" w:eastAsia="zh-CN"/>
          <w:bCs/>
          <w:szCs w:val="32"/>
          <w:rFonts w:ascii="黑体" w:hAnsi="黑体" w:eastAsia="黑体" w:hint="eastAsia"/>
        </w:rPr>
      </w:pPr>
      <w:r>
        <w:rPr>
          <w:sz w:val="32"/>
          <w:lang w:val="en-US" w:eastAsia="zh-CN"/>
          <w:bCs/>
          <w:szCs w:val="32"/>
          <w:rFonts w:ascii="黑体" w:hAnsi="黑体" w:eastAsia="黑体" w:hint="eastAsia"/>
        </w:rPr>
        <w:t xml:space="preserve">一般公共预算财政拨款支出决算表</w:t>
      </w:r>
      <w:r>
        <w:rPr>
          <w:color w:val="000000"/>
          <w:sz w:val="32"/>
          <w:lang w:val="en-US" w:eastAsia="zh-CN"/>
          <w:kern w:val="0"/>
          <w:szCs w:val="32"/>
          <w:rFonts w:ascii="华文中宋" w:hAnsi="华文中宋" w:eastAsia="华文中宋" w:hint="eastAsia"/>
        </w:rPr>
      </w:r>
    </w:p>
    <w:tbl>
      <w:tblPr>
        <w:tblW w:w="0" w:type="auto"/>
        <w:jc w:val="center"/>
        <w:tblInd w:type="dxa" w:w="0.000000"/>
        <w:tblLayout w:type="fixed"/>
        <w:tblLook w:noVBand="0" w:noHBand="0" w:lastColumn="0" w:firstColumn="0" w:lastRow="0" w:firstRow="0" w:val="04a0"/>
        <w:tblBorders>
          <w:top w:val="nil"/>
          <w:left w:val="nil"/>
          <w:bottom w:val="nil"/>
          <w:right w:val="nil"/>
          <w:insideH w:val="nil"/>
          <w:insideV w:val="nil"/>
        </w:tblBorders>
        <w:tblCellMar>
          <w:top w:type="dxa" w:w="0.000000"/>
          <w:bottom w:type="dxa" w:w="0.000000"/>
          <w:left w:type="dxa" w:w="80.000000"/>
          <w:right w:type="dxa" w:w="80.000000"/>
        </w:tblCellMar>
      </w:tblPr>
      <w:tblGrid>
        <w:gridCol w:w="3513.000000"/>
        <w:gridCol w:w="2000.000000"/>
        <w:gridCol w:w="3513.000000"/>
      </w:tblGrid>
      <w:tr>
        <w:tblPrEx>
          <w:tblBorders>
            <w:top w:val="nil"/>
            <w:left w:val="nil"/>
            <w:bottom w:val="nil"/>
            <w:right w:val="nil"/>
            <w:insideH w:val="nil"/>
            <w:insideV w:val="nil"/>
          </w:tblBorders>
        </w:tblPrEx>
        <w:trPr>
          <w:trHeight w:val="0" w:hRule="auto"/>
        </w:trPr>
        <w:tc>
          <w:tcPr>
            <w:tcW w:w="9026" w:type="dxa"/>
            <w:gridSpan w:val="3"/>
            <w:vAlign w:val="center"/>
            <w:textDirection w:val="lrTb"/>
          </w:tcPr>
          <w:p>
            <w:pPr>
              <w:pStyle w:val="Normal"/>
              <w:widowControl w:val="0"/>
              <w:jc w:val="end"/>
              <w:divId w:val="0"/>
              <w:rPr>
                <w:sz w:val="13"/>
                <w:lang w:val="en-US" w:eastAsia="zh-CN" w:bidi="ar-SA"/>
                <w:kern w:val="2"/>
                <w:szCs w:val="24"/>
                <w:rFonts w:ascii="宋体" w:hAnsi="宋体" w:eastAsia="宋体"/>
              </w:rPr>
            </w:pPr>
            <w:r>
              <w:rPr>
                <w:sz w:val="13"/>
                <w:lang w:val="en-US" w:eastAsia="zh-CN" w:bidi="ar-SA"/>
                <w:kern w:val="2"/>
                <w:szCs w:val="24"/>
                <w:rFonts w:ascii="宋体" w:hAnsi="宋体" w:eastAsia="宋体"/>
              </w:rPr>
              <w:t xml:space="preserve">公开05表</w:t>
            </w:r>
            <w:r>
              <w:rPr>
                <w:sz w:val="32"/>
                <w:lang w:val="en-US" w:eastAsia="zh-CN" w:bidi="ar-SA"/>
                <w:kern w:val="2"/>
                <w:szCs w:val="24"/>
                <w:rFonts w:ascii="Calibri" w:hAnsi="Calibri" w:eastAsia="仿宋_GB2312"/>
              </w:rPr>
            </w:r>
          </w:p>
        </w:tc>
      </w:tr>
      <w:tr>
        <w:tblPrEx>
          <w:tblBorders>
            <w:top w:val="nil"/>
            <w:left w:val="nil"/>
            <w:bottom w:val="nil"/>
            <w:right w:val="nil"/>
            <w:insideH w:val="nil"/>
            <w:insideV w:val="nil"/>
          </w:tblBorders>
        </w:tblPrEx>
        <w:trPr>
          <w:trHeight w:val="0" w:hRule="auto"/>
        </w:trPr>
        <w:tc>
          <w:tcPr>
            <w:tcW w:w="3513" w:type="dxa"/>
            <w:vAlign w:val="center"/>
            <w:textDirection w:val="lrTb"/>
          </w:tcPr>
          <w:p>
            <w:pPr>
              <w:pStyle w:val="Normal"/>
              <w:widowControl w:val="0"/>
              <w:jc w:val="start"/>
              <w:divId w:val="0"/>
              <w:rPr>
                <w:sz w:val="13"/>
                <w:lang w:val="en-US" w:eastAsia="zh-CN" w:bidi="ar-SA"/>
                <w:kern w:val="2"/>
                <w:szCs w:val="24"/>
                <w:rFonts w:ascii="宋体" w:hAnsi="宋体" w:eastAsia="宋体"/>
              </w:rPr>
            </w:pPr>
            <w:r>
              <w:rPr>
                <w:sz w:val="13"/>
                <w:lang w:val="en-US" w:eastAsia="zh-CN" w:bidi="ar-SA"/>
                <w:kern w:val="2"/>
                <w:szCs w:val="24"/>
                <w:rFonts w:ascii="宋体" w:hAnsi="宋体" w:eastAsia="宋体"/>
              </w:rPr>
              <w:t xml:space="preserve">单位：许昌市河湖事务中心</w:t>
            </w:r>
            <w:r>
              <w:rPr>
                <w:sz w:val="32"/>
                <w:lang w:val="en-US" w:eastAsia="zh-CN" w:bidi="ar-SA"/>
                <w:kern w:val="2"/>
                <w:szCs w:val="24"/>
                <w:rFonts w:ascii="Calibri" w:hAnsi="Calibri" w:eastAsia="仿宋_GB2312"/>
              </w:rPr>
            </w:r>
          </w:p>
        </w:tc>
        <w:tc>
          <w:tcPr>
            <w:tcW w:w="2000" w:type="dxa"/>
            <w:vAlign w:val="center"/>
            <w:textDirection w:val="lrTb"/>
          </w:tcPr>
          <w:p>
            <w:pPr>
              <w:pStyle w:val="Normal"/>
              <w:widowControl w:val="0"/>
              <w:jc w:val="center"/>
              <w:divId w:val="0"/>
              <w:rPr>
                <w:sz w:val="13"/>
                <w:lang w:val="en-US" w:eastAsia="zh-CN" w:bidi="ar-SA"/>
                <w:kern w:val="2"/>
                <w:szCs w:val="24"/>
                <w:rFonts w:ascii="宋体" w:hAnsi="宋体" w:eastAsia="宋体"/>
              </w:rPr>
            </w:pPr>
            <w:r>
              <w:rPr>
                <w:sz w:val="13"/>
                <w:lang w:val="en-US" w:eastAsia="zh-CN" w:bidi="ar-SA"/>
                <w:kern w:val="2"/>
                <w:szCs w:val="24"/>
                <w:rFonts w:ascii="宋体" w:hAnsi="宋体" w:eastAsia="宋体"/>
              </w:rPr>
              <w:t xml:space="preserve">2025年度</w:t>
            </w:r>
            <w:r>
              <w:rPr>
                <w:sz w:val="32"/>
                <w:lang w:val="en-US" w:eastAsia="zh-CN" w:bidi="ar-SA"/>
                <w:kern w:val="2"/>
                <w:szCs w:val="24"/>
                <w:rFonts w:ascii="Calibri" w:hAnsi="Calibri" w:eastAsia="仿宋_GB2312"/>
              </w:rPr>
            </w:r>
          </w:p>
        </w:tc>
        <w:tc>
          <w:tcPr>
            <w:tcW w:w="3513" w:type="dxa"/>
            <w:vAlign w:val="center"/>
            <w:textDirection w:val="lrTb"/>
          </w:tcPr>
          <w:p>
            <w:pPr>
              <w:pStyle w:val="Normal"/>
              <w:widowControl w:val="0"/>
              <w:jc w:val="end"/>
              <w:divId w:val="0"/>
              <w:rPr>
                <w:sz w:val="13"/>
                <w:lang w:val="en-US" w:eastAsia="zh-CN" w:bidi="ar-SA"/>
                <w:kern w:val="2"/>
                <w:szCs w:val="24"/>
                <w:rFonts w:ascii="宋体" w:hAnsi="宋体" w:eastAsia="宋体"/>
              </w:rPr>
            </w:pPr>
            <w:r>
              <w:rPr>
                <w:sz w:val="13"/>
                <w:lang w:val="en-US" w:eastAsia="zh-CN" w:bidi="ar-SA"/>
                <w:kern w:val="2"/>
                <w:szCs w:val="24"/>
                <w:rFonts w:ascii="宋体" w:hAnsi="宋体" w:eastAsia="宋体"/>
              </w:rPr>
              <w:t xml:space="preserve">单位：万元</w:t>
            </w:r>
            <w:r>
              <w:rPr>
                <w:sz w:val="32"/>
                <w:lang w:val="en-US" w:eastAsia="zh-CN" w:bidi="ar-SA"/>
                <w:kern w:val="2"/>
                <w:szCs w:val="24"/>
                <w:rFonts w:ascii="Calibri" w:hAnsi="Calibri" w:eastAsia="仿宋_GB2312"/>
              </w:rPr>
            </w:r>
          </w:p>
        </w:tc>
      </w:tr>
    </w:tbl>
    <w:p>
      <w:pPr>
        <w:pStyle w:val="Normal"/>
        <w:snapToGrid w:val="0"/>
        <w:spacing w:after="0" w:before="0" w:line="0" w:lineRule="auto"/>
        <w:rPr>
          <w:sz w:val="8"/>
        </w:rPr>
      </w:pPr>
      <w:r>
        <w:rPr>
          <w:sz w:val="8"/>
        </w:rPr>
        <w:t xml:space="preserve"> </w:t>
      </w:r>
      <w:r/>
    </w:p>
    <w:tbl>
      <w:tblPr>
        <w:tblW w:w="0" w:type="auto"/>
        <w:jc w:val="center"/>
        <w:tblInd w:type="dxa" w:w="0.000000"/>
        <w:tblLayout w:type="fixed"/>
        <w:tblLook w:noVBand="0" w:noHBand="0" w:lastColumn="0" w:firstColumn="0" w:lastRow="0" w:firstRow="0" w:val="04a0"/>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type="dxa" w:w="0.000000"/>
          <w:bottom w:type="dxa" w:w="0.000000"/>
          <w:left w:type="dxa" w:w="80.000000"/>
          <w:right w:type="dxa" w:w="80.000000"/>
        </w:tblCellMar>
      </w:tblPr>
      <w:tblGrid>
        <w:gridCol w:w="1800.000000"/>
        <w:gridCol w:w="3040.000000"/>
        <w:gridCol w:w="1400.000000"/>
        <w:gridCol w:w="1400.000000"/>
        <w:gridCol w:w="1386.000000"/>
      </w:tblGrid>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8" w:hRule="exact"/>
        </w:trPr>
        <w:tc>
          <w:tcPr>
            <w:tcW w:w="4840" w:type="dxa"/>
            <w:gridSpan w:val="2"/>
            <w:vAlign w:val="center"/>
            <w:textDirection w:val="lrTb"/>
          </w:tcPr>
          <w:p>
            <w:pPr>
              <w:pStyle w:val="Normal"/>
              <w:widowControl w:val="0"/>
              <w:snapToGrid w:val="0"/>
              <w:jc w:val="center"/>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项目</w:t>
            </w:r>
            <w:r>
              <w:rPr>
                <w:sz w:val="32"/>
                <w:lang w:val="en-US" w:eastAsia="zh-CN" w:bidi="ar-SA"/>
                <w:kern w:val="2"/>
                <w:szCs w:val="24"/>
                <w:rFonts w:ascii="Calibri" w:hAnsi="Calibri" w:eastAsia="仿宋_GB2312"/>
              </w:rPr>
            </w:r>
          </w:p>
        </w:tc>
        <w:tc>
          <w:tcPr>
            <w:tcW w:w="4186" w:type="dxa"/>
            <w:gridSpan w:val="3"/>
            <w:vAlign w:val="center"/>
            <w:textDirection w:val="lrTb"/>
          </w:tcPr>
          <w:p>
            <w:pPr>
              <w:pStyle w:val="Normal"/>
              <w:widowControl w:val="0"/>
              <w:snapToGrid w:val="0"/>
              <w:jc w:val="center"/>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本年支出</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348" w:hRule="exact"/>
        </w:trPr>
        <w:tc>
          <w:tcPr>
            <w:tcW w:w="1800" w:type="dxa"/>
            <w:vMerge w:val="restart"/>
            <w:vAlign w:val="center"/>
            <w:textDirection w:val="lrTb"/>
          </w:tcPr>
          <w:p>
            <w:pPr>
              <w:pStyle w:val="Normal"/>
              <w:widowControl w:val="0"/>
              <w:snapToGrid w:val="0"/>
              <w:jc w:val="center"/>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科目代码</w:t>
            </w:r>
            <w:r>
              <w:rPr>
                <w:sz w:val="32"/>
                <w:lang w:val="en-US" w:eastAsia="zh-CN" w:bidi="ar-SA"/>
                <w:kern w:val="2"/>
                <w:szCs w:val="24"/>
                <w:rFonts w:ascii="Calibri" w:hAnsi="Calibri" w:eastAsia="仿宋_GB2312"/>
              </w:rPr>
            </w:r>
          </w:p>
        </w:tc>
        <w:tc>
          <w:tcPr>
            <w:tcW w:w="3040" w:type="dxa"/>
            <w:vMerge w:val="restart"/>
            <w:vAlign w:val="center"/>
            <w:textDirection w:val="lrTb"/>
          </w:tcPr>
          <w:p>
            <w:pPr>
              <w:pStyle w:val="Normal"/>
              <w:widowControl w:val="0"/>
              <w:snapToGrid w:val="0"/>
              <w:jc w:val="center"/>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科目名称</w:t>
            </w:r>
            <w:r>
              <w:rPr>
                <w:sz w:val="32"/>
                <w:lang w:val="en-US" w:eastAsia="zh-CN" w:bidi="ar-SA"/>
                <w:kern w:val="2"/>
                <w:szCs w:val="24"/>
                <w:rFonts w:ascii="Calibri" w:hAnsi="Calibri" w:eastAsia="仿宋_GB2312"/>
              </w:rPr>
            </w:r>
          </w:p>
        </w:tc>
        <w:tc>
          <w:tcPr>
            <w:tcW w:w="1400" w:type="dxa"/>
            <w:vMerge w:val="restart"/>
            <w:vAlign w:val="center"/>
            <w:textDirection w:val="lrTb"/>
          </w:tcPr>
          <w:p>
            <w:pPr>
              <w:pStyle w:val="Normal"/>
              <w:widowControl w:val="0"/>
              <w:snapToGrid w:val="0"/>
              <w:jc w:val="center"/>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小计</w:t>
            </w:r>
            <w:r>
              <w:rPr>
                <w:sz w:val="32"/>
                <w:lang w:val="en-US" w:eastAsia="zh-CN" w:bidi="ar-SA"/>
                <w:kern w:val="2"/>
                <w:szCs w:val="24"/>
                <w:rFonts w:ascii="Calibri" w:hAnsi="Calibri" w:eastAsia="仿宋_GB2312"/>
              </w:rPr>
            </w:r>
          </w:p>
        </w:tc>
        <w:tc>
          <w:tcPr>
            <w:tcW w:w="1400" w:type="dxa"/>
            <w:vMerge w:val="restart"/>
            <w:vAlign w:val="center"/>
            <w:textDirection w:val="lrTb"/>
          </w:tcPr>
          <w:p>
            <w:pPr>
              <w:pStyle w:val="Normal"/>
              <w:widowControl w:val="0"/>
              <w:snapToGrid w:val="0"/>
              <w:jc w:val="center"/>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基本支出</w:t>
            </w:r>
            <w:r>
              <w:rPr>
                <w:sz w:val="32"/>
                <w:lang w:val="en-US" w:eastAsia="zh-CN" w:bidi="ar-SA"/>
                <w:kern w:val="2"/>
                <w:szCs w:val="24"/>
                <w:rFonts w:ascii="Calibri" w:hAnsi="Calibri" w:eastAsia="仿宋_GB2312"/>
              </w:rPr>
            </w:r>
          </w:p>
        </w:tc>
        <w:tc>
          <w:tcPr>
            <w:tcW w:w="1386" w:type="dxa"/>
            <w:vMerge w:val="restart"/>
            <w:vAlign w:val="center"/>
            <w:textDirection w:val="lrTb"/>
          </w:tcPr>
          <w:p>
            <w:pPr>
              <w:pStyle w:val="Normal"/>
              <w:widowControl w:val="0"/>
              <w:snapToGrid w:val="0"/>
              <w:jc w:val="center"/>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项目支出</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313" w:hRule="exact"/>
        </w:trPr>
        <w:tc>
          <w:tcPr>
            <w:tcW w:w="180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04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40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40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386"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348" w:hRule="exact"/>
        </w:trPr>
        <w:tc>
          <w:tcPr>
            <w:tcW w:w="180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04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40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40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386"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8" w:hRule="exact"/>
        </w:trPr>
        <w:tc>
          <w:tcPr>
            <w:tcW w:w="4840" w:type="dxa"/>
            <w:gridSpan w:val="2"/>
            <w:vAlign w:val="center"/>
            <w:textDirection w:val="lrTb"/>
          </w:tcPr>
          <w:p>
            <w:pPr>
              <w:pStyle w:val="Normal"/>
              <w:widowControl w:val="0"/>
              <w:snapToGrid w:val="0"/>
              <w:jc w:val="center"/>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栏次</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center"/>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1</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center"/>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center"/>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3</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8" w:hRule="exact"/>
        </w:trPr>
        <w:tc>
          <w:tcPr>
            <w:tcW w:w="4840" w:type="dxa"/>
            <w:gridSpan w:val="2"/>
            <w:vAlign w:val="center"/>
            <w:textDirection w:val="lrTb"/>
          </w:tcPr>
          <w:p>
            <w:pPr>
              <w:pStyle w:val="Normal"/>
              <w:widowControl w:val="0"/>
              <w:snapToGrid w:val="0"/>
              <w:jc w:val="center"/>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合计</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1"/>
                <w:i w:val="0"/>
                <w:color w:val="262626"/>
                <w:sz w:val="16"/>
                <w:lang w:val="en-US" w:eastAsia="zh-CN" w:bidi="ar-SA"/>
                <w:kern w:val="2"/>
                <w:szCs w:val="24"/>
                <w:rFonts w:ascii="宋体" w:hAnsi="宋体" w:eastAsia="宋体"/>
              </w:rPr>
            </w:pPr>
            <w:r>
              <w:rPr>
                <w:b w:val="1"/>
                <w:i w:val="0"/>
                <w:color w:val="262626"/>
                <w:sz w:val="16"/>
                <w:lang w:val="en-US" w:eastAsia="zh-CN" w:bidi="ar-SA"/>
                <w:kern w:val="2"/>
                <w:szCs w:val="24"/>
                <w:rFonts w:ascii="宋体" w:hAnsi="宋体" w:eastAsia="宋体"/>
              </w:rPr>
              <w:t xml:space="preserve">1,428.03</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1"/>
                <w:i w:val="0"/>
                <w:color w:val="262626"/>
                <w:sz w:val="16"/>
                <w:lang w:val="en-US" w:eastAsia="zh-CN" w:bidi="ar-SA"/>
                <w:kern w:val="2"/>
                <w:szCs w:val="24"/>
                <w:rFonts w:ascii="宋体" w:hAnsi="宋体" w:eastAsia="宋体"/>
              </w:rPr>
            </w:pPr>
            <w:r>
              <w:rPr>
                <w:b w:val="1"/>
                <w:i w:val="0"/>
                <w:color w:val="262626"/>
                <w:sz w:val="16"/>
                <w:lang w:val="en-US" w:eastAsia="zh-CN" w:bidi="ar-SA"/>
                <w:kern w:val="2"/>
                <w:szCs w:val="24"/>
                <w:rFonts w:ascii="宋体" w:hAnsi="宋体" w:eastAsia="宋体"/>
              </w:rPr>
              <w:t xml:space="preserve">1,271.81</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end"/>
              <w:divId w:val="0"/>
              <w:rPr>
                <w:b w:val="1"/>
                <w:i w:val="0"/>
                <w:color w:val="262626"/>
                <w:sz w:val="16"/>
                <w:lang w:val="en-US" w:eastAsia="zh-CN" w:bidi="ar-SA"/>
                <w:kern w:val="2"/>
                <w:szCs w:val="24"/>
                <w:rFonts w:ascii="宋体" w:hAnsi="宋体" w:eastAsia="宋体"/>
              </w:rPr>
            </w:pPr>
            <w:r>
              <w:rPr>
                <w:b w:val="1"/>
                <w:i w:val="0"/>
                <w:color w:val="262626"/>
                <w:sz w:val="16"/>
                <w:lang w:val="en-US" w:eastAsia="zh-CN" w:bidi="ar-SA"/>
                <w:kern w:val="2"/>
                <w:szCs w:val="24"/>
                <w:rFonts w:ascii="宋体" w:hAnsi="宋体" w:eastAsia="宋体"/>
              </w:rPr>
              <w:t xml:space="preserve">156.22</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522" w:hRule="exact"/>
        </w:trPr>
        <w:tc>
          <w:tcPr>
            <w:tcW w:w="180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208</w:t>
            </w:r>
            <w:r>
              <w:rPr>
                <w:sz w:val="32"/>
                <w:lang w:val="en-US" w:eastAsia="zh-CN" w:bidi="ar-SA"/>
                <w:kern w:val="2"/>
                <w:szCs w:val="24"/>
                <w:rFonts w:ascii="Calibri" w:hAnsi="Calibri" w:eastAsia="仿宋_GB2312"/>
              </w:rPr>
            </w:r>
          </w:p>
        </w:tc>
        <w:tc>
          <w:tcPr>
            <w:tcW w:w="304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社会保障和就业支出</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179.77</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179.77</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522" w:hRule="exact"/>
        </w:trPr>
        <w:tc>
          <w:tcPr>
            <w:tcW w:w="180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20805</w:t>
            </w:r>
            <w:r>
              <w:rPr>
                <w:sz w:val="32"/>
                <w:lang w:val="en-US" w:eastAsia="zh-CN" w:bidi="ar-SA"/>
                <w:kern w:val="2"/>
                <w:szCs w:val="24"/>
                <w:rFonts w:ascii="Calibri" w:hAnsi="Calibri" w:eastAsia="仿宋_GB2312"/>
              </w:rPr>
            </w:r>
          </w:p>
        </w:tc>
        <w:tc>
          <w:tcPr>
            <w:tcW w:w="304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行政事业单位养老支出</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173.33</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173.33</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522" w:hRule="exact"/>
        </w:trPr>
        <w:tc>
          <w:tcPr>
            <w:tcW w:w="180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2080502</w:t>
            </w:r>
            <w:r>
              <w:rPr>
                <w:sz w:val="32"/>
                <w:lang w:val="en-US" w:eastAsia="zh-CN" w:bidi="ar-SA"/>
                <w:kern w:val="2"/>
                <w:szCs w:val="24"/>
                <w:rFonts w:ascii="Calibri" w:hAnsi="Calibri" w:eastAsia="仿宋_GB2312"/>
              </w:rPr>
            </w:r>
          </w:p>
        </w:tc>
        <w:tc>
          <w:tcPr>
            <w:tcW w:w="304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事业单位离退休</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110.50</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110.50</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522" w:hRule="exact"/>
        </w:trPr>
        <w:tc>
          <w:tcPr>
            <w:tcW w:w="180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2080505</w:t>
            </w:r>
            <w:r>
              <w:rPr>
                <w:sz w:val="32"/>
                <w:lang w:val="en-US" w:eastAsia="zh-CN" w:bidi="ar-SA"/>
                <w:kern w:val="2"/>
                <w:szCs w:val="24"/>
                <w:rFonts w:ascii="Calibri" w:hAnsi="Calibri" w:eastAsia="仿宋_GB2312"/>
              </w:rPr>
            </w:r>
          </w:p>
        </w:tc>
        <w:tc>
          <w:tcPr>
            <w:tcW w:w="304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机关事业单位基本养老保险缴费支出</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62.83</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62.83</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522" w:hRule="exact"/>
        </w:trPr>
        <w:tc>
          <w:tcPr>
            <w:tcW w:w="180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20808</w:t>
            </w:r>
            <w:r>
              <w:rPr>
                <w:sz w:val="32"/>
                <w:lang w:val="en-US" w:eastAsia="zh-CN" w:bidi="ar-SA"/>
                <w:kern w:val="2"/>
                <w:szCs w:val="24"/>
                <w:rFonts w:ascii="Calibri" w:hAnsi="Calibri" w:eastAsia="仿宋_GB2312"/>
              </w:rPr>
            </w:r>
          </w:p>
        </w:tc>
        <w:tc>
          <w:tcPr>
            <w:tcW w:w="304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抚恤</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6.44</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6.44</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522" w:hRule="exact"/>
        </w:trPr>
        <w:tc>
          <w:tcPr>
            <w:tcW w:w="180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2080801</w:t>
            </w:r>
            <w:r>
              <w:rPr>
                <w:sz w:val="32"/>
                <w:lang w:val="en-US" w:eastAsia="zh-CN" w:bidi="ar-SA"/>
                <w:kern w:val="2"/>
                <w:szCs w:val="24"/>
                <w:rFonts w:ascii="Calibri" w:hAnsi="Calibri" w:eastAsia="仿宋_GB2312"/>
              </w:rPr>
            </w:r>
          </w:p>
        </w:tc>
        <w:tc>
          <w:tcPr>
            <w:tcW w:w="304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死亡抚恤</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6.44</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6.44</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522" w:hRule="exact"/>
        </w:trPr>
        <w:tc>
          <w:tcPr>
            <w:tcW w:w="180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210</w:t>
            </w:r>
            <w:r>
              <w:rPr>
                <w:sz w:val="32"/>
                <w:lang w:val="en-US" w:eastAsia="zh-CN" w:bidi="ar-SA"/>
                <w:kern w:val="2"/>
                <w:szCs w:val="24"/>
                <w:rFonts w:ascii="Calibri" w:hAnsi="Calibri" w:eastAsia="仿宋_GB2312"/>
              </w:rPr>
            </w:r>
          </w:p>
        </w:tc>
        <w:tc>
          <w:tcPr>
            <w:tcW w:w="304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卫生健康支出</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522" w:hRule="exact"/>
        </w:trPr>
        <w:tc>
          <w:tcPr>
            <w:tcW w:w="180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21011</w:t>
            </w:r>
            <w:r>
              <w:rPr>
                <w:sz w:val="32"/>
                <w:lang w:val="en-US" w:eastAsia="zh-CN" w:bidi="ar-SA"/>
                <w:kern w:val="2"/>
                <w:szCs w:val="24"/>
                <w:rFonts w:ascii="Calibri" w:hAnsi="Calibri" w:eastAsia="仿宋_GB2312"/>
              </w:rPr>
            </w:r>
          </w:p>
        </w:tc>
        <w:tc>
          <w:tcPr>
            <w:tcW w:w="304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行政事业单位医疗</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522" w:hRule="exact"/>
        </w:trPr>
        <w:tc>
          <w:tcPr>
            <w:tcW w:w="180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2101102</w:t>
            </w:r>
            <w:r>
              <w:rPr>
                <w:sz w:val="32"/>
                <w:lang w:val="en-US" w:eastAsia="zh-CN" w:bidi="ar-SA"/>
                <w:kern w:val="2"/>
                <w:szCs w:val="24"/>
                <w:rFonts w:ascii="Calibri" w:hAnsi="Calibri" w:eastAsia="仿宋_GB2312"/>
              </w:rPr>
            </w:r>
          </w:p>
        </w:tc>
        <w:tc>
          <w:tcPr>
            <w:tcW w:w="304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事业单位医疗</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29.92</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522" w:hRule="exact"/>
        </w:trPr>
        <w:tc>
          <w:tcPr>
            <w:tcW w:w="180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213</w:t>
            </w:r>
            <w:r>
              <w:rPr>
                <w:sz w:val="32"/>
                <w:lang w:val="en-US" w:eastAsia="zh-CN" w:bidi="ar-SA"/>
                <w:kern w:val="2"/>
                <w:szCs w:val="24"/>
                <w:rFonts w:ascii="Calibri" w:hAnsi="Calibri" w:eastAsia="仿宋_GB2312"/>
              </w:rPr>
            </w:r>
          </w:p>
        </w:tc>
        <w:tc>
          <w:tcPr>
            <w:tcW w:w="304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农林水支出</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1,163.19</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1,006.97</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156.22</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522" w:hRule="exact"/>
        </w:trPr>
        <w:tc>
          <w:tcPr>
            <w:tcW w:w="180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21301</w:t>
            </w:r>
            <w:r>
              <w:rPr>
                <w:sz w:val="32"/>
                <w:lang w:val="en-US" w:eastAsia="zh-CN" w:bidi="ar-SA"/>
                <w:kern w:val="2"/>
                <w:szCs w:val="24"/>
                <w:rFonts w:ascii="Calibri" w:hAnsi="Calibri" w:eastAsia="仿宋_GB2312"/>
              </w:rPr>
            </w:r>
          </w:p>
        </w:tc>
        <w:tc>
          <w:tcPr>
            <w:tcW w:w="304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农业农村</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4.30</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4.30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522" w:hRule="exact"/>
        </w:trPr>
        <w:tc>
          <w:tcPr>
            <w:tcW w:w="180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2130199</w:t>
            </w:r>
            <w:r>
              <w:rPr>
                <w:sz w:val="32"/>
                <w:lang w:val="en-US" w:eastAsia="zh-CN" w:bidi="ar-SA"/>
                <w:kern w:val="2"/>
                <w:szCs w:val="24"/>
                <w:rFonts w:ascii="Calibri" w:hAnsi="Calibri" w:eastAsia="仿宋_GB2312"/>
              </w:rPr>
            </w:r>
          </w:p>
        </w:tc>
        <w:tc>
          <w:tcPr>
            <w:tcW w:w="304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其他农业农村支出</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4.30</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4.30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522" w:hRule="exact"/>
        </w:trPr>
        <w:tc>
          <w:tcPr>
            <w:tcW w:w="180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21303</w:t>
            </w:r>
            <w:r>
              <w:rPr>
                <w:sz w:val="32"/>
                <w:lang w:val="en-US" w:eastAsia="zh-CN" w:bidi="ar-SA"/>
                <w:kern w:val="2"/>
                <w:szCs w:val="24"/>
                <w:rFonts w:ascii="Calibri" w:hAnsi="Calibri" w:eastAsia="仿宋_GB2312"/>
              </w:rPr>
            </w:r>
          </w:p>
        </w:tc>
        <w:tc>
          <w:tcPr>
            <w:tcW w:w="304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水利</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1,158.89</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1,006.97</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151.92</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522" w:hRule="exact"/>
        </w:trPr>
        <w:tc>
          <w:tcPr>
            <w:tcW w:w="180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2130304</w:t>
            </w:r>
            <w:r>
              <w:rPr>
                <w:sz w:val="32"/>
                <w:lang w:val="en-US" w:eastAsia="zh-CN" w:bidi="ar-SA"/>
                <w:kern w:val="2"/>
                <w:szCs w:val="24"/>
                <w:rFonts w:ascii="Calibri" w:hAnsi="Calibri" w:eastAsia="仿宋_GB2312"/>
              </w:rPr>
            </w:r>
          </w:p>
        </w:tc>
        <w:tc>
          <w:tcPr>
            <w:tcW w:w="304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水利行业业务管理</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1,114.79</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1,006.97</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107.82</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522" w:hRule="exact"/>
        </w:trPr>
        <w:tc>
          <w:tcPr>
            <w:tcW w:w="180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2130306</w:t>
            </w:r>
            <w:r>
              <w:rPr>
                <w:sz w:val="32"/>
                <w:lang w:val="en-US" w:eastAsia="zh-CN" w:bidi="ar-SA"/>
                <w:kern w:val="2"/>
                <w:szCs w:val="24"/>
                <w:rFonts w:ascii="Calibri" w:hAnsi="Calibri" w:eastAsia="仿宋_GB2312"/>
              </w:rPr>
            </w:r>
          </w:p>
        </w:tc>
        <w:tc>
          <w:tcPr>
            <w:tcW w:w="304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水利工程运行与维护</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39.10</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39.10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522" w:hRule="exact"/>
        </w:trPr>
        <w:tc>
          <w:tcPr>
            <w:tcW w:w="180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2130399</w:t>
            </w:r>
            <w:r>
              <w:rPr>
                <w:sz w:val="32"/>
                <w:lang w:val="en-US" w:eastAsia="zh-CN" w:bidi="ar-SA"/>
                <w:kern w:val="2"/>
                <w:szCs w:val="24"/>
                <w:rFonts w:ascii="Calibri" w:hAnsi="Calibri" w:eastAsia="仿宋_GB2312"/>
              </w:rPr>
            </w:r>
          </w:p>
        </w:tc>
        <w:tc>
          <w:tcPr>
            <w:tcW w:w="304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其他水利支出</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5.00</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5.00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522" w:hRule="exact"/>
        </w:trPr>
        <w:tc>
          <w:tcPr>
            <w:tcW w:w="180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221</w:t>
            </w:r>
            <w:r>
              <w:rPr>
                <w:sz w:val="32"/>
                <w:lang w:val="en-US" w:eastAsia="zh-CN" w:bidi="ar-SA"/>
                <w:kern w:val="2"/>
                <w:szCs w:val="24"/>
                <w:rFonts w:ascii="Calibri" w:hAnsi="Calibri" w:eastAsia="仿宋_GB2312"/>
              </w:rPr>
            </w:r>
          </w:p>
        </w:tc>
        <w:tc>
          <w:tcPr>
            <w:tcW w:w="304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住房保障支出</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522" w:hRule="exact"/>
        </w:trPr>
        <w:tc>
          <w:tcPr>
            <w:tcW w:w="180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22102</w:t>
            </w:r>
            <w:r>
              <w:rPr>
                <w:sz w:val="32"/>
                <w:lang w:val="en-US" w:eastAsia="zh-CN" w:bidi="ar-SA"/>
                <w:kern w:val="2"/>
                <w:szCs w:val="24"/>
                <w:rFonts w:ascii="Calibri" w:hAnsi="Calibri" w:eastAsia="仿宋_GB2312"/>
              </w:rPr>
            </w:r>
          </w:p>
        </w:tc>
        <w:tc>
          <w:tcPr>
            <w:tcW w:w="304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住房改革支出</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522" w:hRule="exact"/>
        </w:trPr>
        <w:tc>
          <w:tcPr>
            <w:tcW w:w="180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2210201</w:t>
            </w:r>
            <w:r>
              <w:rPr>
                <w:sz w:val="32"/>
                <w:lang w:val="en-US" w:eastAsia="zh-CN" w:bidi="ar-SA"/>
                <w:kern w:val="2"/>
                <w:szCs w:val="24"/>
                <w:rFonts w:ascii="Calibri" w:hAnsi="Calibri" w:eastAsia="仿宋_GB2312"/>
              </w:rPr>
            </w:r>
          </w:p>
        </w:tc>
        <w:tc>
          <w:tcPr>
            <w:tcW w:w="3040" w:type="dxa"/>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住房公积金</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c>
          <w:tcPr>
            <w:tcW w:w="1400"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55.15</w:t>
            </w:r>
            <w:r>
              <w:rPr>
                <w:sz w:val="32"/>
                <w:lang w:val="en-US" w:eastAsia="zh-CN" w:bidi="ar-SA"/>
                <w:kern w:val="2"/>
                <w:szCs w:val="24"/>
                <w:rFonts w:ascii="Calibri" w:hAnsi="Calibri" w:eastAsia="仿宋_GB2312"/>
              </w:rPr>
            </w:r>
          </w:p>
        </w:tc>
        <w:tc>
          <w:tcPr>
            <w:tcW w:w="1386" w:type="dxa"/>
            <w:vAlign w:val="center"/>
            <w:textDirection w:val="lrTb"/>
          </w:tcPr>
          <w:p>
            <w:pPr>
              <w:pStyle w:val="Normal"/>
              <w:widowControl w:val="0"/>
              <w:snapToGrid w:val="0"/>
              <w:jc w:val="end"/>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48" w:hRule="exact"/>
        </w:trPr>
        <w:tc>
          <w:tcPr>
            <w:tcW w:w="9026" w:type="dxa"/>
            <w:gridSpan w:val="5"/>
            <w:vAlign w:val="center"/>
            <w:textDirection w:val="lrTb"/>
          </w:tcPr>
          <w:p>
            <w:pPr>
              <w:pStyle w:val="Normal"/>
              <w:widowControl w:val="0"/>
              <w:snapToGrid w:val="0"/>
              <w:jc w:val="start"/>
              <w:divId w:val="0"/>
              <w:rPr>
                <w:b w:val="0"/>
                <w:i w:val="0"/>
                <w:color w:val="262626"/>
                <w:sz w:val="16"/>
                <w:lang w:val="en-US" w:eastAsia="zh-CN" w:bidi="ar-SA"/>
                <w:kern w:val="2"/>
                <w:szCs w:val="24"/>
                <w:rFonts w:ascii="宋体" w:hAnsi="宋体" w:eastAsia="宋体"/>
              </w:rPr>
            </w:pPr>
            <w:r>
              <w:rPr>
                <w:b w:val="0"/>
                <w:i w:val="0"/>
                <w:color w:val="262626"/>
                <w:sz w:val="16"/>
                <w:lang w:val="en-US" w:eastAsia="zh-CN" w:bidi="ar-SA"/>
                <w:kern w:val="2"/>
                <w:szCs w:val="24"/>
                <w:rFonts w:ascii="宋体" w:hAnsi="宋体" w:eastAsia="宋体"/>
              </w:rPr>
              <w:t xml:space="preserve">注：本表反映部门本年度一般公共预算财政拨款支出情况。</w:t>
            </w:r>
            <w:r>
              <w:rPr>
                <w:sz w:val="32"/>
                <w:lang w:val="en-US" w:eastAsia="zh-CN" w:bidi="ar-SA"/>
                <w:kern w:val="2"/>
                <w:szCs w:val="24"/>
                <w:rFonts w:ascii="Calibri" w:hAnsi="Calibri" w:eastAsia="仿宋_GB2312"/>
              </w:rPr>
            </w:r>
          </w:p>
        </w:tc>
      </w:tr>
    </w:tbl>
    <w:p>
      <w:pPr>
        <w:pStyle w:val="Normal"/>
        <w:sectPr>
          <w:type w:val="nextPage"/>
          <w:docGrid w:type="lines" w:linePitch="312" w:charSpace="0"/>
          <w:pgSz w:w="11906" w:h="16838" w:orient="portrait"/>
          <w:pgMar w:top="873" w:right="1440" w:bottom="873" w:left="1440" w:header="720" w:footer="720" w:gutter="0"/>
          <w:pgNumType w:fmt="57"/>
          <w:cols w:num="1" w:equalWidth="0" w:space="720">
            <w:col w:space="-12288" w:w="9026"/>
          </w:cols>
          <w:pgNumType w:fmt="57"/>
        </w:sectPr>
      </w:pPr>
    </w:p>
    <w:p>
      <w:pPr>
        <w:pStyle w:val="Normal"/>
        <w:keepNext w:val="0"/>
        <w:keepLines w:val="0"/>
        <w:pageBreakBefore w:val="0"/>
        <w:wordWrap w:val="0"/>
        <w:overflowPunct w:val="1"/>
        <w:topLinePunct w:val="0"/>
        <w:kinsoku w:val="1"/>
        <w:autoSpaceDE w:val="1"/>
        <w:autoSpaceDN w:val="1"/>
        <w:bidi w:val="0"/>
        <w:jc w:val="center"/>
        <w:rPr>
          <w:sz w:val="32"/>
          <w:lang w:val="en-US" w:eastAsia="zh-CN"/>
          <w:bCs/>
          <w:szCs w:val="32"/>
          <w:rFonts w:ascii="黑体" w:hAnsi="黑体" w:eastAsia="黑体" w:hint="eastAsia"/>
        </w:rPr>
      </w:pPr>
      <w:r>
        <w:rPr>
          <w:sz w:val="32"/>
          <w:lang w:val="en-US" w:eastAsia="zh-CN"/>
          <w:bCs/>
          <w:szCs w:val="32"/>
          <w:rFonts w:ascii="黑体" w:hAnsi="黑体" w:eastAsia="黑体" w:hint="eastAsia"/>
        </w:rPr>
        <w:t xml:space="preserve">一般公共预算财政拨款基本支出决算明细表</w:t>
      </w:r>
    </w:p>
    <w:tbl>
      <w:tblPr>
        <w:tblW w:w="0" w:type="auto"/>
        <w:jc w:val="center"/>
        <w:tblInd w:type="dxa" w:w="0.000000"/>
        <w:tblLayout w:type="fixed"/>
        <w:tblLook w:noVBand="0" w:noHBand="0" w:lastColumn="0" w:firstColumn="0" w:lastRow="0" w:firstRow="0" w:val="04a0"/>
        <w:tblBorders>
          <w:top w:val="nil"/>
          <w:left w:val="nil"/>
          <w:bottom w:val="nil"/>
          <w:right w:val="nil"/>
          <w:insideH w:val="nil"/>
          <w:insideV w:val="nil"/>
        </w:tblBorders>
        <w:tblCellMar>
          <w:top w:type="dxa" w:w="0.000000"/>
          <w:bottom w:type="dxa" w:w="0.000000"/>
          <w:left w:type="dxa" w:w="80.000000"/>
          <w:right w:type="dxa" w:w="80.000000"/>
        </w:tblCellMar>
      </w:tblPr>
      <w:tblGrid>
        <w:gridCol w:w="5412.000000"/>
        <w:gridCol w:w="2000.000000"/>
        <w:gridCol w:w="5412.000000"/>
      </w:tblGrid>
      <w:tr>
        <w:tblPrEx>
          <w:tblBorders>
            <w:top w:val="nil"/>
            <w:left w:val="nil"/>
            <w:bottom w:val="nil"/>
            <w:right w:val="nil"/>
            <w:insideH w:val="nil"/>
            <w:insideV w:val="nil"/>
          </w:tblBorders>
        </w:tblPrEx>
        <w:trPr>
          <w:trHeight w:val="0" w:hRule="auto"/>
        </w:trPr>
        <w:tc>
          <w:tcPr>
            <w:tcW w:w="12824" w:type="dxa"/>
            <w:gridSpan w:val="3"/>
            <w:vAlign w:val="center"/>
            <w:textDirection w:val="lrTb"/>
          </w:tcPr>
          <w:p>
            <w:pPr>
              <w:pStyle w:val="Normal"/>
              <w:widowControl w:val="0"/>
              <w:jc w:val="end"/>
              <w:divId w:val="0"/>
              <w:rPr>
                <w:sz w:val="11"/>
                <w:lang w:val="en-US" w:eastAsia="zh-CN" w:bidi="ar-SA"/>
                <w:kern w:val="2"/>
                <w:szCs w:val="24"/>
                <w:rFonts w:ascii="宋体" w:hAnsi="宋体" w:eastAsia="宋体"/>
              </w:rPr>
            </w:pPr>
            <w:r>
              <w:rPr>
                <w:sz w:val="11"/>
                <w:lang w:val="en-US" w:eastAsia="zh-CN" w:bidi="ar-SA"/>
                <w:kern w:val="2"/>
                <w:szCs w:val="24"/>
                <w:rFonts w:ascii="宋体" w:hAnsi="宋体" w:eastAsia="宋体"/>
              </w:rPr>
              <w:t xml:space="preserve">公开06表</w:t>
            </w:r>
            <w:r>
              <w:rPr>
                <w:sz w:val="32"/>
                <w:lang w:val="en-US" w:eastAsia="zh-CN" w:bidi="ar-SA"/>
                <w:kern w:val="2"/>
                <w:szCs w:val="24"/>
                <w:rFonts w:ascii="Calibri" w:hAnsi="Calibri" w:eastAsia="仿宋_GB2312"/>
              </w:rPr>
            </w:r>
          </w:p>
        </w:tc>
      </w:tr>
      <w:tr>
        <w:tblPrEx>
          <w:tblBorders>
            <w:top w:val="nil"/>
            <w:left w:val="nil"/>
            <w:bottom w:val="nil"/>
            <w:right w:val="nil"/>
            <w:insideH w:val="nil"/>
            <w:insideV w:val="nil"/>
          </w:tblBorders>
        </w:tblPrEx>
        <w:trPr>
          <w:trHeight w:val="0" w:hRule="auto"/>
        </w:trPr>
        <w:tc>
          <w:tcPr>
            <w:tcW w:w="5412" w:type="dxa"/>
            <w:vAlign w:val="center"/>
            <w:textDirection w:val="lrTb"/>
          </w:tcPr>
          <w:p>
            <w:pPr>
              <w:pStyle w:val="Normal"/>
              <w:widowControl w:val="0"/>
              <w:jc w:val="start"/>
              <w:divId w:val="0"/>
              <w:rPr>
                <w:sz w:val="11"/>
                <w:lang w:val="en-US" w:eastAsia="zh-CN" w:bidi="ar-SA"/>
                <w:kern w:val="2"/>
                <w:szCs w:val="24"/>
                <w:rFonts w:ascii="宋体" w:hAnsi="宋体" w:eastAsia="宋体"/>
              </w:rPr>
            </w:pPr>
            <w:r>
              <w:rPr>
                <w:sz w:val="11"/>
                <w:lang w:val="en-US" w:eastAsia="zh-CN" w:bidi="ar-SA"/>
                <w:kern w:val="2"/>
                <w:szCs w:val="24"/>
                <w:rFonts w:ascii="宋体" w:hAnsi="宋体" w:eastAsia="宋体"/>
              </w:rPr>
              <w:t xml:space="preserve">单位：许昌市河湖事务中心</w:t>
            </w:r>
            <w:r>
              <w:rPr>
                <w:sz w:val="32"/>
                <w:lang w:val="en-US" w:eastAsia="zh-CN" w:bidi="ar-SA"/>
                <w:kern w:val="2"/>
                <w:szCs w:val="24"/>
                <w:rFonts w:ascii="Calibri" w:hAnsi="Calibri" w:eastAsia="仿宋_GB2312"/>
              </w:rPr>
            </w:r>
          </w:p>
        </w:tc>
        <w:tc>
          <w:tcPr>
            <w:tcW w:w="2000" w:type="dxa"/>
            <w:vAlign w:val="center"/>
            <w:textDirection w:val="lrTb"/>
          </w:tcPr>
          <w:p>
            <w:pPr>
              <w:pStyle w:val="Normal"/>
              <w:widowControl w:val="0"/>
              <w:jc w:val="center"/>
              <w:divId w:val="0"/>
              <w:rPr>
                <w:sz w:val="11"/>
                <w:lang w:val="en-US" w:eastAsia="zh-CN" w:bidi="ar-SA"/>
                <w:kern w:val="2"/>
                <w:szCs w:val="24"/>
                <w:rFonts w:ascii="宋体" w:hAnsi="宋体" w:eastAsia="宋体"/>
              </w:rPr>
            </w:pPr>
            <w:r>
              <w:rPr>
                <w:sz w:val="11"/>
                <w:lang w:val="en-US" w:eastAsia="zh-CN" w:bidi="ar-SA"/>
                <w:kern w:val="2"/>
                <w:szCs w:val="24"/>
                <w:rFonts w:ascii="宋体" w:hAnsi="宋体" w:eastAsia="宋体"/>
              </w:rPr>
              <w:t xml:space="preserve">2025年度</w:t>
            </w:r>
            <w:r>
              <w:rPr>
                <w:sz w:val="32"/>
                <w:lang w:val="en-US" w:eastAsia="zh-CN" w:bidi="ar-SA"/>
                <w:kern w:val="2"/>
                <w:szCs w:val="24"/>
                <w:rFonts w:ascii="Calibri" w:hAnsi="Calibri" w:eastAsia="仿宋_GB2312"/>
              </w:rPr>
            </w:r>
          </w:p>
        </w:tc>
        <w:tc>
          <w:tcPr>
            <w:tcW w:w="5412" w:type="dxa"/>
            <w:vAlign w:val="center"/>
            <w:textDirection w:val="lrTb"/>
          </w:tcPr>
          <w:p>
            <w:pPr>
              <w:pStyle w:val="Normal"/>
              <w:widowControl w:val="0"/>
              <w:jc w:val="end"/>
              <w:divId w:val="0"/>
              <w:rPr>
                <w:sz w:val="11"/>
                <w:lang w:val="en-US" w:eastAsia="zh-CN" w:bidi="ar-SA"/>
                <w:kern w:val="2"/>
                <w:szCs w:val="24"/>
                <w:rFonts w:ascii="宋体" w:hAnsi="宋体" w:eastAsia="宋体"/>
              </w:rPr>
            </w:pPr>
            <w:r>
              <w:rPr>
                <w:sz w:val="11"/>
                <w:lang w:val="en-US" w:eastAsia="zh-CN" w:bidi="ar-SA"/>
                <w:kern w:val="2"/>
                <w:szCs w:val="24"/>
                <w:rFonts w:ascii="宋体" w:hAnsi="宋体" w:eastAsia="宋体"/>
              </w:rPr>
              <w:t xml:space="preserve">单位：万元</w:t>
            </w:r>
            <w:r>
              <w:rPr>
                <w:sz w:val="32"/>
                <w:lang w:val="en-US" w:eastAsia="zh-CN" w:bidi="ar-SA"/>
                <w:kern w:val="2"/>
                <w:szCs w:val="24"/>
                <w:rFonts w:ascii="Calibri" w:hAnsi="Calibri" w:eastAsia="仿宋_GB2312"/>
              </w:rPr>
            </w:r>
          </w:p>
        </w:tc>
      </w:tr>
    </w:tbl>
    <w:p>
      <w:pPr>
        <w:pStyle w:val="Normal"/>
        <w:snapToGrid w:val="0"/>
        <w:spacing w:after="0" w:before="0" w:line="0" w:lineRule="auto"/>
        <w:rPr>
          <w:sz w:val="8"/>
        </w:rPr>
      </w:pPr>
      <w:r>
        <w:rPr>
          <w:sz w:val="8"/>
        </w:rPr>
        <w:t xml:space="preserve"> </w:t>
      </w:r>
      <w:r/>
    </w:p>
    <w:tbl>
      <w:tblPr>
        <w:tblW w:w="0" w:type="auto"/>
        <w:jc w:val="center"/>
        <w:tblInd w:type="dxa" w:w="0.000000"/>
        <w:tblLayout w:type="fixed"/>
        <w:tblLook w:noVBand="0" w:noHBand="0" w:lastColumn="0" w:firstColumn="0" w:lastRow="0" w:firstRow="0" w:val="04a0"/>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type="dxa" w:w="0.000000"/>
          <w:bottom w:type="dxa" w:w="0.000000"/>
          <w:left w:type="dxa" w:w="80.000000"/>
          <w:right w:type="dxa" w:w="80.000000"/>
        </w:tblCellMar>
      </w:tblPr>
      <w:tblGrid>
        <w:gridCol w:w="720.000000"/>
        <w:gridCol w:w="2300.000000"/>
        <w:gridCol w:w="1180.000000"/>
        <w:gridCol w:w="740.000000"/>
        <w:gridCol w:w="1820.000000"/>
        <w:gridCol w:w="1180.000000"/>
        <w:gridCol w:w="740.000000"/>
        <w:gridCol w:w="2960.000000"/>
        <w:gridCol w:w="1184.000000"/>
      </w:tblGrid>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251" w:hRule="exact"/>
        </w:trPr>
        <w:tc>
          <w:tcPr>
            <w:tcW w:w="720" w:type="dxa"/>
            <w:vMerge w:val="restart"/>
            <w:vAlign w:val="center"/>
            <w:textDirection w:val="lrTb"/>
          </w:tcPr>
          <w:p>
            <w:pPr>
              <w:pStyle w:val="Normal"/>
              <w:widowControl w:val="0"/>
              <w:snapToGrid w:val="0"/>
              <w:jc w:val="center"/>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科目代码</w:t>
            </w:r>
            <w:r>
              <w:rPr>
                <w:sz w:val="32"/>
                <w:lang w:val="en-US" w:eastAsia="zh-CN" w:bidi="ar-SA"/>
                <w:kern w:val="2"/>
                <w:szCs w:val="24"/>
                <w:rFonts w:ascii="Calibri" w:hAnsi="Calibri" w:eastAsia="仿宋_GB2312"/>
              </w:rPr>
            </w:r>
          </w:p>
        </w:tc>
        <w:tc>
          <w:tcPr>
            <w:tcW w:w="2300" w:type="dxa"/>
            <w:vMerge w:val="restart"/>
            <w:vAlign w:val="center"/>
            <w:textDirection w:val="lrTb"/>
          </w:tcPr>
          <w:p>
            <w:pPr>
              <w:pStyle w:val="Normal"/>
              <w:widowControl w:val="0"/>
              <w:snapToGrid w:val="0"/>
              <w:jc w:val="center"/>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科目名称</w:t>
            </w:r>
            <w:r>
              <w:rPr>
                <w:sz w:val="32"/>
                <w:lang w:val="en-US" w:eastAsia="zh-CN" w:bidi="ar-SA"/>
                <w:kern w:val="2"/>
                <w:szCs w:val="24"/>
                <w:rFonts w:ascii="Calibri" w:hAnsi="Calibri" w:eastAsia="仿宋_GB2312"/>
              </w:rPr>
            </w:r>
          </w:p>
        </w:tc>
        <w:tc>
          <w:tcPr>
            <w:tcW w:w="1180" w:type="dxa"/>
            <w:vMerge w:val="restart"/>
            <w:vAlign w:val="center"/>
            <w:textDirection w:val="lrTb"/>
          </w:tcPr>
          <w:p>
            <w:pPr>
              <w:pStyle w:val="Normal"/>
              <w:widowControl w:val="0"/>
              <w:snapToGrid w:val="0"/>
              <w:jc w:val="center"/>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决算数</w:t>
            </w:r>
            <w:r>
              <w:rPr>
                <w:sz w:val="32"/>
                <w:lang w:val="en-US" w:eastAsia="zh-CN" w:bidi="ar-SA"/>
                <w:kern w:val="2"/>
                <w:szCs w:val="24"/>
                <w:rFonts w:ascii="Calibri" w:hAnsi="Calibri" w:eastAsia="仿宋_GB2312"/>
              </w:rPr>
            </w:r>
          </w:p>
        </w:tc>
        <w:tc>
          <w:tcPr>
            <w:tcW w:w="740" w:type="dxa"/>
            <w:vMerge w:val="restart"/>
            <w:vAlign w:val="center"/>
            <w:textDirection w:val="lrTb"/>
          </w:tcPr>
          <w:p>
            <w:pPr>
              <w:pStyle w:val="Normal"/>
              <w:widowControl w:val="0"/>
              <w:snapToGrid w:val="0"/>
              <w:jc w:val="center"/>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科目代码</w:t>
            </w:r>
            <w:r>
              <w:rPr>
                <w:sz w:val="32"/>
                <w:lang w:val="en-US" w:eastAsia="zh-CN" w:bidi="ar-SA"/>
                <w:kern w:val="2"/>
                <w:szCs w:val="24"/>
                <w:rFonts w:ascii="Calibri" w:hAnsi="Calibri" w:eastAsia="仿宋_GB2312"/>
              </w:rPr>
            </w:r>
          </w:p>
        </w:tc>
        <w:tc>
          <w:tcPr>
            <w:tcW w:w="1820" w:type="dxa"/>
            <w:vMerge w:val="restart"/>
            <w:vAlign w:val="center"/>
            <w:textDirection w:val="lrTb"/>
          </w:tcPr>
          <w:p>
            <w:pPr>
              <w:pStyle w:val="Normal"/>
              <w:widowControl w:val="0"/>
              <w:snapToGrid w:val="0"/>
              <w:jc w:val="center"/>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科目名称</w:t>
            </w:r>
            <w:r>
              <w:rPr>
                <w:sz w:val="32"/>
                <w:lang w:val="en-US" w:eastAsia="zh-CN" w:bidi="ar-SA"/>
                <w:kern w:val="2"/>
                <w:szCs w:val="24"/>
                <w:rFonts w:ascii="Calibri" w:hAnsi="Calibri" w:eastAsia="仿宋_GB2312"/>
              </w:rPr>
            </w:r>
          </w:p>
        </w:tc>
        <w:tc>
          <w:tcPr>
            <w:tcW w:w="1180" w:type="dxa"/>
            <w:vMerge w:val="restart"/>
            <w:vAlign w:val="center"/>
            <w:textDirection w:val="lrTb"/>
          </w:tcPr>
          <w:p>
            <w:pPr>
              <w:pStyle w:val="Normal"/>
              <w:widowControl w:val="0"/>
              <w:snapToGrid w:val="0"/>
              <w:jc w:val="center"/>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决算数</w:t>
            </w:r>
            <w:r>
              <w:rPr>
                <w:sz w:val="32"/>
                <w:lang w:val="en-US" w:eastAsia="zh-CN" w:bidi="ar-SA"/>
                <w:kern w:val="2"/>
                <w:szCs w:val="24"/>
                <w:rFonts w:ascii="Calibri" w:hAnsi="Calibri" w:eastAsia="仿宋_GB2312"/>
              </w:rPr>
            </w:r>
          </w:p>
        </w:tc>
        <w:tc>
          <w:tcPr>
            <w:tcW w:w="740" w:type="dxa"/>
            <w:vMerge w:val="restart"/>
            <w:vAlign w:val="center"/>
            <w:textDirection w:val="lrTb"/>
          </w:tcPr>
          <w:p>
            <w:pPr>
              <w:pStyle w:val="Normal"/>
              <w:widowControl w:val="0"/>
              <w:snapToGrid w:val="0"/>
              <w:jc w:val="center"/>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科目代码</w:t>
            </w:r>
            <w:r>
              <w:rPr>
                <w:sz w:val="32"/>
                <w:lang w:val="en-US" w:eastAsia="zh-CN" w:bidi="ar-SA"/>
                <w:kern w:val="2"/>
                <w:szCs w:val="24"/>
                <w:rFonts w:ascii="Calibri" w:hAnsi="Calibri" w:eastAsia="仿宋_GB2312"/>
              </w:rPr>
            </w:r>
          </w:p>
        </w:tc>
        <w:tc>
          <w:tcPr>
            <w:tcW w:w="2960" w:type="dxa"/>
            <w:vMerge w:val="restart"/>
            <w:vAlign w:val="center"/>
            <w:textDirection w:val="lrTb"/>
          </w:tcPr>
          <w:p>
            <w:pPr>
              <w:pStyle w:val="Normal"/>
              <w:widowControl w:val="0"/>
              <w:snapToGrid w:val="0"/>
              <w:jc w:val="center"/>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科目名称</w:t>
            </w:r>
            <w:r>
              <w:rPr>
                <w:sz w:val="32"/>
                <w:lang w:val="en-US" w:eastAsia="zh-CN" w:bidi="ar-SA"/>
                <w:kern w:val="2"/>
                <w:szCs w:val="24"/>
                <w:rFonts w:ascii="Calibri" w:hAnsi="Calibri" w:eastAsia="仿宋_GB2312"/>
              </w:rPr>
            </w:r>
          </w:p>
        </w:tc>
        <w:tc>
          <w:tcPr>
            <w:tcW w:w="1184" w:type="dxa"/>
            <w:vMerge w:val="restart"/>
            <w:vAlign w:val="center"/>
            <w:textDirection w:val="lrTb"/>
          </w:tcPr>
          <w:p>
            <w:pPr>
              <w:pStyle w:val="Normal"/>
              <w:widowControl w:val="0"/>
              <w:snapToGrid w:val="0"/>
              <w:jc w:val="center"/>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决算数</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147" w:hRule="exact"/>
        </w:trPr>
        <w:tc>
          <w:tcPr>
            <w:tcW w:w="72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30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1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4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82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1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4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9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184"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301</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工资福利支出</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1,090.51</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商品和服务支出</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59.90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307</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债务利息及费用支出</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30101</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基本工资</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340.72</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30201</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办公费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15.45</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30701</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国内债务付息</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30102</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津贴补贴</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145.08</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30202</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印刷费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0.65</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30702</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国外债务付息</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30103</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奖金</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242.69</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30204</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手续费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310</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资本性支出</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4.35</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30106</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伙食补助费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30205</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水费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0.43</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31001</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房屋建筑物购建</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30107</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绩效工资</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114.89</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30206</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电费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5.52</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31002</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办公设备购置</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4.35</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30108</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机关事业单位基本养老保险缴费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65.68</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30207</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邮电费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1.25</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31003</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专用设备购置</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30109</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职业年金缴费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30208</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取暖费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31005</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基础设施建设</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30110</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职工基本医疗保险缴费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30.87</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30209</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物业管理费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6.39</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31006</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大型修缮</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30111</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公务员医疗补助缴费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30211</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差旅费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3.76</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31007</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信息网络及软件购置更新</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30112</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其他社会保障缴费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4.65</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30212</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因公出国（境）费用</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31008</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物资储备</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30113</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住房公积金</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57.22</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30213</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维修（护）费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5.82</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31009</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土地补偿</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30114</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医疗费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30214</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租赁费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31010</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安置补助</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30199</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其他工资福利支出</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88.70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30215</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会议费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31011</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地上附着物和青苗补偿</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303</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对个人和家庭的补助</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117.06</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30216</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培训费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31012</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拆迁补偿</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30301</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离休费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30217</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公务接待费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31013</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公务用车购置</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30302</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退休费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110.62</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30218</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专用材料费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31019</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其他交通工具购置</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30303</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退职（役）费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30224</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被装购置费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31021</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文物和陈列品购置</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30304</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抚恤金</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6.44</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30225</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专用燃料费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31022</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无形资产购置</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30305</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生活补助</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30226</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劳务费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31099</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其他资本性支出</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30306</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救济费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30227</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委托业务费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399</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其他支出</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30307</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医疗费补助</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30228</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工会经费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5.05</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39907</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国家赔偿费用支出</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30308</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助学金</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30229</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福利费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6.24</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39908</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对民间非营利组织和群众性自治组织补贴</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30309</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奖励金</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30231</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公务用车运行维护费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4.15</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39909</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经常性赠与</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30310</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个人农业生产补贴</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30239</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其他交通费用</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39910</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资本性赠与</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30311</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代缴社会保险费</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30240</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税金及附加费用</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39999</w:t>
            </w: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其他支出</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7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30399</w:t>
            </w:r>
            <w:r>
              <w:rPr>
                <w:sz w:val="32"/>
                <w:lang w:val="en-US" w:eastAsia="zh-CN" w:bidi="ar-SA"/>
                <w:kern w:val="2"/>
                <w:szCs w:val="24"/>
                <w:rFonts w:ascii="Calibri" w:hAnsi="Calibri" w:eastAsia="仿宋_GB2312"/>
              </w:rPr>
            </w:r>
          </w:p>
        </w:tc>
        <w:tc>
          <w:tcPr>
            <w:tcW w:w="230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其他对个人和家庭的补助</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30299</w:t>
            </w:r>
            <w:r>
              <w:rPr>
                <w:sz w:val="32"/>
                <w:lang w:val="en-US" w:eastAsia="zh-CN" w:bidi="ar-SA"/>
                <w:kern w:val="2"/>
                <w:szCs w:val="24"/>
                <w:rFonts w:ascii="Calibri" w:hAnsi="Calibri" w:eastAsia="仿宋_GB2312"/>
              </w:rPr>
            </w:r>
          </w:p>
        </w:tc>
        <w:tc>
          <w:tcPr>
            <w:tcW w:w="1820" w:type="dxa"/>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  其他商品和服务支出</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5.18</w:t>
            </w:r>
            <w:r>
              <w:rPr>
                <w:sz w:val="32"/>
                <w:lang w:val="en-US" w:eastAsia="zh-CN" w:bidi="ar-SA"/>
                <w:kern w:val="2"/>
                <w:szCs w:val="24"/>
                <w:rFonts w:ascii="Calibri" w:hAnsi="Calibri" w:eastAsia="仿宋_GB2312"/>
              </w:rPr>
            </w:r>
          </w:p>
        </w:tc>
        <w:tc>
          <w:tcPr>
            <w:tcW w:w="74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96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3020" w:type="dxa"/>
            <w:gridSpan w:val="2"/>
            <w:vAlign w:val="center"/>
            <w:textDirection w:val="lrTb"/>
          </w:tcPr>
          <w:p>
            <w:pPr>
              <w:pStyle w:val="Normal"/>
              <w:widowControl w:val="0"/>
              <w:snapToGrid w:val="0"/>
              <w:jc w:val="center"/>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人员经费合计</w:t>
            </w:r>
            <w:r>
              <w:rPr>
                <w:sz w:val="32"/>
                <w:lang w:val="en-US" w:eastAsia="zh-CN" w:bidi="ar-SA"/>
                <w:kern w:val="2"/>
                <w:szCs w:val="24"/>
                <w:rFonts w:ascii="Calibri" w:hAnsi="Calibri" w:eastAsia="仿宋_GB2312"/>
              </w:rPr>
            </w:r>
          </w:p>
        </w:tc>
        <w:tc>
          <w:tcPr>
            <w:tcW w:w="1180"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1,207.57</w:t>
            </w:r>
            <w:r>
              <w:rPr>
                <w:sz w:val="32"/>
                <w:lang w:val="en-US" w:eastAsia="zh-CN" w:bidi="ar-SA"/>
                <w:kern w:val="2"/>
                <w:szCs w:val="24"/>
                <w:rFonts w:ascii="Calibri" w:hAnsi="Calibri" w:eastAsia="仿宋_GB2312"/>
              </w:rPr>
            </w:r>
          </w:p>
        </w:tc>
        <w:tc>
          <w:tcPr>
            <w:tcW w:w="7440" w:type="dxa"/>
            <w:gridSpan w:val="5"/>
            <w:vAlign w:val="center"/>
            <w:textDirection w:val="lrTb"/>
          </w:tcPr>
          <w:p>
            <w:pPr>
              <w:pStyle w:val="Normal"/>
              <w:widowControl w:val="0"/>
              <w:snapToGrid w:val="0"/>
              <w:jc w:val="center"/>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公用经费合计</w:t>
            </w:r>
            <w:r>
              <w:rPr>
                <w:sz w:val="32"/>
                <w:lang w:val="en-US" w:eastAsia="zh-CN" w:bidi="ar-SA"/>
                <w:kern w:val="2"/>
                <w:szCs w:val="24"/>
                <w:rFonts w:ascii="Calibri" w:hAnsi="Calibri" w:eastAsia="仿宋_GB2312"/>
              </w:rPr>
            </w:r>
          </w:p>
        </w:tc>
        <w:tc>
          <w:tcPr>
            <w:tcW w:w="1184" w:type="dxa"/>
            <w:vAlign w:val="center"/>
            <w:textDirection w:val="lrTb"/>
          </w:tcPr>
          <w:p>
            <w:pPr>
              <w:pStyle w:val="Normal"/>
              <w:widowControl w:val="0"/>
              <w:snapToGrid w:val="0"/>
              <w:jc w:val="end"/>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64.24</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295" w:hRule="exact"/>
        </w:trPr>
        <w:tc>
          <w:tcPr>
            <w:tcW w:w="12824" w:type="dxa"/>
            <w:gridSpan w:val="9"/>
            <w:vAlign w:val="center"/>
            <w:textDirection w:val="lrTb"/>
          </w:tcPr>
          <w:p>
            <w:pPr>
              <w:pStyle w:val="Normal"/>
              <w:widowControl w:val="0"/>
              <w:snapToGrid w:val="0"/>
              <w:jc w:val="start"/>
              <w:divId w:val="0"/>
              <w:rPr>
                <w:b w:val="0"/>
                <w:i w:val="0"/>
                <w:color w:val="262626"/>
                <w:sz w:val="14"/>
                <w:lang w:val="en-US" w:eastAsia="zh-CN" w:bidi="ar-SA"/>
                <w:kern w:val="2"/>
                <w:szCs w:val="24"/>
                <w:rFonts w:ascii="宋体" w:hAnsi="宋体" w:eastAsia="宋体"/>
              </w:rPr>
            </w:pPr>
            <w:r>
              <w:rPr>
                <w:b w:val="0"/>
                <w:i w:val="0"/>
                <w:color w:val="262626"/>
                <w:sz w:val="14"/>
                <w:lang w:val="en-US" w:eastAsia="zh-CN" w:bidi="ar-SA"/>
                <w:kern w:val="2"/>
                <w:szCs w:val="24"/>
                <w:rFonts w:ascii="宋体" w:hAnsi="宋体" w:eastAsia="宋体"/>
              </w:rPr>
              <w:t xml:space="preserve">注：本表反映部门本年度一般公共预算财政拨款基本支出明细情况。</w:t>
            </w:r>
            <w:r>
              <w:rPr>
                <w:sz w:val="32"/>
                <w:lang w:val="en-US" w:eastAsia="zh-CN" w:bidi="ar-SA"/>
                <w:kern w:val="2"/>
                <w:szCs w:val="24"/>
                <w:rFonts w:ascii="Calibri" w:hAnsi="Calibri" w:eastAsia="仿宋_GB2312"/>
              </w:rPr>
            </w:r>
          </w:p>
        </w:tc>
      </w:tr>
    </w:tbl>
    <w:p>
      <w:pPr>
        <w:pStyle w:val="Normal"/>
        <w:sectPr>
          <w:type w:val="nextPage"/>
          <w:docGrid w:type="lines" w:linePitch="312" w:charSpace="0"/>
          <w:pgSz w:w="16838" w:h="11906" w:orient="landscape"/>
          <w:pgMar w:top="669" w:right="2007" w:bottom="669" w:left="2007" w:header="720" w:footer="720" w:gutter="0"/>
          <w:pgNumType w:fmt="57"/>
          <w:cols w:num="1" w:equalWidth="0" w:space="720">
            <w:col w:space="-12288" w:w="12824"/>
          </w:cols>
          <w:pgNumType w:fmt="57"/>
        </w:sectPr>
      </w:pPr>
    </w:p>
    <w:p>
      <w:pPr>
        <w:pStyle w:val="Normal"/>
        <w:keepNext w:val="0"/>
        <w:keepLines w:val="0"/>
        <w:pageBreakBefore w:val="0"/>
        <w:wordWrap w:val="0"/>
        <w:overflowPunct w:val="1"/>
        <w:topLinePunct w:val="0"/>
        <w:kinsoku w:val="1"/>
        <w:autoSpaceDE w:val="1"/>
        <w:autoSpaceDN w:val="1"/>
        <w:bidi w:val="0"/>
        <w:jc w:val="center"/>
        <w:rPr>
          <w:sz w:val="32"/>
          <w:lang w:val="en-US" w:eastAsia="zh-CN"/>
          <w:bCs/>
          <w:szCs w:val="32"/>
          <w:rFonts w:ascii="黑体" w:hAnsi="黑体" w:eastAsia="黑体" w:hint="eastAsia"/>
        </w:rPr>
      </w:pPr>
      <w:r>
        <w:rPr>
          <w:sz w:val="32"/>
          <w:lang w:val="en-US" w:eastAsia="zh-CN"/>
          <w:bCs/>
          <w:szCs w:val="32"/>
          <w:rFonts w:ascii="黑体" w:hAnsi="黑体" w:eastAsia="黑体" w:hint="eastAsia"/>
        </w:rPr>
        <w:t xml:space="preserve">政府性基金预算财政拨款收入支出决算表</w:t>
      </w:r>
      <w:r>
        <w:rPr>
          <w:color w:val="000000"/>
          <w:sz w:val="20"/>
          <w:lang w:val="en-US" w:eastAsia="zh-CN"/>
          <w:kern w:val="0"/>
          <w:szCs w:val="20"/>
          <w:rFonts w:ascii="宋体" w:hAnsi="宋体" w:hint="eastAsia"/>
        </w:rPr>
      </w:r>
    </w:p>
    <w:tbl>
      <w:tblPr>
        <w:tblW w:w="0" w:type="auto"/>
        <w:jc w:val="center"/>
        <w:tblInd w:type="dxa" w:w="0.000000"/>
        <w:tblLayout w:type="fixed"/>
        <w:tblLook w:noVBand="0" w:noHBand="0" w:lastColumn="0" w:firstColumn="0" w:lastRow="0" w:firstRow="0" w:val="04a0"/>
        <w:tblBorders>
          <w:top w:val="nil"/>
          <w:left w:val="nil"/>
          <w:bottom w:val="nil"/>
          <w:right w:val="nil"/>
          <w:insideH w:val="nil"/>
          <w:insideV w:val="nil"/>
        </w:tblBorders>
        <w:tblCellMar>
          <w:top w:type="dxa" w:w="0.000000"/>
          <w:bottom w:type="dxa" w:w="0.000000"/>
          <w:left w:type="dxa" w:w="80.000000"/>
          <w:right w:type="dxa" w:w="80.000000"/>
        </w:tblCellMar>
      </w:tblPr>
      <w:tblGrid>
        <w:gridCol w:w="5979.000000"/>
        <w:gridCol w:w="2000.000000"/>
        <w:gridCol w:w="5979.000000"/>
      </w:tblGrid>
      <w:tr>
        <w:tblPrEx>
          <w:tblBorders>
            <w:top w:val="nil"/>
            <w:left w:val="nil"/>
            <w:bottom w:val="nil"/>
            <w:right w:val="nil"/>
            <w:insideH w:val="nil"/>
            <w:insideV w:val="nil"/>
          </w:tblBorders>
        </w:tblPrEx>
        <w:trPr>
          <w:trHeight w:val="0" w:hRule="auto"/>
        </w:trPr>
        <w:tc>
          <w:tcPr>
            <w:tcW w:w="13958" w:type="dxa"/>
            <w:gridSpan w:val="3"/>
            <w:vAlign w:val="center"/>
            <w:textDirection w:val="lrTb"/>
          </w:tcPr>
          <w:p>
            <w:pPr>
              <w:pStyle w:val="Normal"/>
              <w:widowControl w:val="0"/>
              <w:jc w:val="end"/>
              <w:divId w:val="0"/>
              <w:rPr>
                <w:sz w:val="18"/>
                <w:lang w:val="en-US" w:eastAsia="zh-CN" w:bidi="ar-SA"/>
                <w:kern w:val="2"/>
                <w:szCs w:val="24"/>
                <w:rFonts w:ascii="宋体" w:hAnsi="宋体" w:eastAsia="宋体"/>
              </w:rPr>
            </w:pPr>
            <w:r>
              <w:rPr>
                <w:sz w:val="18"/>
                <w:lang w:val="en-US" w:eastAsia="zh-CN" w:bidi="ar-SA"/>
                <w:kern w:val="2"/>
                <w:szCs w:val="24"/>
                <w:rFonts w:ascii="宋体" w:hAnsi="宋体" w:eastAsia="宋体"/>
              </w:rPr>
              <w:t xml:space="preserve">公开07表</w:t>
            </w:r>
            <w:r>
              <w:rPr>
                <w:sz w:val="32"/>
                <w:lang w:val="en-US" w:eastAsia="zh-CN" w:bidi="ar-SA"/>
                <w:kern w:val="2"/>
                <w:szCs w:val="24"/>
                <w:rFonts w:ascii="Calibri" w:hAnsi="Calibri" w:eastAsia="仿宋_GB2312"/>
              </w:rPr>
            </w:r>
          </w:p>
        </w:tc>
      </w:tr>
      <w:tr>
        <w:tblPrEx>
          <w:tblBorders>
            <w:top w:val="nil"/>
            <w:left w:val="nil"/>
            <w:bottom w:val="nil"/>
            <w:right w:val="nil"/>
            <w:insideH w:val="nil"/>
            <w:insideV w:val="nil"/>
          </w:tblBorders>
        </w:tblPrEx>
        <w:trPr>
          <w:trHeight w:val="0" w:hRule="auto"/>
        </w:trPr>
        <w:tc>
          <w:tcPr>
            <w:tcW w:w="5979" w:type="dxa"/>
            <w:vAlign w:val="center"/>
            <w:textDirection w:val="lrTb"/>
          </w:tcPr>
          <w:p>
            <w:pPr>
              <w:pStyle w:val="Normal"/>
              <w:widowControl w:val="0"/>
              <w:jc w:val="start"/>
              <w:divId w:val="0"/>
              <w:rPr>
                <w:sz w:val="18"/>
                <w:lang w:val="en-US" w:eastAsia="zh-CN" w:bidi="ar-SA"/>
                <w:kern w:val="2"/>
                <w:szCs w:val="24"/>
                <w:rFonts w:ascii="宋体" w:hAnsi="宋体" w:eastAsia="宋体"/>
              </w:rPr>
            </w:pPr>
            <w:r>
              <w:rPr>
                <w:sz w:val="18"/>
                <w:lang w:val="en-US" w:eastAsia="zh-CN" w:bidi="ar-SA"/>
                <w:kern w:val="2"/>
                <w:szCs w:val="24"/>
                <w:rFonts w:ascii="宋体" w:hAnsi="宋体" w:eastAsia="宋体"/>
              </w:rPr>
              <w:t xml:space="preserve">单位：许昌市河湖事务中心</w:t>
            </w:r>
            <w:r>
              <w:rPr>
                <w:sz w:val="32"/>
                <w:lang w:val="en-US" w:eastAsia="zh-CN" w:bidi="ar-SA"/>
                <w:kern w:val="2"/>
                <w:szCs w:val="24"/>
                <w:rFonts w:ascii="Calibri" w:hAnsi="Calibri" w:eastAsia="仿宋_GB2312"/>
              </w:rPr>
            </w:r>
          </w:p>
        </w:tc>
        <w:tc>
          <w:tcPr>
            <w:tcW w:w="2000" w:type="dxa"/>
            <w:vAlign w:val="center"/>
            <w:textDirection w:val="lrTb"/>
          </w:tcPr>
          <w:p>
            <w:pPr>
              <w:pStyle w:val="Normal"/>
              <w:widowControl w:val="0"/>
              <w:jc w:val="center"/>
              <w:divId w:val="0"/>
              <w:rPr>
                <w:sz w:val="18"/>
                <w:lang w:val="en-US" w:eastAsia="zh-CN" w:bidi="ar-SA"/>
                <w:kern w:val="2"/>
                <w:szCs w:val="24"/>
                <w:rFonts w:ascii="宋体" w:hAnsi="宋体" w:eastAsia="宋体"/>
              </w:rPr>
            </w:pPr>
            <w:r>
              <w:rPr>
                <w:sz w:val="18"/>
                <w:lang w:val="en-US" w:eastAsia="zh-CN" w:bidi="ar-SA"/>
                <w:kern w:val="2"/>
                <w:szCs w:val="24"/>
                <w:rFonts w:ascii="宋体" w:hAnsi="宋体" w:eastAsia="宋体"/>
              </w:rPr>
              <w:t xml:space="preserve">2025年度</w:t>
            </w:r>
            <w:r>
              <w:rPr>
                <w:sz w:val="32"/>
                <w:lang w:val="en-US" w:eastAsia="zh-CN" w:bidi="ar-SA"/>
                <w:kern w:val="2"/>
                <w:szCs w:val="24"/>
                <w:rFonts w:ascii="Calibri" w:hAnsi="Calibri" w:eastAsia="仿宋_GB2312"/>
              </w:rPr>
            </w:r>
          </w:p>
        </w:tc>
        <w:tc>
          <w:tcPr>
            <w:tcW w:w="5979" w:type="dxa"/>
            <w:vAlign w:val="center"/>
            <w:textDirection w:val="lrTb"/>
          </w:tcPr>
          <w:p>
            <w:pPr>
              <w:pStyle w:val="Normal"/>
              <w:widowControl w:val="0"/>
              <w:jc w:val="end"/>
              <w:divId w:val="0"/>
              <w:rPr>
                <w:sz w:val="18"/>
                <w:lang w:val="en-US" w:eastAsia="zh-CN" w:bidi="ar-SA"/>
                <w:kern w:val="2"/>
                <w:szCs w:val="24"/>
                <w:rFonts w:ascii="宋体" w:hAnsi="宋体" w:eastAsia="宋体"/>
              </w:rPr>
            </w:pPr>
            <w:r>
              <w:rPr>
                <w:sz w:val="18"/>
                <w:lang w:val="en-US" w:eastAsia="zh-CN" w:bidi="ar-SA"/>
                <w:kern w:val="2"/>
                <w:szCs w:val="24"/>
                <w:rFonts w:ascii="宋体" w:hAnsi="宋体" w:eastAsia="宋体"/>
              </w:rPr>
              <w:t xml:space="preserve">单位：万元</w:t>
            </w:r>
            <w:r>
              <w:rPr>
                <w:sz w:val="32"/>
                <w:lang w:val="en-US" w:eastAsia="zh-CN" w:bidi="ar-SA"/>
                <w:kern w:val="2"/>
                <w:szCs w:val="24"/>
                <w:rFonts w:ascii="Calibri" w:hAnsi="Calibri" w:eastAsia="仿宋_GB2312"/>
              </w:rPr>
            </w:r>
          </w:p>
        </w:tc>
      </w:tr>
    </w:tbl>
    <w:p>
      <w:pPr>
        <w:pStyle w:val="Normal"/>
        <w:snapToGrid w:val="0"/>
        <w:spacing w:after="0" w:before="0" w:line="0" w:lineRule="auto"/>
        <w:rPr>
          <w:sz w:val="8"/>
        </w:rPr>
      </w:pPr>
      <w:r>
        <w:rPr>
          <w:sz w:val="8"/>
        </w:rPr>
        <w:t xml:space="preserve"> </w:t>
      </w:r>
      <w:r/>
    </w:p>
    <w:tbl>
      <w:tblPr>
        <w:tblW w:w="0" w:type="auto"/>
        <w:jc w:val="center"/>
        <w:tblInd w:type="dxa" w:w="0.000000"/>
        <w:tblLayout w:type="fixed"/>
        <w:tblLook w:noVBand="0" w:noHBand="0" w:lastColumn="0" w:firstColumn="0" w:lastRow="0" w:firstRow="0" w:val="04a0"/>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type="dxa" w:w="0.000000"/>
          <w:bottom w:type="dxa" w:w="0.000000"/>
          <w:left w:type="dxa" w:w="80.000000"/>
          <w:right w:type="dxa" w:w="80.000000"/>
        </w:tblCellMar>
      </w:tblPr>
      <w:tblGrid>
        <w:gridCol w:w="900.000000"/>
        <w:gridCol w:w="3580.000000"/>
        <w:gridCol w:w="1640.000000"/>
        <w:gridCol w:w="1640.000000"/>
        <w:gridCol w:w="1520.000000"/>
        <w:gridCol w:w="1520.000000"/>
        <w:gridCol w:w="1520.000000"/>
        <w:gridCol w:w="1638.000000"/>
      </w:tblGrid>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409" w:hRule="exact"/>
        </w:trPr>
        <w:tc>
          <w:tcPr>
            <w:tcW w:w="4480" w:type="dxa"/>
            <w:gridSpan w:val="2"/>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项目</w:t>
            </w:r>
            <w:r>
              <w:rPr>
                <w:sz w:val="32"/>
                <w:lang w:val="en-US" w:eastAsia="zh-CN" w:bidi="ar-SA"/>
                <w:kern w:val="2"/>
                <w:szCs w:val="24"/>
                <w:rFonts w:ascii="Calibri" w:hAnsi="Calibri" w:eastAsia="仿宋_GB2312"/>
              </w:rPr>
            </w:r>
          </w:p>
        </w:tc>
        <w:tc>
          <w:tcPr>
            <w:tcW w:w="1640" w:type="dxa"/>
            <w:vMerge w:val="restart"/>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年初结转和结余</w:t>
            </w:r>
            <w:r>
              <w:rPr>
                <w:sz w:val="32"/>
                <w:lang w:val="en-US" w:eastAsia="zh-CN" w:bidi="ar-SA"/>
                <w:kern w:val="2"/>
                <w:szCs w:val="24"/>
                <w:rFonts w:ascii="Calibri" w:hAnsi="Calibri" w:eastAsia="仿宋_GB2312"/>
              </w:rPr>
            </w:r>
          </w:p>
        </w:tc>
        <w:tc>
          <w:tcPr>
            <w:tcW w:w="1640" w:type="dxa"/>
            <w:vMerge w:val="restart"/>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本年收入</w:t>
            </w:r>
            <w:r>
              <w:rPr>
                <w:sz w:val="32"/>
                <w:lang w:val="en-US" w:eastAsia="zh-CN" w:bidi="ar-SA"/>
                <w:kern w:val="2"/>
                <w:szCs w:val="24"/>
                <w:rFonts w:ascii="Calibri" w:hAnsi="Calibri" w:eastAsia="仿宋_GB2312"/>
              </w:rPr>
            </w:r>
          </w:p>
        </w:tc>
        <w:tc>
          <w:tcPr>
            <w:tcW w:w="4560" w:type="dxa"/>
            <w:gridSpan w:val="3"/>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本年支出</w:t>
            </w:r>
            <w:r>
              <w:rPr>
                <w:sz w:val="32"/>
                <w:lang w:val="en-US" w:eastAsia="zh-CN" w:bidi="ar-SA"/>
                <w:kern w:val="2"/>
                <w:szCs w:val="24"/>
                <w:rFonts w:ascii="Calibri" w:hAnsi="Calibri" w:eastAsia="仿宋_GB2312"/>
              </w:rPr>
            </w:r>
          </w:p>
        </w:tc>
        <w:tc>
          <w:tcPr>
            <w:tcW w:w="1638" w:type="dxa"/>
            <w:vMerge w:val="restart"/>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年末结转和结余</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409" w:hRule="exact"/>
        </w:trPr>
        <w:tc>
          <w:tcPr>
            <w:tcW w:w="900" w:type="dxa"/>
            <w:vMerge w:val="restart"/>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科目代码</w:t>
            </w:r>
            <w:r>
              <w:rPr>
                <w:sz w:val="32"/>
                <w:lang w:val="en-US" w:eastAsia="zh-CN" w:bidi="ar-SA"/>
                <w:kern w:val="2"/>
                <w:szCs w:val="24"/>
                <w:rFonts w:ascii="Calibri" w:hAnsi="Calibri" w:eastAsia="仿宋_GB2312"/>
              </w:rPr>
            </w:r>
          </w:p>
        </w:tc>
        <w:tc>
          <w:tcPr>
            <w:tcW w:w="3580" w:type="dxa"/>
            <w:vMerge w:val="restart"/>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科目名称</w:t>
            </w:r>
            <w:r>
              <w:rPr>
                <w:sz w:val="32"/>
                <w:lang w:val="en-US" w:eastAsia="zh-CN" w:bidi="ar-SA"/>
                <w:kern w:val="2"/>
                <w:szCs w:val="24"/>
                <w:rFonts w:ascii="Calibri" w:hAnsi="Calibri" w:eastAsia="仿宋_GB2312"/>
              </w:rPr>
            </w:r>
          </w:p>
        </w:tc>
        <w:tc>
          <w:tcPr>
            <w:tcW w:w="164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64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20" w:type="dxa"/>
            <w:vMerge w:val="restart"/>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小计</w:t>
            </w:r>
            <w:r>
              <w:rPr>
                <w:sz w:val="32"/>
                <w:lang w:val="en-US" w:eastAsia="zh-CN" w:bidi="ar-SA"/>
                <w:kern w:val="2"/>
                <w:szCs w:val="24"/>
                <w:rFonts w:ascii="Calibri" w:hAnsi="Calibri" w:eastAsia="仿宋_GB2312"/>
              </w:rPr>
            </w:r>
          </w:p>
        </w:tc>
        <w:tc>
          <w:tcPr>
            <w:tcW w:w="1520" w:type="dxa"/>
            <w:vMerge w:val="restart"/>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基本支出</w:t>
            </w:r>
            <w:r>
              <w:rPr>
                <w:sz w:val="32"/>
                <w:lang w:val="en-US" w:eastAsia="zh-CN" w:bidi="ar-SA"/>
                <w:kern w:val="2"/>
                <w:szCs w:val="24"/>
                <w:rFonts w:ascii="Calibri" w:hAnsi="Calibri" w:eastAsia="仿宋_GB2312"/>
              </w:rPr>
            </w:r>
          </w:p>
        </w:tc>
        <w:tc>
          <w:tcPr>
            <w:tcW w:w="1520" w:type="dxa"/>
            <w:vMerge w:val="restart"/>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项目支出</w:t>
            </w:r>
            <w:r>
              <w:rPr>
                <w:sz w:val="32"/>
                <w:lang w:val="en-US" w:eastAsia="zh-CN" w:bidi="ar-SA"/>
                <w:kern w:val="2"/>
                <w:szCs w:val="24"/>
                <w:rFonts w:ascii="Calibri" w:hAnsi="Calibri" w:eastAsia="仿宋_GB2312"/>
              </w:rPr>
            </w:r>
          </w:p>
        </w:tc>
        <w:tc>
          <w:tcPr>
            <w:tcW w:w="1638"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409" w:hRule="exact"/>
        </w:trPr>
        <w:tc>
          <w:tcPr>
            <w:tcW w:w="90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5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64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64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2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2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2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638"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409" w:hRule="exact"/>
        </w:trPr>
        <w:tc>
          <w:tcPr>
            <w:tcW w:w="90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5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64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64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2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2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2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638"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9" w:hRule="exact"/>
        </w:trPr>
        <w:tc>
          <w:tcPr>
            <w:tcW w:w="4480" w:type="dxa"/>
            <w:gridSpan w:val="2"/>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栏次</w:t>
            </w:r>
            <w:r>
              <w:rPr>
                <w:sz w:val="32"/>
                <w:lang w:val="en-US" w:eastAsia="zh-CN" w:bidi="ar-SA"/>
                <w:kern w:val="2"/>
                <w:szCs w:val="24"/>
                <w:rFonts w:ascii="Calibri" w:hAnsi="Calibri" w:eastAsia="仿宋_GB2312"/>
              </w:rPr>
            </w:r>
          </w:p>
        </w:tc>
        <w:tc>
          <w:tcPr>
            <w:tcW w:w="164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1</w:t>
            </w:r>
            <w:r>
              <w:rPr>
                <w:sz w:val="32"/>
                <w:lang w:val="en-US" w:eastAsia="zh-CN" w:bidi="ar-SA"/>
                <w:kern w:val="2"/>
                <w:szCs w:val="24"/>
                <w:rFonts w:ascii="Calibri" w:hAnsi="Calibri" w:eastAsia="仿宋_GB2312"/>
              </w:rPr>
            </w:r>
          </w:p>
        </w:tc>
        <w:tc>
          <w:tcPr>
            <w:tcW w:w="164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2</w:t>
            </w:r>
            <w:r>
              <w:rPr>
                <w:sz w:val="32"/>
                <w:lang w:val="en-US" w:eastAsia="zh-CN" w:bidi="ar-SA"/>
                <w:kern w:val="2"/>
                <w:szCs w:val="24"/>
                <w:rFonts w:ascii="Calibri" w:hAnsi="Calibri" w:eastAsia="仿宋_GB2312"/>
              </w:rPr>
            </w:r>
          </w:p>
        </w:tc>
        <w:tc>
          <w:tcPr>
            <w:tcW w:w="15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3</w:t>
            </w:r>
            <w:r>
              <w:rPr>
                <w:sz w:val="32"/>
                <w:lang w:val="en-US" w:eastAsia="zh-CN" w:bidi="ar-SA"/>
                <w:kern w:val="2"/>
                <w:szCs w:val="24"/>
                <w:rFonts w:ascii="Calibri" w:hAnsi="Calibri" w:eastAsia="仿宋_GB2312"/>
              </w:rPr>
            </w:r>
          </w:p>
        </w:tc>
        <w:tc>
          <w:tcPr>
            <w:tcW w:w="15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4</w:t>
            </w:r>
            <w:r>
              <w:rPr>
                <w:sz w:val="32"/>
                <w:lang w:val="en-US" w:eastAsia="zh-CN" w:bidi="ar-SA"/>
                <w:kern w:val="2"/>
                <w:szCs w:val="24"/>
                <w:rFonts w:ascii="Calibri" w:hAnsi="Calibri" w:eastAsia="仿宋_GB2312"/>
              </w:rPr>
            </w:r>
          </w:p>
        </w:tc>
        <w:tc>
          <w:tcPr>
            <w:tcW w:w="1520"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1638" w:type="dxa"/>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6</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9" w:hRule="exact"/>
        </w:trPr>
        <w:tc>
          <w:tcPr>
            <w:tcW w:w="4480" w:type="dxa"/>
            <w:gridSpan w:val="2"/>
            <w:vAlign w:val="center"/>
            <w:textDirection w:val="lrTb"/>
          </w:tcPr>
          <w:p>
            <w:pPr>
              <w:pStyle w:val="Normal"/>
              <w:widowControl w:val="0"/>
              <w:snapToGrid w:val="0"/>
              <w:jc w:val="center"/>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合计</w:t>
            </w:r>
            <w:r>
              <w:rPr>
                <w:sz w:val="32"/>
                <w:lang w:val="en-US" w:eastAsia="zh-CN" w:bidi="ar-SA"/>
                <w:kern w:val="2"/>
                <w:szCs w:val="24"/>
                <w:rFonts w:ascii="Calibri" w:hAnsi="Calibri" w:eastAsia="仿宋_GB2312"/>
              </w:rPr>
            </w:r>
          </w:p>
        </w:tc>
        <w:tc>
          <w:tcPr>
            <w:tcW w:w="164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64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638"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613" w:hRule="exact"/>
        </w:trPr>
        <w:tc>
          <w:tcPr>
            <w:tcW w:w="90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5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64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64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638"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09" w:hRule="exact"/>
        </w:trPr>
        <w:tc>
          <w:tcPr>
            <w:tcW w:w="13958" w:type="dxa"/>
            <w:gridSpan w:val="8"/>
            <w:vAlign w:val="center"/>
            <w:textDirection w:val="lrTb"/>
          </w:tcPr>
          <w:p>
            <w:pPr>
              <w:pStyle w:val="Normal"/>
              <w:widowControl w:val="0"/>
              <w:snapToGrid w:val="0"/>
              <w:jc w:val="start"/>
              <w:divId w:val="0"/>
              <w:rPr>
                <w:b w:val="0"/>
                <w:i w:val="0"/>
                <w:color w:val="262626"/>
                <w:sz w:val="19"/>
                <w:lang w:val="en-US" w:eastAsia="zh-CN" w:bidi="ar-SA"/>
                <w:kern w:val="2"/>
                <w:szCs w:val="24"/>
                <w:rFonts w:ascii="宋体" w:hAnsi="宋体" w:eastAsia="宋体"/>
              </w:rPr>
            </w:pPr>
            <w:r>
              <w:rPr>
                <w:b w:val="0"/>
                <w:i w:val="0"/>
                <w:color w:val="262626"/>
                <w:sz w:val="19"/>
                <w:lang w:val="en-US" w:eastAsia="zh-CN" w:bidi="ar-SA"/>
                <w:kern w:val="2"/>
                <w:szCs w:val="24"/>
                <w:rFonts w:ascii="宋体" w:hAnsi="宋体" w:eastAsia="宋体"/>
              </w:rPr>
              <w:t xml:space="preserve">注：本表反映部门本年度政府性基金预算财政拨款收入、支出及结转和结余情况。</w:t>
            </w:r>
            <w:r>
              <w:rPr>
                <w:sz w:val="32"/>
                <w:lang w:val="en-US" w:eastAsia="zh-CN" w:bidi="ar-SA"/>
                <w:kern w:val="2"/>
                <w:szCs w:val="24"/>
                <w:rFonts w:ascii="Calibri" w:hAnsi="Calibri" w:eastAsia="仿宋_GB2312"/>
              </w:rPr>
            </w:r>
          </w:p>
        </w:tc>
      </w:tr>
    </w:tbl>
    <w:p>
      <w:pPr>
        <w:pStyle w:val="Normal"/>
        <w:widowControl w:val="1"/>
        <w:jc w:val="start"/>
        <w:rPr>
          <w:color w:val="000000"/>
          <w:sz w:val="20"/>
          <w:lang w:val="en-US" w:eastAsia="zh-CN"/>
          <w:kern w:val="0"/>
          <w:szCs w:val="20"/>
          <w:rFonts w:ascii="宋体" w:hAnsi="宋体" w:hint="eastAsia"/>
        </w:rPr>
        <w:sectPr>
          <w:type w:val="nextPage"/>
          <w:docGrid w:type="lines" w:linePitch="312" w:charSpace="0"/>
          <w:pgSz w:w="16838" w:h="11906" w:orient="landscape"/>
          <w:pgMar w:top="1800" w:right="1440" w:bottom="1800" w:left="1440" w:header="720" w:footer="720" w:gutter="0"/>
          <w:pgNumType w:fmt="57"/>
          <w:cols w:num="1" w:equalWidth="0" w:space="720">
            <w:col w:space="-12288" w:w="13958"/>
          </w:cols>
          <w:pgNumType w:fmt="57"/>
        </w:sectPr>
      </w:pPr>
      <w:r>
        <w:rPr>
          <w:color w:val="000000"/>
          <w:sz w:val="20"/>
          <w:lang w:val="en-US" w:eastAsia="zh-CN"/>
          <w:kern w:val="0"/>
          <w:szCs w:val="20"/>
          <w:rFonts w:ascii="宋体" w:hAnsi="宋体" w:hint="eastAsia"/>
        </w:rPr>
        <w:t xml:space="preserve">说明：我单位没有政府性基金收入，也没有使用政府性基金安排的支出，故本表无数据。</w:t>
      </w:r>
    </w:p>
    <w:p>
      <w:pPr>
        <w:pStyle w:val="Normal"/>
        <w:keepNext w:val="0"/>
        <w:keepLines w:val="0"/>
        <w:pageBreakBefore w:val="0"/>
        <w:wordWrap w:val="0"/>
        <w:overflowPunct w:val="1"/>
        <w:topLinePunct w:val="0"/>
        <w:kinsoku w:val="1"/>
        <w:autoSpaceDE w:val="1"/>
        <w:autoSpaceDN w:val="1"/>
        <w:bidi w:val="0"/>
        <w:jc w:val="center"/>
        <w:rPr>
          <w:sz w:val="32"/>
          <w:lang w:val="en-US" w:eastAsia="zh-CN"/>
          <w:bCs/>
          <w:szCs w:val="32"/>
          <w:rFonts w:ascii="黑体" w:hAnsi="黑体" w:eastAsia="黑体" w:hint="eastAsia"/>
        </w:rPr>
      </w:pPr>
      <w:r>
        <w:rPr>
          <w:sz w:val="32"/>
          <w:lang w:val="en-US" w:eastAsia="zh-CN"/>
          <w:bCs/>
          <w:szCs w:val="32"/>
          <w:rFonts w:ascii="黑体" w:hAnsi="黑体" w:eastAsia="黑体" w:hint="eastAsia"/>
        </w:rPr>
        <w:t xml:space="preserve">国有资本经营预算财政拨款支出决算表</w:t>
      </w:r>
      <w:r>
        <w:rPr>
          <w:color w:val="000000"/>
          <w:sz w:val="20"/>
          <w:lang w:val="en-US" w:eastAsia="zh-CN"/>
          <w:kern w:val="0"/>
          <w:szCs w:val="20"/>
          <w:rFonts w:ascii="宋体" w:hAnsi="宋体" w:eastAsia="宋体" w:hint="eastAsia"/>
        </w:rPr>
      </w:r>
    </w:p>
    <w:tbl>
      <w:tblPr>
        <w:tblW w:w="0" w:type="auto"/>
        <w:jc w:val="center"/>
        <w:tblInd w:type="dxa" w:w="0.000000"/>
        <w:tblLayout w:type="fixed"/>
        <w:tblLook w:noVBand="0" w:noHBand="0" w:lastColumn="0" w:firstColumn="0" w:lastRow="0" w:firstRow="0" w:val="04a0"/>
        <w:tblBorders>
          <w:top w:val="nil"/>
          <w:left w:val="nil"/>
          <w:bottom w:val="nil"/>
          <w:right w:val="nil"/>
          <w:insideH w:val="nil"/>
          <w:insideV w:val="nil"/>
        </w:tblBorders>
        <w:tblCellMar>
          <w:top w:type="dxa" w:w="0.000000"/>
          <w:bottom w:type="dxa" w:w="0.000000"/>
          <w:left w:type="dxa" w:w="80.000000"/>
          <w:right w:type="dxa" w:w="80.000000"/>
        </w:tblCellMar>
      </w:tblPr>
      <w:tblGrid>
        <w:gridCol w:w="5979.000000"/>
        <w:gridCol w:w="2000.000000"/>
        <w:gridCol w:w="5979.000000"/>
      </w:tblGrid>
      <w:tr>
        <w:tblPrEx>
          <w:tblBorders>
            <w:top w:val="nil"/>
            <w:left w:val="nil"/>
            <w:bottom w:val="nil"/>
            <w:right w:val="nil"/>
            <w:insideH w:val="nil"/>
            <w:insideV w:val="nil"/>
          </w:tblBorders>
        </w:tblPrEx>
        <w:trPr>
          <w:trHeight w:val="0" w:hRule="auto"/>
        </w:trPr>
        <w:tc>
          <w:tcPr>
            <w:tcW w:w="13958" w:type="dxa"/>
            <w:gridSpan w:val="3"/>
            <w:vAlign w:val="center"/>
            <w:textDirection w:val="lrTb"/>
          </w:tcPr>
          <w:p>
            <w:pPr>
              <w:pStyle w:val="Normal"/>
              <w:widowControl w:val="0"/>
              <w:jc w:val="end"/>
              <w:divId w:val="0"/>
              <w:rPr>
                <w:sz w:val="19"/>
                <w:lang w:val="en-US" w:eastAsia="zh-CN" w:bidi="ar-SA"/>
                <w:kern w:val="2"/>
                <w:szCs w:val="24"/>
                <w:rFonts w:ascii="宋体" w:hAnsi="宋体" w:eastAsia="宋体"/>
              </w:rPr>
            </w:pPr>
            <w:r>
              <w:rPr>
                <w:sz w:val="19"/>
                <w:lang w:val="en-US" w:eastAsia="zh-CN" w:bidi="ar-SA"/>
                <w:kern w:val="2"/>
                <w:szCs w:val="24"/>
                <w:rFonts w:ascii="宋体" w:hAnsi="宋体" w:eastAsia="宋体"/>
              </w:rPr>
              <w:t xml:space="preserve">公开08表</w:t>
            </w:r>
            <w:r>
              <w:rPr>
                <w:sz w:val="32"/>
                <w:lang w:val="en-US" w:eastAsia="zh-CN" w:bidi="ar-SA"/>
                <w:kern w:val="2"/>
                <w:szCs w:val="24"/>
                <w:rFonts w:ascii="Calibri" w:hAnsi="Calibri" w:eastAsia="仿宋_GB2312"/>
              </w:rPr>
            </w:r>
          </w:p>
        </w:tc>
      </w:tr>
      <w:tr>
        <w:tblPrEx>
          <w:tblBorders>
            <w:top w:val="nil"/>
            <w:left w:val="nil"/>
            <w:bottom w:val="nil"/>
            <w:right w:val="nil"/>
            <w:insideH w:val="nil"/>
            <w:insideV w:val="nil"/>
          </w:tblBorders>
        </w:tblPrEx>
        <w:trPr>
          <w:trHeight w:val="0" w:hRule="auto"/>
        </w:trPr>
        <w:tc>
          <w:tcPr>
            <w:tcW w:w="5979" w:type="dxa"/>
            <w:vAlign w:val="center"/>
            <w:textDirection w:val="lrTb"/>
          </w:tcPr>
          <w:p>
            <w:pPr>
              <w:pStyle w:val="Normal"/>
              <w:widowControl w:val="0"/>
              <w:jc w:val="start"/>
              <w:divId w:val="0"/>
              <w:rPr>
                <w:sz w:val="19"/>
                <w:lang w:val="en-US" w:eastAsia="zh-CN" w:bidi="ar-SA"/>
                <w:kern w:val="2"/>
                <w:szCs w:val="24"/>
                <w:rFonts w:ascii="宋体" w:hAnsi="宋体" w:eastAsia="宋体"/>
              </w:rPr>
            </w:pPr>
            <w:r>
              <w:rPr>
                <w:sz w:val="19"/>
                <w:lang w:val="en-US" w:eastAsia="zh-CN" w:bidi="ar-SA"/>
                <w:kern w:val="2"/>
                <w:szCs w:val="24"/>
                <w:rFonts w:ascii="宋体" w:hAnsi="宋体" w:eastAsia="宋体"/>
              </w:rPr>
              <w:t xml:space="preserve">单位：许昌市河湖事务中心</w:t>
            </w:r>
            <w:r>
              <w:rPr>
                <w:sz w:val="32"/>
                <w:lang w:val="en-US" w:eastAsia="zh-CN" w:bidi="ar-SA"/>
                <w:kern w:val="2"/>
                <w:szCs w:val="24"/>
                <w:rFonts w:ascii="Calibri" w:hAnsi="Calibri" w:eastAsia="仿宋_GB2312"/>
              </w:rPr>
            </w:r>
          </w:p>
        </w:tc>
        <w:tc>
          <w:tcPr>
            <w:tcW w:w="2000" w:type="dxa"/>
            <w:vAlign w:val="center"/>
            <w:textDirection w:val="lrTb"/>
          </w:tcPr>
          <w:p>
            <w:pPr>
              <w:pStyle w:val="Normal"/>
              <w:widowControl w:val="0"/>
              <w:jc w:val="center"/>
              <w:divId w:val="0"/>
              <w:rPr>
                <w:sz w:val="19"/>
                <w:lang w:val="en-US" w:eastAsia="zh-CN" w:bidi="ar-SA"/>
                <w:kern w:val="2"/>
                <w:szCs w:val="24"/>
                <w:rFonts w:ascii="宋体" w:hAnsi="宋体" w:eastAsia="宋体"/>
              </w:rPr>
            </w:pPr>
            <w:r>
              <w:rPr>
                <w:sz w:val="19"/>
                <w:lang w:val="en-US" w:eastAsia="zh-CN" w:bidi="ar-SA"/>
                <w:kern w:val="2"/>
                <w:szCs w:val="24"/>
                <w:rFonts w:ascii="宋体" w:hAnsi="宋体" w:eastAsia="宋体"/>
              </w:rPr>
              <w:t xml:space="preserve">2025年度</w:t>
            </w:r>
            <w:r>
              <w:rPr>
                <w:sz w:val="32"/>
                <w:lang w:val="en-US" w:eastAsia="zh-CN" w:bidi="ar-SA"/>
                <w:kern w:val="2"/>
                <w:szCs w:val="24"/>
                <w:rFonts w:ascii="Calibri" w:hAnsi="Calibri" w:eastAsia="仿宋_GB2312"/>
              </w:rPr>
            </w:r>
          </w:p>
        </w:tc>
        <w:tc>
          <w:tcPr>
            <w:tcW w:w="5979" w:type="dxa"/>
            <w:vAlign w:val="center"/>
            <w:textDirection w:val="lrTb"/>
          </w:tcPr>
          <w:p>
            <w:pPr>
              <w:pStyle w:val="Normal"/>
              <w:widowControl w:val="0"/>
              <w:jc w:val="end"/>
              <w:divId w:val="0"/>
              <w:rPr>
                <w:sz w:val="19"/>
                <w:lang w:val="en-US" w:eastAsia="zh-CN" w:bidi="ar-SA"/>
                <w:kern w:val="2"/>
                <w:szCs w:val="24"/>
                <w:rFonts w:ascii="宋体" w:hAnsi="宋体" w:eastAsia="宋体"/>
              </w:rPr>
            </w:pPr>
            <w:r>
              <w:rPr>
                <w:sz w:val="19"/>
                <w:lang w:val="en-US" w:eastAsia="zh-CN" w:bidi="ar-SA"/>
                <w:kern w:val="2"/>
                <w:szCs w:val="24"/>
                <w:rFonts w:ascii="宋体" w:hAnsi="宋体" w:eastAsia="宋体"/>
              </w:rPr>
              <w:t xml:space="preserve">单位：万元</w:t>
            </w:r>
            <w:r>
              <w:rPr>
                <w:sz w:val="32"/>
                <w:lang w:val="en-US" w:eastAsia="zh-CN" w:bidi="ar-SA"/>
                <w:kern w:val="2"/>
                <w:szCs w:val="24"/>
                <w:rFonts w:ascii="Calibri" w:hAnsi="Calibri" w:eastAsia="仿宋_GB2312"/>
              </w:rPr>
            </w:r>
          </w:p>
        </w:tc>
      </w:tr>
    </w:tbl>
    <w:p>
      <w:pPr>
        <w:pStyle w:val="Normal"/>
        <w:snapToGrid w:val="0"/>
        <w:spacing w:after="0" w:before="0" w:line="0" w:lineRule="auto"/>
        <w:rPr>
          <w:sz w:val="8"/>
        </w:rPr>
      </w:pPr>
      <w:r>
        <w:rPr>
          <w:sz w:val="8"/>
        </w:rPr>
        <w:t xml:space="preserve"> </w:t>
      </w:r>
      <w:r/>
    </w:p>
    <w:tbl>
      <w:tblPr>
        <w:tblW w:w="0" w:type="auto"/>
        <w:jc w:val="center"/>
        <w:tblInd w:type="dxa" w:w="0.000000"/>
        <w:tblLayout w:type="fixed"/>
        <w:tblLook w:noVBand="0" w:noHBand="0" w:lastColumn="0" w:firstColumn="0" w:lastRow="0" w:firstRow="0" w:val="04a0"/>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type="dxa" w:w="0.000000"/>
          <w:bottom w:type="dxa" w:w="0.000000"/>
          <w:left w:type="dxa" w:w="80.000000"/>
          <w:right w:type="dxa" w:w="80.000000"/>
        </w:tblCellMar>
      </w:tblPr>
      <w:tblGrid>
        <w:gridCol w:w="2520.000000"/>
        <w:gridCol w:w="4320.000000"/>
        <w:gridCol w:w="2380.000000"/>
        <w:gridCol w:w="2380.000000"/>
        <w:gridCol w:w="2358.000000"/>
      </w:tblGrid>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9" w:hRule="exact"/>
        </w:trPr>
        <w:tc>
          <w:tcPr>
            <w:tcW w:w="6840" w:type="dxa"/>
            <w:gridSpan w:val="2"/>
            <w:vAlign w:val="center"/>
            <w:textDirection w:val="lrTb"/>
          </w:tcPr>
          <w:p>
            <w:pPr>
              <w:pStyle w:val="Normal"/>
              <w:widowControl w:val="0"/>
              <w:snapToGrid w:val="0"/>
              <w:jc w:val="center"/>
              <w:divId w:val="0"/>
              <w:rPr>
                <w:b w:val="0"/>
                <w:i w:val="0"/>
                <w:color w:val="262626"/>
                <w:sz w:val="20"/>
                <w:lang w:val="en-US" w:eastAsia="zh-CN" w:bidi="ar-SA"/>
                <w:kern w:val="2"/>
                <w:szCs w:val="24"/>
                <w:rFonts w:ascii="宋体" w:hAnsi="宋体" w:eastAsia="宋体"/>
              </w:rPr>
            </w:pPr>
            <w:r>
              <w:rPr>
                <w:b w:val="0"/>
                <w:i w:val="0"/>
                <w:color w:val="262626"/>
                <w:sz w:val="20"/>
                <w:lang w:val="en-US" w:eastAsia="zh-CN" w:bidi="ar-SA"/>
                <w:kern w:val="2"/>
                <w:szCs w:val="24"/>
                <w:rFonts w:ascii="宋体" w:hAnsi="宋体" w:eastAsia="宋体"/>
              </w:rPr>
              <w:t xml:space="preserve">项目</w:t>
            </w:r>
            <w:r>
              <w:rPr>
                <w:sz w:val="32"/>
                <w:lang w:val="en-US" w:eastAsia="zh-CN" w:bidi="ar-SA"/>
                <w:kern w:val="2"/>
                <w:szCs w:val="24"/>
                <w:rFonts w:ascii="Calibri" w:hAnsi="Calibri" w:eastAsia="仿宋_GB2312"/>
              </w:rPr>
            </w:r>
          </w:p>
        </w:tc>
        <w:tc>
          <w:tcPr>
            <w:tcW w:w="7118" w:type="dxa"/>
            <w:gridSpan w:val="3"/>
            <w:vAlign w:val="center"/>
            <w:textDirection w:val="lrTb"/>
          </w:tcPr>
          <w:p>
            <w:pPr>
              <w:pStyle w:val="Normal"/>
              <w:widowControl w:val="0"/>
              <w:snapToGrid w:val="0"/>
              <w:jc w:val="center"/>
              <w:divId w:val="0"/>
              <w:rPr>
                <w:b w:val="0"/>
                <w:i w:val="0"/>
                <w:color w:val="262626"/>
                <w:sz w:val="20"/>
                <w:lang w:val="en-US" w:eastAsia="zh-CN" w:bidi="ar-SA"/>
                <w:kern w:val="2"/>
                <w:szCs w:val="24"/>
                <w:rFonts w:ascii="宋体" w:hAnsi="宋体" w:eastAsia="宋体"/>
              </w:rPr>
            </w:pPr>
            <w:r>
              <w:rPr>
                <w:b w:val="0"/>
                <w:i w:val="0"/>
                <w:color w:val="262626"/>
                <w:sz w:val="20"/>
                <w:lang w:val="en-US" w:eastAsia="zh-CN" w:bidi="ar-SA"/>
                <w:kern w:val="2"/>
                <w:szCs w:val="24"/>
                <w:rFonts w:ascii="宋体" w:hAnsi="宋体" w:eastAsia="宋体"/>
              </w:rPr>
              <w:t xml:space="preserve">本年支出</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419" w:hRule="exact"/>
        </w:trPr>
        <w:tc>
          <w:tcPr>
            <w:tcW w:w="2520" w:type="dxa"/>
            <w:vMerge w:val="restart"/>
            <w:vAlign w:val="center"/>
            <w:textDirection w:val="lrTb"/>
          </w:tcPr>
          <w:p>
            <w:pPr>
              <w:pStyle w:val="Normal"/>
              <w:widowControl w:val="0"/>
              <w:snapToGrid w:val="0"/>
              <w:jc w:val="center"/>
              <w:divId w:val="0"/>
              <w:rPr>
                <w:b w:val="0"/>
                <w:i w:val="0"/>
                <w:color w:val="262626"/>
                <w:sz w:val="20"/>
                <w:lang w:val="en-US" w:eastAsia="zh-CN" w:bidi="ar-SA"/>
                <w:kern w:val="2"/>
                <w:szCs w:val="24"/>
                <w:rFonts w:ascii="宋体" w:hAnsi="宋体" w:eastAsia="宋体"/>
              </w:rPr>
            </w:pPr>
            <w:r>
              <w:rPr>
                <w:b w:val="0"/>
                <w:i w:val="0"/>
                <w:color w:val="262626"/>
                <w:sz w:val="20"/>
                <w:lang w:val="en-US" w:eastAsia="zh-CN" w:bidi="ar-SA"/>
                <w:kern w:val="2"/>
                <w:szCs w:val="24"/>
                <w:rFonts w:ascii="宋体" w:hAnsi="宋体" w:eastAsia="宋体"/>
              </w:rPr>
              <w:t xml:space="preserve">科目代码</w:t>
            </w:r>
            <w:r>
              <w:rPr>
                <w:sz w:val="32"/>
                <w:lang w:val="en-US" w:eastAsia="zh-CN" w:bidi="ar-SA"/>
                <w:kern w:val="2"/>
                <w:szCs w:val="24"/>
                <w:rFonts w:ascii="Calibri" w:hAnsi="Calibri" w:eastAsia="仿宋_GB2312"/>
              </w:rPr>
            </w:r>
          </w:p>
        </w:tc>
        <w:tc>
          <w:tcPr>
            <w:tcW w:w="4320" w:type="dxa"/>
            <w:vMerge w:val="restart"/>
            <w:vAlign w:val="center"/>
            <w:textDirection w:val="lrTb"/>
          </w:tcPr>
          <w:p>
            <w:pPr>
              <w:pStyle w:val="Normal"/>
              <w:widowControl w:val="0"/>
              <w:snapToGrid w:val="0"/>
              <w:jc w:val="center"/>
              <w:divId w:val="0"/>
              <w:rPr>
                <w:b w:val="0"/>
                <w:i w:val="0"/>
                <w:color w:val="262626"/>
                <w:sz w:val="20"/>
                <w:lang w:val="en-US" w:eastAsia="zh-CN" w:bidi="ar-SA"/>
                <w:kern w:val="2"/>
                <w:szCs w:val="24"/>
                <w:rFonts w:ascii="宋体" w:hAnsi="宋体" w:eastAsia="宋体"/>
              </w:rPr>
            </w:pPr>
            <w:r>
              <w:rPr>
                <w:b w:val="0"/>
                <w:i w:val="0"/>
                <w:color w:val="262626"/>
                <w:sz w:val="20"/>
                <w:lang w:val="en-US" w:eastAsia="zh-CN" w:bidi="ar-SA"/>
                <w:kern w:val="2"/>
                <w:szCs w:val="24"/>
                <w:rFonts w:ascii="宋体" w:hAnsi="宋体" w:eastAsia="宋体"/>
              </w:rPr>
              <w:t xml:space="preserve">科目名称</w:t>
            </w:r>
            <w:r>
              <w:rPr>
                <w:sz w:val="32"/>
                <w:lang w:val="en-US" w:eastAsia="zh-CN" w:bidi="ar-SA"/>
                <w:kern w:val="2"/>
                <w:szCs w:val="24"/>
                <w:rFonts w:ascii="Calibri" w:hAnsi="Calibri" w:eastAsia="仿宋_GB2312"/>
              </w:rPr>
            </w:r>
          </w:p>
        </w:tc>
        <w:tc>
          <w:tcPr>
            <w:tcW w:w="2380" w:type="dxa"/>
            <w:vMerge w:val="restart"/>
            <w:vAlign w:val="center"/>
            <w:textDirection w:val="lrTb"/>
          </w:tcPr>
          <w:p>
            <w:pPr>
              <w:pStyle w:val="Normal"/>
              <w:widowControl w:val="0"/>
              <w:snapToGrid w:val="0"/>
              <w:jc w:val="center"/>
              <w:divId w:val="0"/>
              <w:rPr>
                <w:b w:val="0"/>
                <w:i w:val="0"/>
                <w:color w:val="262626"/>
                <w:sz w:val="20"/>
                <w:lang w:val="en-US" w:eastAsia="zh-CN" w:bidi="ar-SA"/>
                <w:kern w:val="2"/>
                <w:szCs w:val="24"/>
                <w:rFonts w:ascii="宋体" w:hAnsi="宋体" w:eastAsia="宋体"/>
              </w:rPr>
            </w:pPr>
            <w:r>
              <w:rPr>
                <w:b w:val="0"/>
                <w:i w:val="0"/>
                <w:color w:val="262626"/>
                <w:sz w:val="20"/>
                <w:lang w:val="en-US" w:eastAsia="zh-CN" w:bidi="ar-SA"/>
                <w:kern w:val="2"/>
                <w:szCs w:val="24"/>
                <w:rFonts w:ascii="宋体" w:hAnsi="宋体" w:eastAsia="宋体"/>
              </w:rPr>
              <w:t xml:space="preserve">合计</w:t>
            </w:r>
            <w:r>
              <w:rPr>
                <w:sz w:val="32"/>
                <w:lang w:val="en-US" w:eastAsia="zh-CN" w:bidi="ar-SA"/>
                <w:kern w:val="2"/>
                <w:szCs w:val="24"/>
                <w:rFonts w:ascii="Calibri" w:hAnsi="Calibri" w:eastAsia="仿宋_GB2312"/>
              </w:rPr>
            </w:r>
          </w:p>
        </w:tc>
        <w:tc>
          <w:tcPr>
            <w:tcW w:w="2380" w:type="dxa"/>
            <w:vMerge w:val="restart"/>
            <w:vAlign w:val="center"/>
            <w:textDirection w:val="lrTb"/>
          </w:tcPr>
          <w:p>
            <w:pPr>
              <w:pStyle w:val="Normal"/>
              <w:widowControl w:val="0"/>
              <w:snapToGrid w:val="0"/>
              <w:jc w:val="center"/>
              <w:divId w:val="0"/>
              <w:rPr>
                <w:b w:val="0"/>
                <w:i w:val="0"/>
                <w:color w:val="262626"/>
                <w:sz w:val="20"/>
                <w:lang w:val="en-US" w:eastAsia="zh-CN" w:bidi="ar-SA"/>
                <w:kern w:val="2"/>
                <w:szCs w:val="24"/>
                <w:rFonts w:ascii="宋体" w:hAnsi="宋体" w:eastAsia="宋体"/>
              </w:rPr>
            </w:pPr>
            <w:r>
              <w:rPr>
                <w:b w:val="0"/>
                <w:i w:val="0"/>
                <w:color w:val="262626"/>
                <w:sz w:val="20"/>
                <w:lang w:val="en-US" w:eastAsia="zh-CN" w:bidi="ar-SA"/>
                <w:kern w:val="2"/>
                <w:szCs w:val="24"/>
                <w:rFonts w:ascii="宋体" w:hAnsi="宋体" w:eastAsia="宋体"/>
              </w:rPr>
              <w:t xml:space="preserve">基本支出</w:t>
            </w:r>
            <w:r>
              <w:rPr>
                <w:sz w:val="32"/>
                <w:lang w:val="en-US" w:eastAsia="zh-CN" w:bidi="ar-SA"/>
                <w:kern w:val="2"/>
                <w:szCs w:val="24"/>
                <w:rFonts w:ascii="Calibri" w:hAnsi="Calibri" w:eastAsia="仿宋_GB2312"/>
              </w:rPr>
            </w:r>
          </w:p>
        </w:tc>
        <w:tc>
          <w:tcPr>
            <w:tcW w:w="2358" w:type="dxa"/>
            <w:vMerge w:val="restart"/>
            <w:vAlign w:val="center"/>
            <w:textDirection w:val="lrTb"/>
          </w:tcPr>
          <w:p>
            <w:pPr>
              <w:pStyle w:val="Normal"/>
              <w:widowControl w:val="0"/>
              <w:snapToGrid w:val="0"/>
              <w:jc w:val="center"/>
              <w:divId w:val="0"/>
              <w:rPr>
                <w:b w:val="0"/>
                <w:i w:val="0"/>
                <w:color w:val="262626"/>
                <w:sz w:val="20"/>
                <w:lang w:val="en-US" w:eastAsia="zh-CN" w:bidi="ar-SA"/>
                <w:kern w:val="2"/>
                <w:szCs w:val="24"/>
                <w:rFonts w:ascii="宋体" w:hAnsi="宋体" w:eastAsia="宋体"/>
              </w:rPr>
            </w:pPr>
            <w:r>
              <w:rPr>
                <w:b w:val="0"/>
                <w:i w:val="0"/>
                <w:color w:val="262626"/>
                <w:sz w:val="20"/>
                <w:lang w:val="en-US" w:eastAsia="zh-CN" w:bidi="ar-SA"/>
                <w:kern w:val="2"/>
                <w:szCs w:val="24"/>
                <w:rFonts w:ascii="宋体" w:hAnsi="宋体" w:eastAsia="宋体"/>
              </w:rPr>
              <w:t xml:space="preserve">项目支出</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419" w:hRule="exact"/>
        </w:trPr>
        <w:tc>
          <w:tcPr>
            <w:tcW w:w="252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32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3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3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358"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419" w:hRule="exact"/>
        </w:trPr>
        <w:tc>
          <w:tcPr>
            <w:tcW w:w="252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32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3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38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358"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9" w:hRule="exact"/>
        </w:trPr>
        <w:tc>
          <w:tcPr>
            <w:tcW w:w="6840" w:type="dxa"/>
            <w:gridSpan w:val="2"/>
            <w:vAlign w:val="center"/>
            <w:textDirection w:val="lrTb"/>
          </w:tcPr>
          <w:p>
            <w:pPr>
              <w:pStyle w:val="Normal"/>
              <w:widowControl w:val="0"/>
              <w:snapToGrid w:val="0"/>
              <w:jc w:val="center"/>
              <w:divId w:val="0"/>
              <w:rPr>
                <w:b w:val="0"/>
                <w:i w:val="0"/>
                <w:color w:val="262626"/>
                <w:sz w:val="20"/>
                <w:lang w:val="en-US" w:eastAsia="zh-CN" w:bidi="ar-SA"/>
                <w:kern w:val="2"/>
                <w:szCs w:val="24"/>
                <w:rFonts w:ascii="宋体" w:hAnsi="宋体" w:eastAsia="宋体"/>
              </w:rPr>
            </w:pPr>
            <w:r>
              <w:rPr>
                <w:b w:val="0"/>
                <w:i w:val="0"/>
                <w:color w:val="262626"/>
                <w:sz w:val="20"/>
                <w:lang w:val="en-US" w:eastAsia="zh-CN" w:bidi="ar-SA"/>
                <w:kern w:val="2"/>
                <w:szCs w:val="24"/>
                <w:rFonts w:ascii="宋体" w:hAnsi="宋体" w:eastAsia="宋体"/>
              </w:rPr>
              <w:t xml:space="preserve">栏次</w:t>
            </w:r>
            <w:r>
              <w:rPr>
                <w:sz w:val="32"/>
                <w:lang w:val="en-US" w:eastAsia="zh-CN" w:bidi="ar-SA"/>
                <w:kern w:val="2"/>
                <w:szCs w:val="24"/>
                <w:rFonts w:ascii="Calibri" w:hAnsi="Calibri" w:eastAsia="仿宋_GB2312"/>
              </w:rPr>
            </w:r>
          </w:p>
        </w:tc>
        <w:tc>
          <w:tcPr>
            <w:tcW w:w="2380" w:type="dxa"/>
            <w:vAlign w:val="center"/>
            <w:textDirection w:val="lrTb"/>
          </w:tcPr>
          <w:p>
            <w:pPr>
              <w:pStyle w:val="Normal"/>
              <w:widowControl w:val="0"/>
              <w:snapToGrid w:val="0"/>
              <w:jc w:val="center"/>
              <w:divId w:val="0"/>
              <w:rPr>
                <w:b w:val="0"/>
                <w:i w:val="0"/>
                <w:color w:val="262626"/>
                <w:sz w:val="20"/>
                <w:lang w:val="en-US" w:eastAsia="zh-CN" w:bidi="ar-SA"/>
                <w:kern w:val="2"/>
                <w:szCs w:val="24"/>
                <w:rFonts w:ascii="宋体" w:hAnsi="宋体" w:eastAsia="宋体"/>
              </w:rPr>
            </w:pPr>
            <w:r>
              <w:rPr>
                <w:b w:val="0"/>
                <w:i w:val="0"/>
                <w:color w:val="262626"/>
                <w:sz w:val="20"/>
                <w:lang w:val="en-US" w:eastAsia="zh-CN" w:bidi="ar-SA"/>
                <w:kern w:val="2"/>
                <w:szCs w:val="24"/>
                <w:rFonts w:ascii="宋体" w:hAnsi="宋体" w:eastAsia="宋体"/>
              </w:rPr>
              <w:t xml:space="preserve">1</w:t>
            </w:r>
            <w:r>
              <w:rPr>
                <w:sz w:val="32"/>
                <w:lang w:val="en-US" w:eastAsia="zh-CN" w:bidi="ar-SA"/>
                <w:kern w:val="2"/>
                <w:szCs w:val="24"/>
                <w:rFonts w:ascii="Calibri" w:hAnsi="Calibri" w:eastAsia="仿宋_GB2312"/>
              </w:rPr>
            </w:r>
          </w:p>
        </w:tc>
        <w:tc>
          <w:tcPr>
            <w:tcW w:w="2380" w:type="dxa"/>
            <w:vAlign w:val="center"/>
            <w:textDirection w:val="lrTb"/>
          </w:tcPr>
          <w:p>
            <w:pPr>
              <w:pStyle w:val="Normal"/>
              <w:widowControl w:val="0"/>
              <w:snapToGrid w:val="0"/>
              <w:jc w:val="center"/>
              <w:divId w:val="0"/>
              <w:rPr>
                <w:b w:val="0"/>
                <w:i w:val="0"/>
                <w:color w:val="262626"/>
                <w:sz w:val="20"/>
                <w:lang w:val="en-US" w:eastAsia="zh-CN" w:bidi="ar-SA"/>
                <w:kern w:val="2"/>
                <w:szCs w:val="24"/>
                <w:rFonts w:ascii="宋体" w:hAnsi="宋体" w:eastAsia="宋体"/>
              </w:rPr>
            </w:pPr>
            <w:r>
              <w:rPr>
                <w:b w:val="0"/>
                <w:i w:val="0"/>
                <w:color w:val="262626"/>
                <w:sz w:val="20"/>
                <w:lang w:val="en-US" w:eastAsia="zh-CN" w:bidi="ar-SA"/>
                <w:kern w:val="2"/>
                <w:szCs w:val="24"/>
                <w:rFonts w:ascii="宋体" w:hAnsi="宋体" w:eastAsia="宋体"/>
              </w:rPr>
              <w:t xml:space="preserve">2</w:t>
            </w:r>
            <w:r>
              <w:rPr>
                <w:sz w:val="32"/>
                <w:lang w:val="en-US" w:eastAsia="zh-CN" w:bidi="ar-SA"/>
                <w:kern w:val="2"/>
                <w:szCs w:val="24"/>
                <w:rFonts w:ascii="Calibri" w:hAnsi="Calibri" w:eastAsia="仿宋_GB2312"/>
              </w:rPr>
            </w:r>
          </w:p>
        </w:tc>
        <w:tc>
          <w:tcPr>
            <w:tcW w:w="2358" w:type="dxa"/>
            <w:vAlign w:val="center"/>
            <w:textDirection w:val="lrTb"/>
          </w:tcPr>
          <w:p>
            <w:pPr>
              <w:pStyle w:val="Normal"/>
              <w:widowControl w:val="0"/>
              <w:snapToGrid w:val="0"/>
              <w:jc w:val="center"/>
              <w:divId w:val="0"/>
              <w:rPr>
                <w:b w:val="0"/>
                <w:i w:val="0"/>
                <w:color w:val="262626"/>
                <w:sz w:val="20"/>
                <w:lang w:val="en-US" w:eastAsia="zh-CN" w:bidi="ar-SA"/>
                <w:kern w:val="2"/>
                <w:szCs w:val="24"/>
                <w:rFonts w:ascii="宋体" w:hAnsi="宋体" w:eastAsia="宋体"/>
              </w:rPr>
            </w:pPr>
            <w:r>
              <w:rPr>
                <w:b w:val="0"/>
                <w:i w:val="0"/>
                <w:color w:val="262626"/>
                <w:sz w:val="20"/>
                <w:lang w:val="en-US" w:eastAsia="zh-CN" w:bidi="ar-SA"/>
                <w:kern w:val="2"/>
                <w:szCs w:val="24"/>
                <w:rFonts w:ascii="宋体" w:hAnsi="宋体" w:eastAsia="宋体"/>
              </w:rPr>
              <w:t xml:space="preserve">3</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9" w:hRule="exact"/>
        </w:trPr>
        <w:tc>
          <w:tcPr>
            <w:tcW w:w="6840" w:type="dxa"/>
            <w:gridSpan w:val="2"/>
            <w:vAlign w:val="center"/>
            <w:textDirection w:val="lrTb"/>
          </w:tcPr>
          <w:p>
            <w:pPr>
              <w:pStyle w:val="Normal"/>
              <w:widowControl w:val="0"/>
              <w:snapToGrid w:val="0"/>
              <w:jc w:val="center"/>
              <w:divId w:val="0"/>
              <w:rPr>
                <w:b w:val="0"/>
                <w:i w:val="0"/>
                <w:color w:val="262626"/>
                <w:sz w:val="20"/>
                <w:lang w:val="en-US" w:eastAsia="zh-CN" w:bidi="ar-SA"/>
                <w:kern w:val="2"/>
                <w:szCs w:val="24"/>
                <w:rFonts w:ascii="宋体" w:hAnsi="宋体" w:eastAsia="宋体"/>
              </w:rPr>
            </w:pPr>
            <w:r>
              <w:rPr>
                <w:b w:val="0"/>
                <w:i w:val="0"/>
                <w:color w:val="262626"/>
                <w:sz w:val="20"/>
                <w:lang w:val="en-US" w:eastAsia="zh-CN" w:bidi="ar-SA"/>
                <w:kern w:val="2"/>
                <w:szCs w:val="24"/>
                <w:rFonts w:ascii="宋体" w:hAnsi="宋体" w:eastAsia="宋体"/>
              </w:rPr>
              <w:t xml:space="preserve">合计</w:t>
            </w:r>
            <w:r>
              <w:rPr>
                <w:sz w:val="32"/>
                <w:lang w:val="en-US" w:eastAsia="zh-CN" w:bidi="ar-SA"/>
                <w:kern w:val="2"/>
                <w:szCs w:val="24"/>
                <w:rFonts w:ascii="Calibri" w:hAnsi="Calibri" w:eastAsia="仿宋_GB2312"/>
              </w:rPr>
            </w:r>
          </w:p>
        </w:tc>
        <w:tc>
          <w:tcPr>
            <w:tcW w:w="2380" w:type="dxa"/>
            <w:vAlign w:val="center"/>
            <w:textDirection w:val="lrTb"/>
          </w:tcPr>
          <w:p>
            <w:pPr>
              <w:pStyle w:val="Normal"/>
              <w:widowControl w:val="0"/>
              <w:snapToGrid w:val="0"/>
              <w:jc w:val="end"/>
              <w:divId w:val="0"/>
              <w:rPr>
                <w:b w:val="1"/>
                <w:i w:val="0"/>
                <w:color w:val="262626"/>
                <w:sz w:val="20"/>
                <w:lang w:val="en-US" w:eastAsia="zh-CN" w:bidi="ar-SA"/>
                <w:kern w:val="2"/>
                <w:szCs w:val="24"/>
                <w:rFonts w:ascii="宋体" w:hAnsi="宋体" w:eastAsia="宋体"/>
              </w:rPr>
            </w:pPr>
            <w:r>
              <w:rPr>
                <w:b w:val="1"/>
                <w:i w:val="0"/>
                <w:color w:val="262626"/>
                <w:sz w:val="20"/>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2380" w:type="dxa"/>
            <w:vAlign w:val="center"/>
            <w:textDirection w:val="lrTb"/>
          </w:tcPr>
          <w:p>
            <w:pPr>
              <w:pStyle w:val="Normal"/>
              <w:widowControl w:val="0"/>
              <w:snapToGrid w:val="0"/>
              <w:jc w:val="end"/>
              <w:divId w:val="0"/>
              <w:rPr>
                <w:b w:val="1"/>
                <w:i w:val="0"/>
                <w:color w:val="262626"/>
                <w:sz w:val="20"/>
                <w:lang w:val="en-US" w:eastAsia="zh-CN" w:bidi="ar-SA"/>
                <w:kern w:val="2"/>
                <w:szCs w:val="24"/>
                <w:rFonts w:ascii="宋体" w:hAnsi="宋体" w:eastAsia="宋体"/>
              </w:rPr>
            </w:pPr>
            <w:r>
              <w:rPr>
                <w:b w:val="1"/>
                <w:i w:val="0"/>
                <w:color w:val="262626"/>
                <w:sz w:val="20"/>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2358" w:type="dxa"/>
            <w:vAlign w:val="center"/>
            <w:textDirection w:val="lrTb"/>
          </w:tcPr>
          <w:p>
            <w:pPr>
              <w:pStyle w:val="Normal"/>
              <w:widowControl w:val="0"/>
              <w:snapToGrid w:val="0"/>
              <w:jc w:val="end"/>
              <w:divId w:val="0"/>
              <w:rPr>
                <w:b w:val="1"/>
                <w:i w:val="0"/>
                <w:color w:val="262626"/>
                <w:sz w:val="20"/>
                <w:lang w:val="en-US" w:eastAsia="zh-CN" w:bidi="ar-SA"/>
                <w:kern w:val="2"/>
                <w:szCs w:val="24"/>
                <w:rFonts w:ascii="宋体" w:hAnsi="宋体" w:eastAsia="宋体"/>
              </w:rPr>
            </w:pPr>
            <w:r>
              <w:rPr>
                <w:b w:val="1"/>
                <w:i w:val="0"/>
                <w:color w:val="262626"/>
                <w:sz w:val="20"/>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9" w:hRule="exact"/>
        </w:trPr>
        <w:tc>
          <w:tcPr>
            <w:tcW w:w="25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432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3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380"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358" w:type="dxa"/>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419" w:hRule="exact"/>
        </w:trPr>
        <w:tc>
          <w:tcPr>
            <w:tcW w:w="13958" w:type="dxa"/>
            <w:gridSpan w:val="5"/>
            <w:vAlign w:val="center"/>
            <w:textDirection w:val="lrTb"/>
          </w:tcPr>
          <w:p>
            <w:pPr>
              <w:pStyle w:val="Normal"/>
              <w:widowControl w:val="0"/>
              <w:snapToGrid w:val="0"/>
              <w:jc w:val="start"/>
              <w:divId w:val="0"/>
              <w:rPr>
                <w:b w:val="0"/>
                <w:i w:val="0"/>
                <w:color w:val="262626"/>
                <w:sz w:val="20"/>
                <w:lang w:val="en-US" w:eastAsia="zh-CN" w:bidi="ar-SA"/>
                <w:kern w:val="2"/>
                <w:szCs w:val="24"/>
                <w:rFonts w:ascii="宋体" w:hAnsi="宋体" w:eastAsia="宋体"/>
              </w:rPr>
            </w:pPr>
            <w:r>
              <w:rPr>
                <w:b w:val="0"/>
                <w:i w:val="0"/>
                <w:color w:val="262626"/>
                <w:sz w:val="20"/>
                <w:lang w:val="en-US" w:eastAsia="zh-CN" w:bidi="ar-SA"/>
                <w:kern w:val="2"/>
                <w:szCs w:val="24"/>
                <w:rFonts w:ascii="宋体" w:hAnsi="宋体" w:eastAsia="宋体"/>
              </w:rPr>
              <w:t xml:space="preserve">注：本表反映部门本年度国有资本经营预算财政拨款支出情况。</w:t>
            </w:r>
            <w:r>
              <w:rPr>
                <w:sz w:val="32"/>
                <w:lang w:val="en-US" w:eastAsia="zh-CN" w:bidi="ar-SA"/>
                <w:kern w:val="2"/>
                <w:szCs w:val="24"/>
                <w:rFonts w:ascii="Calibri" w:hAnsi="Calibri" w:eastAsia="仿宋_GB2312"/>
              </w:rPr>
            </w:r>
          </w:p>
        </w:tc>
      </w:tr>
    </w:tbl>
    <w:p>
      <w:pPr>
        <w:pStyle w:val="Normal"/>
        <w:widowControl w:val="1"/>
        <w:jc w:val="start"/>
        <w:rPr>
          <w:color w:val="000000"/>
          <w:sz w:val="20"/>
          <w:lang w:val="en-US" w:eastAsia="zh-CN"/>
          <w:kern w:val="0"/>
          <w:szCs w:val="20"/>
          <w:rFonts w:ascii="宋体" w:hAnsi="宋体" w:hint="eastAsia"/>
        </w:rPr>
        <w:sectPr>
          <w:type w:val="nextPage"/>
          <w:docGrid w:type="lines" w:linePitch="312" w:charSpace="0"/>
          <w:pgSz w:w="16838" w:h="11906" w:orient="landscape"/>
          <w:pgMar w:top="1800" w:right="1440" w:bottom="1800" w:left="1440" w:header="720" w:footer="720" w:gutter="0"/>
          <w:pgNumType w:fmt="57"/>
          <w:cols w:num="1" w:equalWidth="0" w:space="720">
            <w:col w:space="-12288" w:w="13958"/>
          </w:cols>
          <w:pgNumType w:fmt="57"/>
        </w:sectPr>
      </w:pPr>
      <w:r>
        <w:rPr>
          <w:color w:val="000000"/>
          <w:sz w:val="20"/>
          <w:lang w:val="en-US" w:eastAsia="zh-CN"/>
          <w:kern w:val="0"/>
          <w:szCs w:val="20"/>
          <w:rFonts w:ascii="宋体" w:hAnsi="宋体" w:hint="eastAsia"/>
        </w:rPr>
        <w:t xml:space="preserve">说明：我单位没有使用国有资本经营预算安排的支出，故本表无数据。 </w:t>
      </w:r>
    </w:p>
    <w:p>
      <w:pPr>
        <w:pStyle w:val="Normal"/>
        <w:keepNext w:val="0"/>
        <w:keepLines w:val="0"/>
        <w:pageBreakBefore w:val="0"/>
        <w:wordWrap w:val="0"/>
        <w:overflowPunct w:val="1"/>
        <w:topLinePunct w:val="0"/>
        <w:kinsoku w:val="1"/>
        <w:autoSpaceDE w:val="1"/>
        <w:autoSpaceDN w:val="1"/>
        <w:bidi w:val="0"/>
        <w:jc w:val="center"/>
        <w:rPr>
          <w:sz w:val="32"/>
          <w:lang w:val="en-US" w:eastAsia="zh-CN"/>
          <w:bCs/>
          <w:szCs w:val="32"/>
          <w:rFonts w:ascii="黑体" w:hAnsi="黑体" w:eastAsia="黑体" w:hint="eastAsia"/>
        </w:rPr>
      </w:pPr>
      <w:r>
        <w:rPr>
          <w:sz w:val="32"/>
          <w:lang w:val="en-US" w:eastAsia="zh-CN"/>
          <w:bCs/>
          <w:szCs w:val="32"/>
          <w:rFonts w:ascii="黑体" w:hAnsi="黑体" w:eastAsia="黑体" w:hint="eastAsia"/>
        </w:rPr>
        <w:t xml:space="preserve">一般公共预算财政拨款“三公”经费支出决算表</w:t>
      </w:r>
    </w:p>
    <w:tbl>
      <w:tblPr>
        <w:tblW w:w="0" w:type="auto"/>
        <w:jc w:val="center"/>
        <w:tblInd w:type="dxa" w:w="0.000000"/>
        <w:tblLayout w:type="fixed"/>
        <w:tblLook w:noVBand="0" w:noHBand="0" w:lastColumn="0" w:firstColumn="0" w:lastRow="0" w:firstRow="0" w:val="04a0"/>
        <w:tblBorders>
          <w:top w:val="nil"/>
          <w:left w:val="nil"/>
          <w:bottom w:val="nil"/>
          <w:right w:val="nil"/>
          <w:insideH w:val="nil"/>
          <w:insideV w:val="nil"/>
        </w:tblBorders>
        <w:tblCellMar>
          <w:top w:type="dxa" w:w="0.000000"/>
          <w:bottom w:type="dxa" w:w="0.000000"/>
          <w:left w:type="dxa" w:w="80.000000"/>
          <w:right w:type="dxa" w:w="80.000000"/>
        </w:tblCellMar>
      </w:tblPr>
      <w:tblGrid>
        <w:gridCol w:w="5979.000000"/>
        <w:gridCol w:w="2000.000000"/>
        <w:gridCol w:w="5979.000000"/>
      </w:tblGrid>
      <w:tr>
        <w:tblPrEx>
          <w:tblBorders>
            <w:top w:val="nil"/>
            <w:left w:val="nil"/>
            <w:bottom w:val="nil"/>
            <w:right w:val="nil"/>
            <w:insideH w:val="nil"/>
            <w:insideV w:val="nil"/>
          </w:tblBorders>
        </w:tblPrEx>
        <w:trPr>
          <w:trHeight w:val="0" w:hRule="auto"/>
        </w:trPr>
        <w:tc>
          <w:tcPr>
            <w:tcW w:w="13958" w:type="dxa"/>
            <w:gridSpan w:val="3"/>
            <w:vAlign w:val="center"/>
            <w:textDirection w:val="lrTb"/>
          </w:tcPr>
          <w:p>
            <w:pPr>
              <w:pStyle w:val="Normal"/>
              <w:widowControl w:val="0"/>
              <w:jc w:val="end"/>
              <w:divId w:val="0"/>
              <w:rPr>
                <w:sz w:val="17"/>
                <w:lang w:val="en-US" w:eastAsia="zh-CN" w:bidi="ar-SA"/>
                <w:kern w:val="2"/>
                <w:szCs w:val="24"/>
                <w:rFonts w:ascii="宋体" w:hAnsi="宋体" w:eastAsia="宋体"/>
              </w:rPr>
            </w:pPr>
            <w:r>
              <w:rPr>
                <w:sz w:val="17"/>
                <w:lang w:val="en-US" w:eastAsia="zh-CN" w:bidi="ar-SA"/>
                <w:kern w:val="2"/>
                <w:szCs w:val="24"/>
                <w:rFonts w:ascii="宋体" w:hAnsi="宋体" w:eastAsia="宋体"/>
              </w:rPr>
              <w:t xml:space="preserve">公开09表</w:t>
            </w:r>
            <w:r>
              <w:rPr>
                <w:sz w:val="32"/>
                <w:lang w:val="en-US" w:eastAsia="zh-CN" w:bidi="ar-SA"/>
                <w:kern w:val="2"/>
                <w:szCs w:val="24"/>
                <w:rFonts w:ascii="Calibri" w:hAnsi="Calibri" w:eastAsia="仿宋_GB2312"/>
              </w:rPr>
            </w:r>
          </w:p>
        </w:tc>
      </w:tr>
      <w:tr>
        <w:tblPrEx>
          <w:tblBorders>
            <w:top w:val="nil"/>
            <w:left w:val="nil"/>
            <w:bottom w:val="nil"/>
            <w:right w:val="nil"/>
            <w:insideH w:val="nil"/>
            <w:insideV w:val="nil"/>
          </w:tblBorders>
        </w:tblPrEx>
        <w:trPr>
          <w:trHeight w:val="0" w:hRule="auto"/>
        </w:trPr>
        <w:tc>
          <w:tcPr>
            <w:tcW w:w="5979" w:type="dxa"/>
            <w:vAlign w:val="center"/>
            <w:textDirection w:val="lrTb"/>
          </w:tcPr>
          <w:p>
            <w:pPr>
              <w:pStyle w:val="Normal"/>
              <w:widowControl w:val="0"/>
              <w:jc w:val="start"/>
              <w:divId w:val="0"/>
              <w:rPr>
                <w:sz w:val="17"/>
                <w:lang w:val="en-US" w:eastAsia="zh-CN" w:bidi="ar-SA"/>
                <w:kern w:val="2"/>
                <w:szCs w:val="24"/>
                <w:rFonts w:ascii="宋体" w:hAnsi="宋体" w:eastAsia="宋体"/>
              </w:rPr>
            </w:pPr>
            <w:r>
              <w:rPr>
                <w:sz w:val="17"/>
                <w:lang w:val="en-US" w:eastAsia="zh-CN" w:bidi="ar-SA"/>
                <w:kern w:val="2"/>
                <w:szCs w:val="24"/>
                <w:rFonts w:ascii="宋体" w:hAnsi="宋体" w:eastAsia="宋体"/>
              </w:rPr>
              <w:t xml:space="preserve">单位：许昌市河湖事务中心</w:t>
            </w:r>
            <w:r>
              <w:rPr>
                <w:sz w:val="32"/>
                <w:lang w:val="en-US" w:eastAsia="zh-CN" w:bidi="ar-SA"/>
                <w:kern w:val="2"/>
                <w:szCs w:val="24"/>
                <w:rFonts w:ascii="Calibri" w:hAnsi="Calibri" w:eastAsia="仿宋_GB2312"/>
              </w:rPr>
            </w:r>
          </w:p>
        </w:tc>
        <w:tc>
          <w:tcPr>
            <w:tcW w:w="2000" w:type="dxa"/>
            <w:vAlign w:val="center"/>
            <w:textDirection w:val="lrTb"/>
          </w:tcPr>
          <w:p>
            <w:pPr>
              <w:pStyle w:val="Normal"/>
              <w:widowControl w:val="0"/>
              <w:jc w:val="center"/>
              <w:divId w:val="0"/>
              <w:rPr>
                <w:sz w:val="17"/>
                <w:lang w:val="en-US" w:eastAsia="zh-CN" w:bidi="ar-SA"/>
                <w:kern w:val="2"/>
                <w:szCs w:val="24"/>
                <w:rFonts w:ascii="宋体" w:hAnsi="宋体" w:eastAsia="宋体"/>
              </w:rPr>
            </w:pPr>
            <w:r>
              <w:rPr>
                <w:sz w:val="17"/>
                <w:lang w:val="en-US" w:eastAsia="zh-CN" w:bidi="ar-SA"/>
                <w:kern w:val="2"/>
                <w:szCs w:val="24"/>
                <w:rFonts w:ascii="宋体" w:hAnsi="宋体" w:eastAsia="宋体"/>
              </w:rPr>
              <w:t xml:space="preserve">2025年度</w:t>
            </w:r>
            <w:r>
              <w:rPr>
                <w:sz w:val="32"/>
                <w:lang w:val="en-US" w:eastAsia="zh-CN" w:bidi="ar-SA"/>
                <w:kern w:val="2"/>
                <w:szCs w:val="24"/>
                <w:rFonts w:ascii="Calibri" w:hAnsi="Calibri" w:eastAsia="仿宋_GB2312"/>
              </w:rPr>
            </w:r>
          </w:p>
        </w:tc>
        <w:tc>
          <w:tcPr>
            <w:tcW w:w="5979" w:type="dxa"/>
            <w:vAlign w:val="center"/>
            <w:textDirection w:val="lrTb"/>
          </w:tcPr>
          <w:p>
            <w:pPr>
              <w:pStyle w:val="Normal"/>
              <w:widowControl w:val="0"/>
              <w:jc w:val="end"/>
              <w:divId w:val="0"/>
              <w:rPr>
                <w:sz w:val="17"/>
                <w:lang w:val="en-US" w:eastAsia="zh-CN" w:bidi="ar-SA"/>
                <w:kern w:val="2"/>
                <w:szCs w:val="24"/>
                <w:rFonts w:ascii="宋体" w:hAnsi="宋体" w:eastAsia="宋体"/>
              </w:rPr>
            </w:pPr>
            <w:r>
              <w:rPr>
                <w:sz w:val="17"/>
                <w:lang w:val="en-US" w:eastAsia="zh-CN" w:bidi="ar-SA"/>
                <w:kern w:val="2"/>
                <w:szCs w:val="24"/>
                <w:rFonts w:ascii="宋体" w:hAnsi="宋体" w:eastAsia="宋体"/>
              </w:rPr>
              <w:t xml:space="preserve">单位：万元</w:t>
            </w:r>
            <w:r>
              <w:rPr>
                <w:sz w:val="32"/>
                <w:lang w:val="en-US" w:eastAsia="zh-CN" w:bidi="ar-SA"/>
                <w:kern w:val="2"/>
                <w:szCs w:val="24"/>
                <w:rFonts w:ascii="Calibri" w:hAnsi="Calibri" w:eastAsia="仿宋_GB2312"/>
              </w:rPr>
            </w:r>
          </w:p>
        </w:tc>
      </w:tr>
    </w:tbl>
    <w:p>
      <w:pPr>
        <w:pStyle w:val="Normal"/>
        <w:snapToGrid w:val="0"/>
        <w:spacing w:after="0" w:before="0" w:line="0" w:lineRule="auto"/>
        <w:rPr>
          <w:sz w:val="8"/>
        </w:rPr>
      </w:pPr>
      <w:r>
        <w:rPr>
          <w:sz w:val="8"/>
        </w:rPr>
        <w:t xml:space="preserve"> </w:t>
      </w:r>
      <w:r/>
    </w:p>
    <w:tbl>
      <w:tblPr>
        <w:tblW w:w="0" w:type="auto"/>
        <w:jc w:val="center"/>
        <w:tblInd w:type="dxa" w:w="0.000000"/>
        <w:tblLayout w:type="fixed"/>
        <w:tblLook w:noVBand="0" w:noHBand="0" w:lastColumn="0" w:firstColumn="0" w:lastRow="0" w:firstRow="0" w:val="04a0"/>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type="dxa" w:w="0.000000"/>
          <w:bottom w:type="dxa" w:w="0.000000"/>
          <w:left w:type="dxa" w:w="80.000000"/>
          <w:right w:type="dxa" w:w="80.000000"/>
        </w:tblCellMar>
      </w:tblPr>
      <w:tblGrid>
        <w:gridCol w:w="1160.000000"/>
        <w:gridCol w:w="1160.000000"/>
        <w:gridCol w:w="1160.000000"/>
        <w:gridCol w:w="1160.000000"/>
        <w:gridCol w:w="1160.000000"/>
        <w:gridCol w:w="1160.000000"/>
        <w:gridCol w:w="1160.000000"/>
        <w:gridCol w:w="1160.000000"/>
        <w:gridCol w:w="1160.000000"/>
        <w:gridCol w:w="1160.000000"/>
        <w:gridCol w:w="1160.000000"/>
        <w:gridCol w:w="1198.000000"/>
      </w:tblGrid>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71" w:hRule="exact"/>
        </w:trPr>
        <w:tc>
          <w:tcPr>
            <w:tcW w:w="6960" w:type="dxa"/>
            <w:gridSpan w:val="6"/>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预算数</w:t>
            </w:r>
            <w:r>
              <w:rPr>
                <w:sz w:val="32"/>
                <w:lang w:val="en-US" w:eastAsia="zh-CN" w:bidi="ar-SA"/>
                <w:kern w:val="2"/>
                <w:szCs w:val="24"/>
                <w:rFonts w:ascii="Calibri" w:hAnsi="Calibri" w:eastAsia="仿宋_GB2312"/>
              </w:rPr>
            </w:r>
          </w:p>
        </w:tc>
        <w:tc>
          <w:tcPr>
            <w:tcW w:w="6998" w:type="dxa"/>
            <w:gridSpan w:val="6"/>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决算数</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371" w:hRule="exact"/>
        </w:trPr>
        <w:tc>
          <w:tcPr>
            <w:tcW w:w="1160" w:type="dxa"/>
            <w:vMerge w:val="restart"/>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合计</w:t>
            </w:r>
            <w:r>
              <w:rPr>
                <w:sz w:val="32"/>
                <w:lang w:val="en-US" w:eastAsia="zh-CN" w:bidi="ar-SA"/>
                <w:kern w:val="2"/>
                <w:szCs w:val="24"/>
                <w:rFonts w:ascii="Calibri" w:hAnsi="Calibri" w:eastAsia="仿宋_GB2312"/>
              </w:rPr>
            </w:r>
          </w:p>
        </w:tc>
        <w:tc>
          <w:tcPr>
            <w:tcW w:w="1160" w:type="dxa"/>
            <w:vMerge w:val="restart"/>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因公出国（境）费</w:t>
            </w:r>
            <w:r>
              <w:rPr>
                <w:sz w:val="32"/>
                <w:lang w:val="en-US" w:eastAsia="zh-CN" w:bidi="ar-SA"/>
                <w:kern w:val="2"/>
                <w:szCs w:val="24"/>
                <w:rFonts w:ascii="Calibri" w:hAnsi="Calibri" w:eastAsia="仿宋_GB2312"/>
              </w:rPr>
            </w:r>
          </w:p>
        </w:tc>
        <w:tc>
          <w:tcPr>
            <w:tcW w:w="3480" w:type="dxa"/>
            <w:gridSpan w:val="3"/>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公务用车购置及运行维护费</w:t>
            </w:r>
            <w:r>
              <w:rPr>
                <w:sz w:val="32"/>
                <w:lang w:val="en-US" w:eastAsia="zh-CN" w:bidi="ar-SA"/>
                <w:kern w:val="2"/>
                <w:szCs w:val="24"/>
                <w:rFonts w:ascii="Calibri" w:hAnsi="Calibri" w:eastAsia="仿宋_GB2312"/>
              </w:rPr>
            </w:r>
          </w:p>
        </w:tc>
        <w:tc>
          <w:tcPr>
            <w:tcW w:w="1160" w:type="dxa"/>
            <w:vMerge w:val="restart"/>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公务接待费</w:t>
            </w:r>
            <w:r>
              <w:rPr>
                <w:sz w:val="32"/>
                <w:lang w:val="en-US" w:eastAsia="zh-CN" w:bidi="ar-SA"/>
                <w:kern w:val="2"/>
                <w:szCs w:val="24"/>
                <w:rFonts w:ascii="Calibri" w:hAnsi="Calibri" w:eastAsia="仿宋_GB2312"/>
              </w:rPr>
            </w:r>
          </w:p>
        </w:tc>
        <w:tc>
          <w:tcPr>
            <w:tcW w:w="1160" w:type="dxa"/>
            <w:vMerge w:val="restart"/>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合计</w:t>
            </w:r>
            <w:r>
              <w:rPr>
                <w:sz w:val="32"/>
                <w:lang w:val="en-US" w:eastAsia="zh-CN" w:bidi="ar-SA"/>
                <w:kern w:val="2"/>
                <w:szCs w:val="24"/>
                <w:rFonts w:ascii="Calibri" w:hAnsi="Calibri" w:eastAsia="仿宋_GB2312"/>
              </w:rPr>
            </w:r>
          </w:p>
        </w:tc>
        <w:tc>
          <w:tcPr>
            <w:tcW w:w="1160" w:type="dxa"/>
            <w:vMerge w:val="restart"/>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因公出国（境）费</w:t>
            </w:r>
            <w:r>
              <w:rPr>
                <w:sz w:val="32"/>
                <w:lang w:val="en-US" w:eastAsia="zh-CN" w:bidi="ar-SA"/>
                <w:kern w:val="2"/>
                <w:szCs w:val="24"/>
                <w:rFonts w:ascii="Calibri" w:hAnsi="Calibri" w:eastAsia="仿宋_GB2312"/>
              </w:rPr>
            </w:r>
          </w:p>
        </w:tc>
        <w:tc>
          <w:tcPr>
            <w:tcW w:w="3480" w:type="dxa"/>
            <w:gridSpan w:val="3"/>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公务用车购置及运行维护费</w:t>
            </w:r>
            <w:r>
              <w:rPr>
                <w:sz w:val="32"/>
                <w:lang w:val="en-US" w:eastAsia="zh-CN" w:bidi="ar-SA"/>
                <w:kern w:val="2"/>
                <w:szCs w:val="24"/>
                <w:rFonts w:ascii="Calibri" w:hAnsi="Calibri" w:eastAsia="仿宋_GB2312"/>
              </w:rPr>
            </w:r>
          </w:p>
        </w:tc>
        <w:tc>
          <w:tcPr>
            <w:tcW w:w="1198" w:type="dxa"/>
            <w:vMerge w:val="restart"/>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公务接待费</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cantSplit/>
          <w:trHeight w:val="742" w:hRule="exact"/>
        </w:trPr>
        <w:tc>
          <w:tcPr>
            <w:tcW w:w="11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1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小计</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公务用车购置费</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公务用车运行维护费</w:t>
            </w:r>
            <w:r>
              <w:rPr>
                <w:sz w:val="32"/>
                <w:lang w:val="en-US" w:eastAsia="zh-CN" w:bidi="ar-SA"/>
                <w:kern w:val="2"/>
                <w:szCs w:val="24"/>
                <w:rFonts w:ascii="Calibri" w:hAnsi="Calibri" w:eastAsia="仿宋_GB2312"/>
              </w:rPr>
            </w:r>
          </w:p>
        </w:tc>
        <w:tc>
          <w:tcPr>
            <w:tcW w:w="11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1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160"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小计</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公务用车购置费</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公务用车运行维护费</w:t>
            </w:r>
            <w:r>
              <w:rPr>
                <w:sz w:val="32"/>
                <w:lang w:val="en-US" w:eastAsia="zh-CN" w:bidi="ar-SA"/>
                <w:kern w:val="2"/>
                <w:szCs w:val="24"/>
                <w:rFonts w:ascii="Calibri" w:hAnsi="Calibri" w:eastAsia="仿宋_GB2312"/>
              </w:rPr>
            </w:r>
          </w:p>
        </w:tc>
        <w:tc>
          <w:tcPr>
            <w:tcW w:w="1198" w:type="dxa"/>
            <w:vMerge w:val="continue"/>
            <w:vAlign w:val="center"/>
            <w:textDirection w:val="lrTb"/>
          </w:tcPr>
          <w:p>
            <w:pPr>
              <w:pStyle w:val="Normal"/>
              <w:widowControl w:val="0"/>
              <w:jc w:val="both"/>
              <w:divId w:val="0"/>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71" w:hRule="exact"/>
        </w:trPr>
        <w:tc>
          <w:tcPr>
            <w:tcW w:w="1160" w:type="dxa"/>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1</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2</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3</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4</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6</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7</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8</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9</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10</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11</w:t>
            </w:r>
            <w:r>
              <w:rPr>
                <w:sz w:val="32"/>
                <w:lang w:val="en-US" w:eastAsia="zh-CN" w:bidi="ar-SA"/>
                <w:kern w:val="2"/>
                <w:szCs w:val="24"/>
                <w:rFonts w:ascii="Calibri" w:hAnsi="Calibri" w:eastAsia="仿宋_GB2312"/>
              </w:rPr>
            </w:r>
          </w:p>
        </w:tc>
        <w:tc>
          <w:tcPr>
            <w:tcW w:w="1198" w:type="dxa"/>
            <w:vAlign w:val="center"/>
            <w:textDirection w:val="lrTb"/>
          </w:tcPr>
          <w:p>
            <w:pPr>
              <w:pStyle w:val="Normal"/>
              <w:widowControl w:val="0"/>
              <w:snapToGrid w:val="0"/>
              <w:jc w:val="center"/>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12</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371" w:hRule="exact"/>
        </w:trPr>
        <w:tc>
          <w:tcPr>
            <w:tcW w:w="1160" w:type="dxa"/>
            <w:vAlign w:val="center"/>
            <w:textDirection w:val="lrTb"/>
          </w:tcPr>
          <w:p>
            <w:pPr>
              <w:pStyle w:val="Normal"/>
              <w:widowControl w:val="0"/>
              <w:snapToGrid w:val="0"/>
              <w:jc w:val="end"/>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4.15</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end"/>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end"/>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4.15</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end"/>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end"/>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4.15</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end"/>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end"/>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4.15</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end"/>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end"/>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4.15</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end"/>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1160" w:type="dxa"/>
            <w:vAlign w:val="center"/>
            <w:textDirection w:val="lrTb"/>
          </w:tcPr>
          <w:p>
            <w:pPr>
              <w:pStyle w:val="Normal"/>
              <w:widowControl w:val="0"/>
              <w:snapToGrid w:val="0"/>
              <w:jc w:val="end"/>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4.15</w:t>
            </w:r>
            <w:r>
              <w:rPr>
                <w:sz w:val="32"/>
                <w:lang w:val="en-US" w:eastAsia="zh-CN" w:bidi="ar-SA"/>
                <w:kern w:val="2"/>
                <w:szCs w:val="24"/>
                <w:rFonts w:ascii="Calibri" w:hAnsi="Calibri" w:eastAsia="仿宋_GB2312"/>
              </w:rPr>
            </w:r>
          </w:p>
        </w:tc>
        <w:tc>
          <w:tcPr>
            <w:tcW w:w="1198" w:type="dxa"/>
            <w:vAlign w:val="center"/>
            <w:textDirection w:val="lrTb"/>
          </w:tcPr>
          <w:p>
            <w:pPr>
              <w:pStyle w:val="Normal"/>
              <w:widowControl w:val="0"/>
              <w:snapToGrid w:val="0"/>
              <w:jc w:val="end"/>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r>
      <w:tr>
        <w:tblPrEx>
          <w:tblBorders>
            <w:top w:val="single" w:color="black" w:sz="8" w:space="0"/>
            <w:left w:val="single" w:color="black" w:sz="8" w:space="0"/>
            <w:bottom w:val="single" w:color="black" w:sz="8" w:space="0"/>
            <w:right w:val="single" w:color="black" w:sz="8" w:space="0"/>
            <w:insideH w:val="single" w:color="black" w:sz="8" w:space="0"/>
            <w:insideV w:val="single" w:color="black" w:sz="8" w:space="0"/>
          </w:tblBorders>
        </w:tblPrEx>
        <w:trPr>
          <w:trHeight w:val="742" w:hRule="exact"/>
        </w:trPr>
        <w:tc>
          <w:tcPr>
            <w:tcW w:w="13958" w:type="dxa"/>
            <w:gridSpan w:val="12"/>
            <w:vAlign w:val="center"/>
            <w:textDirection w:val="lrTb"/>
          </w:tcPr>
          <w:p>
            <w:pPr>
              <w:pStyle w:val="Normal"/>
              <w:widowControl w:val="0"/>
              <w:snapToGrid w:val="0"/>
              <w:jc w:val="start"/>
              <w:divId w:val="0"/>
              <w:rPr>
                <w:b w:val="0"/>
                <w:i w:val="0"/>
                <w:color w:val="000000"/>
                <w:sz w:val="17"/>
                <w:lang w:val="en-US" w:eastAsia="zh-CN" w:bidi="ar-SA"/>
                <w:kern w:val="2"/>
                <w:szCs w:val="24"/>
                <w:rFonts w:ascii="宋体" w:hAnsi="宋体" w:eastAsia="宋体"/>
              </w:rPr>
            </w:pPr>
            <w:r>
              <w:rPr>
                <w:b w:val="0"/>
                <w:i w:val="0"/>
                <w:color w:val="000000"/>
                <w:sz w:val="17"/>
                <w:lang w:val="en-US" w:eastAsia="zh-CN" w:bidi="ar-SA"/>
                <w:kern w:val="2"/>
                <w:szCs w:val="24"/>
                <w:rFonts w:ascii="宋体" w:hAnsi="宋体" w:eastAsia="宋体"/>
              </w:rPr>
              <w:t xml:space="preserve">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r>
              <w:rPr>
                <w:sz w:val="32"/>
                <w:lang w:val="en-US" w:eastAsia="zh-CN" w:bidi="ar-SA"/>
                <w:kern w:val="2"/>
                <w:szCs w:val="24"/>
                <w:rFonts w:ascii="Calibri" w:hAnsi="Calibri" w:eastAsia="仿宋_GB2312"/>
              </w:rPr>
            </w:r>
          </w:p>
        </w:tc>
      </w:tr>
    </w:tbl>
    <w:p>
      <w:pPr>
        <w:pStyle w:val="Normal"/>
        <w:sectPr>
          <w:type w:val="nextPage"/>
          <w:docGrid w:type="lines" w:linePitch="312" w:charSpace="0"/>
          <w:pgSz w:w="16838" w:h="11906" w:orient="landscape"/>
          <w:pgMar w:top="1800" w:right="1440" w:bottom="1800" w:left="1440" w:header="720" w:footer="720" w:gutter="0"/>
          <w:pgNumType w:fmt="57"/>
          <w:cols w:num="1" w:equalWidth="0" w:space="425">
            <w:col w:space="-12288" w:w="13958"/>
          </w:cols>
          <w:pgNumType w:fmt="57"/>
        </w:sectPr>
      </w:pP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r>
    </w:p>
    <w:p>
      <w:pPr>
        <w:pStyle w:val="Normal"/>
        <w:widowControl w:val="0"/>
        <w:keepNext w:val="0"/>
        <w:keepLines w:val="0"/>
        <w:jc w:val="center"/>
        <w:suppressLineNumbers w:val="off"/>
        <w:outlineLvl w:val="0"/>
        <w:spacing w:after="0" w:afterAutospacing="0" w:before="0" w:beforeAutospacing="0"/>
        <w:ind w:left="0" w:right="0"/>
        <w:rPr>
          <w:sz w:val="48"/>
          <w:lang w:val="en-US" w:eastAsia="zh-CN"/>
          <w:kern w:val="2"/>
          <w:szCs w:val="48"/>
          <w:rFonts w:ascii="黑体" w:hAnsi="宋体" w:eastAsia="黑体" w:hint="eastAsia"/>
        </w:rPr>
        <w:sectPr>
          <w:type w:val="nextPage"/>
          <w:docGrid w:type="lines" w:linePitch="312" w:charSpace="0"/>
          <w:pgSz w:w="11906" w:h="16838" w:orient="portrait"/>
          <w:pgMar w:top="2098" w:right="1474" w:bottom="1984" w:left="1587" w:header="720" w:footer="720" w:gutter="0"/>
          <w:pgNumType w:fmt="57"/>
          <w:cols w:num="1" w:equalWidth="0" w:space="425">
            <w:col w:space="-12288" w:w="8845"/>
          </w:cols>
          <w:pgNumType w:fmt="57"/>
        </w:sectPr>
      </w:pPr>
      <w:r>
        <w:rPr>
          <w:sz w:val="48"/>
          <w:lang w:val="en-US" w:eastAsia="zh-CN"/>
          <w:kern w:val="2"/>
          <w:szCs w:val="48"/>
          <w:rFonts w:ascii="黑体" w:hAnsi="宋体" w:eastAsia="黑体" w:hint="eastAsia"/>
        </w:rPr>
        <w:t xml:space="preserve">第三部分 2025年度单位决算情况说明</w:t>
      </w:r>
    </w:p>
    <w:p>
      <w:pPr>
        <w:pStyle w:val="Normal"/>
        <w:widowControl w:val="1"/>
        <w:keepNext w:val="0"/>
        <w:keepLines w:val="0"/>
        <w:pageBreakBefore w:val="0"/>
        <w:wordWrap w:val="1"/>
        <w:overflowPunct w:val="1"/>
        <w:topLinePunct w:val="0"/>
        <w:autoSpaceDE w:val="1"/>
        <w:autoSpaceDN w:val="1"/>
        <w:bidi w:val="0"/>
        <w:snapToGrid w:val="1"/>
        <w:jc w:val="both"/>
        <w:outlineLvl w:val="1"/>
        <w:spacing w:line="590" w:lineRule="exact"/>
        <w:ind w:firstLine="640" w:firstLineChars="200"/>
        <w:rPr>
          <w:sz w:val="32"/>
          <w:lang w:val="en-US" w:eastAsia="zh-CN"/>
          <w:rFonts w:ascii="黑体" w:hAnsi="黑体" w:eastAsia="黑体" w:hint="eastAsia"/>
        </w:rPr>
      </w:pPr>
      <w:bookmarkStart w:id="1" w:name="_Toc18504"/>
    </w:p>
    <w:p>
      <w:pPr>
        <w:pStyle w:val="Normal"/>
        <w:widowControl w:val="1"/>
        <w:keepNext w:val="0"/>
        <w:keepLines w:val="0"/>
        <w:pageBreakBefore w:val="0"/>
        <w:wordWrap w:val="1"/>
        <w:overflowPunct w:val="1"/>
        <w:topLinePunct w:val="0"/>
        <w:autoSpaceDE w:val="1"/>
        <w:autoSpaceDN w:val="1"/>
        <w:bidi w:val="0"/>
        <w:snapToGrid w:val="1"/>
        <w:jc w:val="both"/>
        <w:outlineLvl w:val="1"/>
        <w:spacing w:line="590" w:lineRule="exact"/>
        <w:ind w:firstLine="640" w:firstLineChars="200"/>
        <w:rPr>
          <w:sz w:val="32"/>
          <w:lang w:val="en-US" w:eastAsia="zh-CN"/>
          <w:rFonts w:ascii="黑体" w:hAnsi="黑体" w:eastAsia="黑体" w:hint="eastAsia"/>
        </w:rPr>
      </w:pPr>
    </w:p>
    <w:p>
      <w:pPr>
        <w:pStyle w:val="Normal"/>
        <w:widowControl w:val="1"/>
        <w:keepNext w:val="0"/>
        <w:keepLines w:val="0"/>
        <w:pageBreakBefore w:val="0"/>
        <w:wordWrap w:val="1"/>
        <w:overflowPunct w:val="1"/>
        <w:topLinePunct w:val="0"/>
        <w:autoSpaceDE w:val="1"/>
        <w:autoSpaceDN w:val="1"/>
        <w:bidi w:val="0"/>
        <w:snapToGrid w:val="1"/>
        <w:jc w:val="both"/>
        <w:outlineLvl w:val="1"/>
        <w:spacing w:line="590" w:lineRule="exact"/>
        <w:ind w:firstLine="640" w:firstLineChars="200"/>
        <w:rPr>
          <w:sz w:val="32"/>
          <w:lang w:val="en-US" w:eastAsia="zh-CN"/>
          <w:rFonts w:ascii="黑体" w:hAnsi="黑体" w:eastAsia="黑体" w:hint="eastAsia"/>
        </w:rPr>
      </w:pPr>
    </w:p>
    <w:p>
      <w:pPr>
        <w:pStyle w:val="Normal"/>
        <w:widowControl w:val="1"/>
        <w:keepNext w:val="0"/>
        <w:keepLines w:val="0"/>
        <w:pageBreakBefore w:val="0"/>
        <w:wordWrap w:val="1"/>
        <w:overflowPunct w:val="1"/>
        <w:topLinePunct w:val="0"/>
        <w:autoSpaceDE w:val="1"/>
        <w:autoSpaceDN w:val="1"/>
        <w:bidi w:val="0"/>
        <w:snapToGrid w:val="1"/>
        <w:jc w:val="both"/>
        <w:outlineLvl w:val="1"/>
        <w:spacing w:line="590" w:lineRule="exact"/>
        <w:ind w:firstLine="640" w:firstLineChars="200"/>
        <w:rPr>
          <w:sz w:val="32"/>
          <w:lang w:val="en-US" w:eastAsia="zh-CN"/>
          <w:rFonts w:ascii="黑体" w:hAnsi="黑体" w:eastAsia="黑体" w:hint="eastAsia"/>
        </w:rPr>
      </w:pPr>
    </w:p>
    <w:p>
      <w:pPr>
        <w:pStyle w:val="Normal"/>
        <w:widowControl w:val="1"/>
        <w:keepNext w:val="0"/>
        <w:keepLines w:val="0"/>
        <w:pageBreakBefore w:val="0"/>
        <w:wordWrap w:val="1"/>
        <w:overflowPunct w:val="1"/>
        <w:topLinePunct w:val="0"/>
        <w:autoSpaceDE w:val="1"/>
        <w:autoSpaceDN w:val="1"/>
        <w:bidi w:val="0"/>
        <w:snapToGrid w:val="1"/>
        <w:jc w:val="both"/>
        <w:outlineLvl w:val="1"/>
        <w:spacing w:line="590" w:lineRule="exact"/>
        <w:ind w:firstLine="640" w:firstLineChars="200"/>
        <w:rPr>
          <w:sz w:val="32"/>
          <w:lang w:val="en-US" w:eastAsia="zh-CN"/>
          <w:rFonts w:ascii="黑体" w:hAnsi="黑体" w:eastAsia="黑体" w:hint="eastAsia"/>
        </w:rPr>
      </w:pPr>
    </w:p>
    <w:p>
      <w:pPr>
        <w:pStyle w:val="Normal"/>
        <w:widowControl w:val="1"/>
        <w:keepNext w:val="0"/>
        <w:keepLines w:val="0"/>
        <w:pageBreakBefore w:val="0"/>
        <w:wordWrap w:val="1"/>
        <w:overflowPunct w:val="1"/>
        <w:topLinePunct w:val="0"/>
        <w:autoSpaceDE w:val="1"/>
        <w:autoSpaceDN w:val="1"/>
        <w:bidi w:val="0"/>
        <w:snapToGrid w:val="1"/>
        <w:jc w:val="both"/>
        <w:outlineLvl w:val="1"/>
        <w:spacing w:line="590" w:lineRule="exact"/>
        <w:ind w:firstLine="640" w:firstLineChars="200"/>
        <w:rPr>
          <w:sz w:val="32"/>
          <w:lang w:val="en-US" w:eastAsia="zh-CN"/>
          <w:rFonts w:ascii="黑体" w:hAnsi="黑体" w:eastAsia="黑体" w:hint="eastAsia"/>
        </w:rPr>
      </w:pPr>
    </w:p>
    <w:p>
      <w:pPr>
        <w:pStyle w:val="Normal"/>
        <w:widowControl w:val="1"/>
        <w:keepNext w:val="0"/>
        <w:keepLines w:val="0"/>
        <w:pageBreakBefore w:val="0"/>
        <w:wordWrap w:val="1"/>
        <w:overflowPunct w:val="1"/>
        <w:topLinePunct w:val="0"/>
        <w:autoSpaceDE w:val="1"/>
        <w:autoSpaceDN w:val="1"/>
        <w:bidi w:val="0"/>
        <w:snapToGrid w:val="1"/>
        <w:jc w:val="both"/>
        <w:outlineLvl w:val="1"/>
        <w:spacing w:line="590" w:lineRule="exact"/>
        <w:ind w:firstLine="640" w:firstLineChars="200"/>
        <w:rPr>
          <w:sz w:val="32"/>
          <w:lang w:val="en-US" w:eastAsia="zh-CN"/>
          <w:rFonts w:ascii="黑体" w:hAnsi="黑体" w:eastAsia="黑体" w:hint="eastAsia"/>
        </w:rPr>
      </w:pPr>
    </w:p>
    <w:p>
      <w:pPr>
        <w:pStyle w:val="Normal"/>
        <w:widowControl w:val="1"/>
        <w:keepNext w:val="0"/>
        <w:keepLines w:val="0"/>
        <w:pageBreakBefore w:val="0"/>
        <w:wordWrap w:val="1"/>
        <w:overflowPunct w:val="1"/>
        <w:topLinePunct w:val="0"/>
        <w:autoSpaceDE w:val="1"/>
        <w:autoSpaceDN w:val="1"/>
        <w:bidi w:val="0"/>
        <w:snapToGrid w:val="1"/>
        <w:jc w:val="both"/>
        <w:outlineLvl w:val="1"/>
        <w:spacing w:line="590" w:lineRule="exact"/>
        <w:ind w:firstLine="640" w:firstLineChars="200"/>
        <w:rPr>
          <w:sz w:val="32"/>
          <w:lang w:val="en-US" w:eastAsia="zh-CN"/>
          <w:rFonts w:ascii="黑体" w:hAnsi="黑体" w:eastAsia="黑体" w:hint="eastAsia"/>
        </w:rPr>
      </w:pPr>
    </w:p>
    <w:p>
      <w:pPr>
        <w:pStyle w:val="Normal"/>
        <w:widowControl w:val="1"/>
        <w:keepNext w:val="0"/>
        <w:keepLines w:val="0"/>
        <w:pageBreakBefore w:val="0"/>
        <w:wordWrap w:val="1"/>
        <w:overflowPunct w:val="1"/>
        <w:topLinePunct w:val="0"/>
        <w:autoSpaceDE w:val="1"/>
        <w:autoSpaceDN w:val="1"/>
        <w:bidi w:val="0"/>
        <w:snapToGrid w:val="1"/>
        <w:jc w:val="both"/>
        <w:outlineLvl w:val="1"/>
        <w:spacing w:line="590" w:lineRule="exact"/>
        <w:ind w:firstLine="640" w:firstLineChars="200"/>
        <w:rPr>
          <w:sz w:val="32"/>
          <w:lang w:val="en-US" w:eastAsia="zh-CN"/>
          <w:rFonts w:ascii="黑体" w:hAnsi="黑体" w:eastAsia="黑体" w:hint="eastAsia"/>
        </w:rPr>
      </w:pPr>
    </w:p>
    <w:p>
      <w:pPr>
        <w:pStyle w:val="Normal"/>
        <w:widowControl w:val="1"/>
        <w:keepNext w:val="0"/>
        <w:keepLines w:val="0"/>
        <w:pageBreakBefore w:val="0"/>
        <w:wordWrap w:val="1"/>
        <w:overflowPunct w:val="1"/>
        <w:topLinePunct w:val="0"/>
        <w:autoSpaceDE w:val="1"/>
        <w:autoSpaceDN w:val="1"/>
        <w:bidi w:val="0"/>
        <w:snapToGrid w:val="1"/>
        <w:jc w:val="both"/>
        <w:outlineLvl w:val="1"/>
        <w:spacing w:line="590" w:lineRule="exact"/>
        <w:ind w:firstLine="640" w:firstLineChars="200"/>
        <w:rPr>
          <w:sz w:val="32"/>
          <w:lang w:val="en-US" w:eastAsia="zh-CN"/>
          <w:rFonts w:ascii="黑体" w:hAnsi="黑体" w:eastAsia="黑体" w:hint="eastAsia"/>
        </w:rPr>
      </w:pPr>
    </w:p>
    <w:p>
      <w:pPr>
        <w:pStyle w:val="Normal"/>
        <w:widowControl w:val="1"/>
        <w:keepNext w:val="0"/>
        <w:keepLines w:val="0"/>
        <w:pageBreakBefore w:val="0"/>
        <w:wordWrap w:val="1"/>
        <w:overflowPunct w:val="1"/>
        <w:topLinePunct w:val="0"/>
        <w:autoSpaceDE w:val="1"/>
        <w:autoSpaceDN w:val="1"/>
        <w:bidi w:val="0"/>
        <w:snapToGrid w:val="1"/>
        <w:jc w:val="both"/>
        <w:outlineLvl w:val="1"/>
        <w:spacing w:line="590" w:lineRule="exact"/>
        <w:ind w:firstLine="640" w:firstLineChars="200"/>
        <w:rPr>
          <w:sz w:val="32"/>
          <w:lang w:val="en-US" w:eastAsia="zh-CN"/>
          <w:rFonts w:ascii="黑体" w:hAnsi="黑体" w:eastAsia="黑体" w:hint="eastAsia"/>
        </w:rPr>
      </w:pPr>
    </w:p>
    <w:p>
      <w:pPr>
        <w:pStyle w:val="Normal"/>
        <w:widowControl w:val="1"/>
        <w:keepNext w:val="0"/>
        <w:keepLines w:val="0"/>
        <w:pageBreakBefore w:val="0"/>
        <w:wordWrap w:val="1"/>
        <w:overflowPunct w:val="1"/>
        <w:topLinePunct w:val="0"/>
        <w:kinsoku w:val="1"/>
        <w:autoSpaceDE w:val="1"/>
        <w:autoSpaceDN w:val="1"/>
        <w:bidi w:val="0"/>
        <w:snapToGrid w:val="1"/>
        <w:jc w:val="both"/>
        <w:outlineLvl w:val="1"/>
        <w:spacing w:line="590" w:lineRule="exact"/>
        <w:ind w:firstLine="640" w:firstLineChars="200"/>
        <w:rPr>
          <w:sz w:val="32"/>
          <w:lang w:val="en-US" w:eastAsia="zh-CN"/>
          <w:szCs w:val="32"/>
          <w:rFonts w:ascii="黑体" w:hAnsi="黑体" w:eastAsia="黑体" w:hint="eastAsia"/>
        </w:rPr>
      </w:pPr>
      <w:r>
        <w:rPr>
          <w:sz w:val="32"/>
          <w:lang w:val="en-US" w:eastAsia="zh-CN"/>
          <w:szCs w:val="32"/>
          <w:rFonts w:ascii="黑体" w:hAnsi="黑体" w:eastAsia="黑体" w:hint="eastAsia"/>
        </w:rPr>
        <w:t xml:space="preserve">一、收入支出决算总体情况说明</w:t>
      </w:r>
      <w:bookmarkEnd w:id="1"/>
      <w:r>
        <w:rPr>
          <w:sz w:val="32"/>
          <w:lang w:val="en-US" w:eastAsia="zh-CN"/>
          <w:szCs w:val="32"/>
          <w:rFonts w:ascii="黑体" w:hAnsi="黑体" w:eastAsia="黑体"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numPr>
          <w:ilvl w:val="0"/>
          <w:numId w:val="0"/>
        </w:numPr>
        <w:spacing w:line="590" w:lineRule="exact"/>
        <w:ind w:firstLine="640" w:firstLineChars="200"/>
        <w:rPr>
          <w:sz w:val="32"/>
          <w:lang w:val="en-US" w:eastAsia="zh-CN"/>
          <w:szCs w:val="32"/>
          <w:rFonts w:ascii="仿宋" w:hAnsi="仿宋" w:eastAsia="仿宋" w:hint="eastAsia"/>
        </w:rPr>
      </w:pPr>
      <w:r>
        <w:rPr>
          <w:sz w:val="32"/>
          <w:lang w:val="en-US" w:eastAsia="zh-CN"/>
          <w:szCs w:val="32"/>
          <w:rFonts w:ascii="仿宋" w:hAnsi="仿宋" w:eastAsia="仿宋" w:hint="eastAsia"/>
        </w:rPr>
        <w:t xml:space="preserve">2025年度收、支总计均为</w:t>
      </w:r>
      <w:r>
        <w:rPr>
          <w:sz w:val="32"/>
          <w:lang w:val="en-US" w:eastAsia="zh-CN"/>
          <w:szCs w:val="32"/>
          <w:rFonts w:ascii="仿宋" w:hAnsi="仿宋" w:eastAsia="仿宋" w:hint="eastAsia"/>
        </w:rPr>
        <w:t xml:space="preserve">1428.03</w:t>
      </w:r>
      <w:r>
        <w:rPr>
          <w:sz w:val="32"/>
          <w:lang w:val="en-US" w:eastAsia="zh-CN"/>
          <w:szCs w:val="32"/>
          <w:rFonts w:ascii="仿宋" w:hAnsi="仿宋" w:eastAsia="仿宋" w:hint="eastAsia"/>
        </w:rPr>
        <w:t xml:space="preserve">万元。</w:t>
      </w:r>
      <w:r>
        <w:rPr>
          <w:color w:val="000000"/>
          <w:sz w:val="32"/>
          <w:lang w:val="en-US" w:eastAsia="zh-CN" w:bidi="ar-SA"/>
          <w:kern w:val="2"/>
          <w:szCs w:val="32"/>
          <w:rFonts w:ascii="仿宋" w:hAnsi="仿宋" w:eastAsia="仿宋" w:hint="eastAsia"/>
        </w:rPr>
        <w:t xml:space="preserve">与上年度相比，收、支总计各增加182.09万元，增长14.61%，主要原因是本年度增加项目收入支出。人员也存在晋级晋档，较上年度人员费用增加。</w:t>
      </w:r>
      <w:r>
        <w:rPr>
          <w:sz w:val="32"/>
          <w:lang w:val="en-US" w:eastAsia="zh-CN"/>
          <w:szCs w:val="32"/>
          <w:rFonts w:ascii="仿宋" w:hAnsi="仿宋" w:eastAsia="仿宋"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outlineLvl w:val="1"/>
        <w:spacing w:line="590" w:lineRule="exact"/>
        <w:ind w:firstLine="640" w:firstLineChars="200"/>
        <w:rPr>
          <w:sz w:val="32"/>
          <w:lang w:val="en-US" w:eastAsia="zh-CN"/>
          <w:szCs w:val="32"/>
          <w:rFonts w:ascii="黑体" w:hAnsi="黑体" w:eastAsia="黑体" w:hint="eastAsia"/>
        </w:rPr>
      </w:pPr>
      <w:bookmarkStart w:id="2" w:name="_Toc2219"/>
      <w:r>
        <w:rPr>
          <w:sz w:val="32"/>
          <w:lang w:val="en-US" w:eastAsia="zh-CN"/>
          <w:szCs w:val="32"/>
          <w:rFonts w:ascii="黑体" w:hAnsi="黑体" w:eastAsia="黑体" w:hint="eastAsia"/>
        </w:rPr>
        <w:t xml:space="preserve">二、收入决算情况说明</w:t>
      </w:r>
      <w:bookmarkEnd w:id="2"/>
      <w:r>
        <w:rPr>
          <w:sz w:val="32"/>
          <w:lang w:val="en-US" w:eastAsia="zh-CN"/>
          <w:szCs w:val="32"/>
          <w:rFonts w:ascii="黑体" w:hAnsi="黑体" w:eastAsia="黑体"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numPr>
          <w:ilvl w:val="0"/>
          <w:numId w:val="0"/>
        </w:numPr>
        <w:spacing w:line="590" w:lineRule="exact"/>
        <w:ind w:firstLine="640" w:firstLineChars="200"/>
        <w:rPr>
          <w:sz w:val="32"/>
          <w:lang w:val="en-US" w:eastAsia="zh-CN"/>
          <w:szCs w:val="32"/>
          <w:rFonts w:ascii="仿宋" w:hAnsi="仿宋" w:eastAsia="仿宋" w:hint="eastAsia"/>
        </w:rPr>
      </w:pPr>
      <w:r>
        <w:rPr>
          <w:sz w:val="32"/>
          <w:lang w:val="en-US" w:eastAsia="zh-CN"/>
          <w:szCs w:val="32"/>
          <w:rFonts w:ascii="仿宋" w:hAnsi="仿宋" w:eastAsia="仿宋" w:hint="eastAsia"/>
        </w:rPr>
        <w:t xml:space="preserve">2025年度收入合计1428.03万元，其中：财政拨款收入1428.03万元，占100.00%。</w:t>
      </w:r>
    </w:p>
    <w:p>
      <w:pPr>
        <w:pStyle w:val="Normal"/>
        <w:widowControl w:val="1"/>
        <w:keepNext w:val="0"/>
        <w:keepLines w:val="0"/>
        <w:pageBreakBefore w:val="0"/>
        <w:wordWrap w:val="1"/>
        <w:overflowPunct w:val="1"/>
        <w:topLinePunct w:val="0"/>
        <w:kinsoku w:val="1"/>
        <w:autoSpaceDE w:val="1"/>
        <w:autoSpaceDN w:val="1"/>
        <w:bidi w:val="0"/>
        <w:snapToGrid w:val="1"/>
        <w:jc w:val="both"/>
        <w:outlineLvl w:val="1"/>
        <w:spacing w:line="590" w:lineRule="exact"/>
        <w:ind w:firstLine="640" w:firstLineChars="200"/>
        <w:rPr>
          <w:sz w:val="32"/>
          <w:lang w:val="en-US" w:eastAsia="zh-CN"/>
          <w:szCs w:val="32"/>
          <w:rFonts w:ascii="黑体" w:hAnsi="黑体" w:eastAsia="黑体" w:hint="eastAsia"/>
        </w:rPr>
      </w:pPr>
      <w:bookmarkStart w:id="3" w:name="_Toc26671"/>
      <w:r>
        <w:rPr>
          <w:sz w:val="32"/>
          <w:lang w:val="en-US" w:eastAsia="zh-CN"/>
          <w:szCs w:val="32"/>
          <w:rFonts w:ascii="黑体" w:hAnsi="黑体" w:eastAsia="黑体" w:hint="eastAsia"/>
        </w:rPr>
        <w:t xml:space="preserve">三、支出决算情况说明</w:t>
      </w:r>
      <w:bookmarkEnd w:id="3"/>
      <w:r>
        <w:rPr>
          <w:sz w:val="32"/>
          <w:lang w:val="en-US" w:eastAsia="zh-CN"/>
          <w:szCs w:val="32"/>
          <w:rFonts w:ascii="黑体" w:hAnsi="黑体" w:eastAsia="黑体"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numPr>
          <w:ilvl w:val="0"/>
          <w:numId w:val="0"/>
        </w:numPr>
        <w:spacing w:line="590" w:lineRule="exact"/>
        <w:ind w:firstLine="640" w:firstLineChars="200"/>
        <w:rPr>
          <w:sz w:val="32"/>
          <w:lang w:val="en-US" w:eastAsia="zh-CN"/>
          <w:szCs w:val="32"/>
          <w:rFonts w:ascii="仿宋" w:hAnsi="仿宋" w:eastAsia="仿宋" w:hint="eastAsia"/>
        </w:rPr>
      </w:pPr>
      <w:r>
        <w:rPr>
          <w:sz w:val="32"/>
          <w:lang w:val="en-US" w:eastAsia="zh-CN"/>
          <w:szCs w:val="32"/>
          <w:rFonts w:ascii="仿宋" w:hAnsi="仿宋" w:eastAsia="仿宋" w:hint="eastAsia"/>
        </w:rPr>
        <w:t xml:space="preserve">2025年度支出合计1428.03万元，其中：基本支出1271.81万元，占89.06%;项目支出156.22万元，占10.94%。</w:t>
      </w:r>
    </w:p>
    <w:p>
      <w:pPr>
        <w:pStyle w:val="Normal"/>
        <w:widowControl w:val="1"/>
        <w:keepNext w:val="0"/>
        <w:keepLines w:val="0"/>
        <w:pageBreakBefore w:val="0"/>
        <w:wordWrap w:val="1"/>
        <w:overflowPunct w:val="1"/>
        <w:topLinePunct w:val="0"/>
        <w:kinsoku w:val="1"/>
        <w:autoSpaceDE w:val="1"/>
        <w:autoSpaceDN w:val="1"/>
        <w:bidi w:val="0"/>
        <w:snapToGrid w:val="1"/>
        <w:jc w:val="both"/>
        <w:outlineLvl w:val="1"/>
        <w:spacing w:line="590" w:lineRule="exact"/>
        <w:ind w:firstLine="640" w:firstLineChars="200"/>
        <w:rPr>
          <w:sz w:val="32"/>
          <w:lang w:val="en-US" w:eastAsia="zh-CN"/>
          <w:szCs w:val="32"/>
          <w:rFonts w:ascii="黑体" w:hAnsi="黑体" w:eastAsia="黑体" w:hint="eastAsia"/>
        </w:rPr>
      </w:pPr>
      <w:bookmarkStart w:id="4" w:name="_Toc29454"/>
      <w:r>
        <w:rPr>
          <w:sz w:val="32"/>
          <w:lang w:val="en-US" w:eastAsia="zh-CN"/>
          <w:szCs w:val="32"/>
          <w:rFonts w:ascii="黑体" w:hAnsi="黑体" w:eastAsia="黑体" w:hint="eastAsia"/>
        </w:rPr>
        <w:t xml:space="preserve">四、财政拨款收入支出决算总体情况说明</w:t>
      </w:r>
      <w:bookmarkEnd w:id="4"/>
      <w:r>
        <w:rPr>
          <w:sz w:val="32"/>
          <w:lang w:val="en-US" w:eastAsia="zh-CN"/>
          <w:szCs w:val="32"/>
          <w:rFonts w:ascii="黑体" w:hAnsi="黑体" w:eastAsia="黑体"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numPr>
          <w:ilvl w:val="0"/>
          <w:numId w:val="0"/>
        </w:numPr>
        <w:spacing w:line="590" w:lineRule="exact"/>
        <w:ind w:firstLine="640" w:firstLineChars="200"/>
        <w:rPr>
          <w:sz w:val="32"/>
          <w:lang w:val="en-US" w:eastAsia="zh-CN"/>
          <w:szCs w:val="32"/>
          <w:rFonts w:ascii="仿宋" w:hAnsi="仿宋" w:eastAsia="仿宋" w:hint="eastAsia"/>
        </w:rPr>
      </w:pPr>
      <w:r>
        <w:rPr>
          <w:sz w:val="32"/>
          <w:lang w:val="en-US" w:eastAsia="zh-CN"/>
          <w:szCs w:val="32"/>
          <w:rFonts w:ascii="仿宋" w:hAnsi="仿宋" w:eastAsia="仿宋" w:hint="eastAsia"/>
        </w:rPr>
        <w:t xml:space="preserve">2025年度财政拨款收、支总计均为1428.03万元。与上年度相比，财政拨款收、支总计各增加182.11万元，增长14.62%，主要原因是本年度增加项目收入支出。人员也存在晋级晋档，较上年度人员费用增加。</w:t>
      </w:r>
    </w:p>
    <w:p>
      <w:pPr>
        <w:pStyle w:val="Normal"/>
        <w:widowControl w:val="1"/>
        <w:keepNext w:val="0"/>
        <w:keepLines w:val="0"/>
        <w:pageBreakBefore w:val="0"/>
        <w:wordWrap w:val="1"/>
        <w:overflowPunct w:val="1"/>
        <w:topLinePunct w:val="0"/>
        <w:kinsoku w:val="1"/>
        <w:autoSpaceDE w:val="1"/>
        <w:autoSpaceDN w:val="1"/>
        <w:bidi w:val="0"/>
        <w:snapToGrid w:val="1"/>
        <w:jc w:val="both"/>
        <w:outlineLvl w:val="1"/>
        <w:spacing w:line="590" w:lineRule="exact"/>
        <w:ind w:firstLine="640" w:firstLineChars="200"/>
        <w:rPr>
          <w:sz w:val="32"/>
          <w:lang w:val="en-US" w:eastAsia="zh-CN"/>
          <w:szCs w:val="32"/>
          <w:rFonts w:ascii="黑体" w:hAnsi="黑体" w:eastAsia="黑体" w:hint="eastAsia"/>
        </w:rPr>
      </w:pPr>
      <w:bookmarkStart w:id="5" w:name="_Toc29662"/>
      <w:r>
        <w:rPr>
          <w:sz w:val="32"/>
          <w:lang w:val="en-US" w:eastAsia="zh-CN"/>
          <w:szCs w:val="32"/>
          <w:rFonts w:ascii="黑体" w:hAnsi="黑体" w:eastAsia="黑体" w:hint="eastAsia"/>
        </w:rPr>
        <w:t xml:space="preserve">五、一般公共预算财政拨款支出决算情况说明</w:t>
      </w:r>
      <w:bookmarkEnd w:id="5"/>
      <w:r>
        <w:rPr>
          <w:sz w:val="32"/>
          <w:lang w:val="en-US" w:eastAsia="zh-CN"/>
          <w:szCs w:val="32"/>
          <w:rFonts w:ascii="黑体" w:hAnsi="黑体" w:eastAsia="黑体"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b w:val="1"/>
          <w:sz w:val="32"/>
          <w:lang w:val="en-US" w:eastAsia="zh-CN"/>
          <w:bCs/>
          <w:szCs w:val="32"/>
          <w:rFonts w:ascii="楷体" w:hAnsi="楷体" w:eastAsia="楷体" w:hint="eastAsia"/>
        </w:rPr>
      </w:pPr>
      <w:r>
        <w:rPr>
          <w:b w:val="1"/>
          <w:sz w:val="32"/>
          <w:lang w:val="en-US" w:eastAsia="zh-CN"/>
          <w:bCs/>
          <w:szCs w:val="32"/>
          <w:rFonts w:ascii="楷体" w:hAnsi="楷体" w:eastAsia="楷体" w:hint="eastAsia"/>
        </w:rPr>
        <w:t xml:space="preserve">（一）总体情况</w:t>
      </w:r>
      <w:r>
        <w:rPr>
          <w:b w:val="1"/>
          <w:sz w:val="32"/>
          <w:lang w:val="en-US" w:eastAsia="zh-CN"/>
          <w:bCs/>
          <w:szCs w:val="32"/>
          <w:rFonts w:ascii="楷体" w:hAnsi="楷体" w:eastAsia="楷体"/>
        </w:rPr>
      </w:r>
    </w:p>
    <w:p>
      <w:pPr>
        <w:pStyle w:val="Normal"/>
        <w:widowControl w:val="1"/>
        <w:keepNext w:val="0"/>
        <w:keepLines w:val="0"/>
        <w:pageBreakBefore w:val="0"/>
        <w:wordWrap w:val="1"/>
        <w:overflowPunct w:val="1"/>
        <w:topLinePunct w:val="0"/>
        <w:kinsoku w:val="1"/>
        <w:autoSpaceDE w:val="1"/>
        <w:autoSpaceDN w:val="1"/>
        <w:bidi w:val="0"/>
        <w:snapToGrid w:val="1"/>
        <w:jc w:val="both"/>
        <w:numPr>
          <w:ilvl w:val="0"/>
          <w:numId w:val="0"/>
        </w:numPr>
        <w:spacing w:line="590" w:lineRule="exact"/>
        <w:ind w:firstLine="640" w:firstLineChars="200"/>
        <w:rPr>
          <w:sz w:val="32"/>
          <w:lang w:val="en-US" w:eastAsia="zh-CN"/>
          <w:szCs w:val="32"/>
          <w:rFonts w:ascii="仿宋" w:hAnsi="仿宋" w:eastAsia="仿宋" w:hint="eastAsia"/>
        </w:rPr>
      </w:pPr>
      <w:r>
        <w:rPr>
          <w:sz w:val="32"/>
          <w:lang w:val="en-US" w:eastAsia="zh-CN"/>
          <w:szCs w:val="32"/>
          <w:rFonts w:ascii="仿宋" w:hAnsi="仿宋" w:eastAsia="仿宋" w:hint="eastAsia"/>
        </w:rPr>
        <w:t xml:space="preserve">2025年度一般公共预算财政拨款支出1428.03万元，占支出合计的100.00%。与上年度相比，一般公共预算财政拨款支出增加182.11万元，增长14.62%，主要原因是本年度增加项目收入支出。人员也存在晋级晋档，较上年度人员费用增加。</w:t>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b w:val="1"/>
          <w:sz w:val="32"/>
          <w:lang w:val="en-US" w:eastAsia="zh-CN"/>
          <w:bCs/>
          <w:szCs w:val="32"/>
          <w:rFonts w:ascii="楷体" w:hAnsi="楷体" w:eastAsia="楷体" w:hint="eastAsia"/>
        </w:rPr>
      </w:pPr>
      <w:r>
        <w:rPr>
          <w:b w:val="1"/>
          <w:sz w:val="32"/>
          <w:lang w:val="en-US" w:eastAsia="zh-CN"/>
          <w:bCs/>
          <w:szCs w:val="32"/>
          <w:rFonts w:ascii="楷体" w:hAnsi="楷体" w:eastAsia="楷体" w:hint="eastAsia"/>
        </w:rPr>
        <w:t xml:space="preserve">（二）结构情况</w:t>
      </w:r>
      <w:r>
        <w:rPr>
          <w:b w:val="1"/>
          <w:sz w:val="32"/>
          <w:lang w:val="en-US" w:eastAsia="zh-CN"/>
          <w:bCs/>
          <w:szCs w:val="32"/>
          <w:rFonts w:ascii="楷体" w:hAnsi="楷体" w:eastAsia="楷体"/>
        </w:rPr>
      </w:r>
    </w:p>
    <w:p>
      <w:pPr>
        <w:pStyle w:val="Normal"/>
        <w:widowControl w:val="1"/>
        <w:keepNext w:val="0"/>
        <w:keepLines w:val="0"/>
        <w:pageBreakBefore w:val="0"/>
        <w:wordWrap w:val="1"/>
        <w:overflowPunct w:val="1"/>
        <w:topLinePunct w:val="0"/>
        <w:kinsoku w:val="1"/>
        <w:autoSpaceDE w:val="1"/>
        <w:autoSpaceDN w:val="1"/>
        <w:bidi w:val="0"/>
        <w:snapToGrid w:val="1"/>
        <w:jc w:val="both"/>
        <w:numPr>
          <w:ilvl w:val="0"/>
          <w:numId w:val="0"/>
        </w:numPr>
        <w:spacing w:line="590" w:lineRule="exact"/>
        <w:ind w:firstLine="640" w:firstLineChars="200"/>
        <w:rPr>
          <w:sz w:val="32"/>
          <w:lang w:val="en-US" w:eastAsia="zh-CN"/>
          <w:szCs w:val="32"/>
          <w:rFonts w:ascii="仿宋" w:hAnsi="仿宋" w:eastAsia="仿宋" w:hint="eastAsia"/>
        </w:rPr>
      </w:pPr>
      <w:r>
        <w:rPr>
          <w:sz w:val="32"/>
          <w:lang w:val="en-US" w:eastAsia="zh-CN"/>
          <w:szCs w:val="32"/>
          <w:rFonts w:ascii="仿宋" w:hAnsi="仿宋" w:eastAsia="仿宋" w:hint="eastAsia"/>
        </w:rPr>
        <w:t xml:space="preserve">2025年度一般公共预算财政拨款支出1428.03万元，主要用于以下方面：社会保障和就业（类）支出179.77万元，占12.59%;卫生健康（类）支出29.92万元，占2.10%;农林水（类）支出1163.19万元，占81.45%;住房保障（类）支出55.15万元，占3.86%。</w:t>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b w:val="1"/>
          <w:sz w:val="32"/>
          <w:lang w:val="en-US" w:eastAsia="zh-CN"/>
          <w:bCs/>
          <w:szCs w:val="32"/>
          <w:rFonts w:ascii="楷体" w:hAnsi="楷体" w:eastAsia="楷体" w:hint="eastAsia"/>
        </w:rPr>
      </w:pPr>
      <w:r>
        <w:rPr>
          <w:b w:val="1"/>
          <w:sz w:val="32"/>
          <w:lang w:val="en-US" w:eastAsia="zh-CN"/>
          <w:bCs/>
          <w:szCs w:val="32"/>
          <w:rFonts w:ascii="楷体" w:hAnsi="楷体" w:eastAsia="楷体" w:hint="eastAsia"/>
        </w:rPr>
        <w:t xml:space="preserve">（三）具体情况</w:t>
      </w:r>
    </w:p>
    <w:p>
      <w:pPr>
        <w:pStyle w:val="Normal"/>
        <w:widowControl w:val="1"/>
        <w:keepNext w:val="0"/>
        <w:keepLines w:val="0"/>
        <w:pageBreakBefore w:val="0"/>
        <w:wordWrap w:val="1"/>
        <w:overflowPunct w:val="1"/>
        <w:topLinePunct w:val="0"/>
        <w:kinsoku w:val="1"/>
        <w:autoSpaceDE w:val="1"/>
        <w:autoSpaceDN w:val="1"/>
        <w:bidi w:val="0"/>
        <w:snapToGrid w:val="1"/>
        <w:jc w:val="both"/>
        <w:numPr>
          <w:ilvl w:val="0"/>
          <w:numId w:val="0"/>
        </w:numPr>
        <w:spacing w:line="590" w:lineRule="exact"/>
        <w:ind w:firstLine="640" w:firstLineChars="200"/>
        <w:rPr>
          <w:sz w:val="32"/>
          <w:lang w:val="en-US" w:eastAsia="zh-CN"/>
          <w:szCs w:val="32"/>
          <w:rFonts w:ascii="仿宋" w:hAnsi="仿宋" w:eastAsia="仿宋" w:hint="eastAsia"/>
        </w:rPr>
      </w:pPr>
      <w:r>
        <w:rPr>
          <w:sz w:val="32"/>
          <w:lang w:val="en-US" w:eastAsia="zh-CN"/>
          <w:szCs w:val="32"/>
          <w:rFonts w:ascii="仿宋" w:hAnsi="仿宋" w:eastAsia="仿宋" w:hint="eastAsia"/>
        </w:rPr>
        <w:t xml:space="preserve">2025年度一般公共预算财政拨款支出年初预算为1267.66万元，支出决算为1428.03万元，完成年初预算的112.65%。其中：</w:t>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pPr>
      <w:r>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t xml:space="preserve">1.</w:t>
      </w:r>
      <w:r>
        <w:rPr>
          <w:vertAlign w:val="baseline"/>
          <w:b w:val="1"/>
          <w:i w:val="0"/>
          <w:u w:val="none"/>
          <w:vanish/>
          <w:color w:val="000000"/>
          <w:spacing w:val="0"/>
          <w:w w:val="100"/>
          <w:rtl w:val="0"/>
          <w:sz w:val="32"/>
          <w:lang w:val="en-US" w:eastAsia="zh-CN"/>
          <w:bCs w:val="0"/>
          <w:iCs w:val="0"/>
          <w:szCs w:val="32"/>
          <w:shd w:val="clear" w:color="auto" w:fill="auto"/>
          <w:rFonts w:ascii="仿宋" w:hAnsi="仿宋" w:eastAsia="仿宋"/>
        </w:rPr>
        <w:t xml:space="preserve">社会保障和就业支出（类）行政事业单位养老支出（款）事业单位离退休（项）</w:t>
      </w:r>
      <w:r>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t xml:space="preserve">。年初预算为107.24万元，支出决算为110.50万元，完成年初预算的103.04%。决算数与年初预算数存在差异的主要原因是本年度年中追加离退休人员经费，支出超出该项预算。</w:t>
      </w:r>
      <w:r>
        <w:rPr>
          <w:sz w:val="32"/>
          <w:lang w:val="en-US" w:eastAsia="zh-CN"/>
          <w:szCs w:val="32"/>
          <w:rFonts w:ascii="仿宋" w:hAnsi="仿宋" w:eastAsia="仿宋"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pPr>
      <w:r>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t xml:space="preserve">2.</w:t>
      </w:r>
      <w:r>
        <w:rPr>
          <w:vertAlign w:val="baseline"/>
          <w:b w:val="1"/>
          <w:i w:val="0"/>
          <w:u w:val="none"/>
          <w:vanish/>
          <w:color w:val="000000"/>
          <w:spacing w:val="0"/>
          <w:w w:val="100"/>
          <w:rtl w:val="0"/>
          <w:sz w:val="32"/>
          <w:lang w:val="en-US" w:eastAsia="zh-CN"/>
          <w:bCs w:val="0"/>
          <w:iCs w:val="0"/>
          <w:szCs w:val="32"/>
          <w:shd w:val="clear" w:color="auto" w:fill="auto"/>
          <w:rFonts w:ascii="仿宋" w:hAnsi="仿宋" w:eastAsia="仿宋"/>
        </w:rPr>
        <w:t xml:space="preserve">社会保障和就业支出（类）行政事业单位养老支出（款）机关事业单位基本养老保险缴费支出（项）</w:t>
      </w:r>
      <w:r>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t xml:space="preserve">。年初预算为60.96万元，支出决算为62.83万元，完成年初预算的103.05%。决算数与年初预算数存在差异的主要原因是本年度年中上调社保养老基金基数，年底追加该项预算支出。</w:t>
      </w:r>
      <w:r>
        <w:rPr>
          <w:sz w:val="32"/>
          <w:lang w:val="en-US" w:eastAsia="zh-CN"/>
          <w:szCs w:val="32"/>
          <w:rFonts w:ascii="仿宋" w:hAnsi="仿宋" w:eastAsia="仿宋"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pPr>
      <w:r>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t xml:space="preserve">3.</w:t>
      </w:r>
      <w:r>
        <w:rPr>
          <w:vertAlign w:val="baseline"/>
          <w:b w:val="1"/>
          <w:i w:val="0"/>
          <w:u w:val="none"/>
          <w:vanish/>
          <w:color w:val="000000"/>
          <w:spacing w:val="0"/>
          <w:w w:val="100"/>
          <w:rtl w:val="0"/>
          <w:sz w:val="32"/>
          <w:lang w:val="en-US" w:eastAsia="zh-CN"/>
          <w:bCs w:val="0"/>
          <w:iCs w:val="0"/>
          <w:szCs w:val="32"/>
          <w:shd w:val="clear" w:color="auto" w:fill="auto"/>
          <w:rFonts w:ascii="仿宋" w:hAnsi="仿宋" w:eastAsia="仿宋"/>
        </w:rPr>
        <w:t xml:space="preserve">社会保障和就业支出（类）抚恤（款）死亡抚恤（项）</w:t>
      </w:r>
      <w:r>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t xml:space="preserve">。年初预算为0.00万元，支出决算为6.44万元。决算数与年初预算数存在差异的主要原因是本年度存在发放抚恤金人员，年初无预算。</w:t>
      </w:r>
      <w:r>
        <w:rPr>
          <w:sz w:val="32"/>
          <w:lang w:val="en-US" w:eastAsia="zh-CN"/>
          <w:szCs w:val="32"/>
          <w:rFonts w:ascii="仿宋" w:hAnsi="仿宋" w:eastAsia="仿宋"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pPr>
      <w:r>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t xml:space="preserve">4.</w:t>
      </w:r>
      <w:r>
        <w:rPr>
          <w:vertAlign w:val="baseline"/>
          <w:b w:val="1"/>
          <w:i w:val="0"/>
          <w:u w:val="none"/>
          <w:vanish/>
          <w:color w:val="000000"/>
          <w:spacing w:val="0"/>
          <w:w w:val="100"/>
          <w:rtl w:val="0"/>
          <w:sz w:val="32"/>
          <w:lang w:val="en-US" w:eastAsia="zh-CN"/>
          <w:bCs w:val="0"/>
          <w:iCs w:val="0"/>
          <w:szCs w:val="32"/>
          <w:shd w:val="clear" w:color="auto" w:fill="auto"/>
          <w:rFonts w:ascii="仿宋" w:hAnsi="仿宋" w:eastAsia="仿宋"/>
        </w:rPr>
        <w:t xml:space="preserve">卫生健康支出（类）行政事业单位医疗（款）事业单位医疗（项）</w:t>
      </w:r>
      <w:r>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t xml:space="preserve">。年初预算为29.05万元，支出决算为29.92万元，完成年初预算的103.01%。决算数与年初预算数存在差异的主要原因是本年度年中上调社医疗保险基金基数，年底追加该项预算支出。</w:t>
      </w:r>
      <w:r>
        <w:rPr>
          <w:sz w:val="32"/>
          <w:lang w:val="en-US" w:eastAsia="zh-CN"/>
          <w:szCs w:val="32"/>
          <w:rFonts w:ascii="仿宋" w:hAnsi="仿宋" w:eastAsia="仿宋"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pPr>
      <w:r>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t xml:space="preserve">5.</w:t>
      </w:r>
      <w:r>
        <w:rPr>
          <w:vertAlign w:val="baseline"/>
          <w:b w:val="1"/>
          <w:i w:val="0"/>
          <w:u w:val="none"/>
          <w:vanish/>
          <w:color w:val="000000"/>
          <w:spacing w:val="0"/>
          <w:w w:val="100"/>
          <w:rtl w:val="0"/>
          <w:sz w:val="32"/>
          <w:lang w:val="en-US" w:eastAsia="zh-CN"/>
          <w:bCs w:val="0"/>
          <w:iCs w:val="0"/>
          <w:szCs w:val="32"/>
          <w:shd w:val="clear" w:color="auto" w:fill="auto"/>
          <w:rFonts w:ascii="仿宋" w:hAnsi="仿宋" w:eastAsia="仿宋"/>
        </w:rPr>
        <w:t xml:space="preserve">农林水支出（类）农业农村（款）其他农业农村支出（项）</w:t>
      </w:r>
      <w:r>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t xml:space="preserve">。年初预算为0.00万元，支出决算为4.30万元。决算数与年初预算数存在差异的主要原因是该项目支出为本年度临时追加预算项目，年初无预算。</w:t>
      </w:r>
      <w:r>
        <w:rPr>
          <w:sz w:val="32"/>
          <w:lang w:val="en-US" w:eastAsia="zh-CN"/>
          <w:szCs w:val="32"/>
          <w:rFonts w:ascii="仿宋" w:hAnsi="仿宋" w:eastAsia="仿宋"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pPr>
      <w:r>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t xml:space="preserve">6.</w:t>
      </w:r>
      <w:r>
        <w:rPr>
          <w:vertAlign w:val="baseline"/>
          <w:b w:val="1"/>
          <w:i w:val="0"/>
          <w:u w:val="none"/>
          <w:vanish/>
          <w:color w:val="000000"/>
          <w:spacing w:val="0"/>
          <w:w w:val="100"/>
          <w:rtl w:val="0"/>
          <w:sz w:val="32"/>
          <w:lang w:val="en-US" w:eastAsia="zh-CN"/>
          <w:bCs w:val="0"/>
          <w:iCs w:val="0"/>
          <w:szCs w:val="32"/>
          <w:shd w:val="clear" w:color="auto" w:fill="auto"/>
          <w:rFonts w:ascii="仿宋" w:hAnsi="仿宋" w:eastAsia="仿宋"/>
        </w:rPr>
        <w:t xml:space="preserve">农林水支出（类）水利（款）水利行业业务管理（项）</w:t>
      </w:r>
      <w:r>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t xml:space="preserve">。年初预算为976.78万元，支出决算为1114.79万元，完成年初预算的114.13%。决算数与年初预算数存在差异的主要原因是本年度人员存在晋级晋档，人员费用支出增加。</w:t>
      </w:r>
      <w:r>
        <w:rPr>
          <w:sz w:val="32"/>
          <w:lang w:val="en-US" w:eastAsia="zh-CN"/>
          <w:szCs w:val="32"/>
          <w:rFonts w:ascii="仿宋" w:hAnsi="仿宋" w:eastAsia="仿宋"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pPr>
      <w:r>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t xml:space="preserve">7.</w:t>
      </w:r>
      <w:r>
        <w:rPr>
          <w:vertAlign w:val="baseline"/>
          <w:b w:val="1"/>
          <w:i w:val="0"/>
          <w:u w:val="none"/>
          <w:vanish/>
          <w:color w:val="000000"/>
          <w:spacing w:val="0"/>
          <w:w w:val="100"/>
          <w:rtl w:val="0"/>
          <w:sz w:val="32"/>
          <w:lang w:val="en-US" w:eastAsia="zh-CN"/>
          <w:bCs w:val="0"/>
          <w:iCs w:val="0"/>
          <w:szCs w:val="32"/>
          <w:shd w:val="clear" w:color="auto" w:fill="auto"/>
          <w:rFonts w:ascii="仿宋" w:hAnsi="仿宋" w:eastAsia="仿宋"/>
        </w:rPr>
        <w:t xml:space="preserve">农林水支出（类）水利（款）水利工程运行与维护（项）</w:t>
      </w:r>
      <w:r>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t xml:space="preserve">。年初预算为0.00万元，支出决算为39.10万元。决算数与年初预算数存在差异的主要原因是该项目支出为本年度临时追加预算项目，年初无预算。</w:t>
      </w:r>
      <w:r>
        <w:rPr>
          <w:sz w:val="32"/>
          <w:lang w:val="en-US" w:eastAsia="zh-CN"/>
          <w:szCs w:val="32"/>
          <w:rFonts w:ascii="仿宋" w:hAnsi="仿宋" w:eastAsia="仿宋"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pPr>
      <w:r>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t xml:space="preserve">8.</w:t>
      </w:r>
      <w:r>
        <w:rPr>
          <w:vertAlign w:val="baseline"/>
          <w:b w:val="1"/>
          <w:i w:val="0"/>
          <w:u w:val="none"/>
          <w:vanish/>
          <w:color w:val="000000"/>
          <w:spacing w:val="0"/>
          <w:w w:val="100"/>
          <w:rtl w:val="0"/>
          <w:sz w:val="32"/>
          <w:lang w:val="en-US" w:eastAsia="zh-CN"/>
          <w:bCs w:val="0"/>
          <w:iCs w:val="0"/>
          <w:szCs w:val="32"/>
          <w:shd w:val="clear" w:color="auto" w:fill="auto"/>
          <w:rFonts w:ascii="仿宋" w:hAnsi="仿宋" w:eastAsia="仿宋"/>
        </w:rPr>
        <w:t xml:space="preserve">农林水支出（类）水利（款）其他水利支出（项）</w:t>
      </w:r>
      <w:r>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t xml:space="preserve">。年初预算为0.00万元，支出决算为5.00万元。决算数与年初预算数存在差异的主要原因是该项目支出为本年度临时追加预算项目，年初无预算。</w:t>
      </w:r>
      <w:r>
        <w:rPr>
          <w:sz w:val="32"/>
          <w:lang w:val="en-US" w:eastAsia="zh-CN"/>
          <w:szCs w:val="32"/>
          <w:rFonts w:ascii="仿宋" w:hAnsi="仿宋" w:eastAsia="仿宋"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pPr>
      <w:r>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t xml:space="preserve">9.</w:t>
      </w:r>
      <w:r>
        <w:rPr>
          <w:vertAlign w:val="baseline"/>
          <w:b w:val="1"/>
          <w:i w:val="0"/>
          <w:u w:val="none"/>
          <w:vanish/>
          <w:color w:val="000000"/>
          <w:spacing w:val="0"/>
          <w:w w:val="100"/>
          <w:rtl w:val="0"/>
          <w:sz w:val="32"/>
          <w:lang w:val="en-US" w:eastAsia="zh-CN"/>
          <w:bCs w:val="0"/>
          <w:iCs w:val="0"/>
          <w:szCs w:val="32"/>
          <w:shd w:val="clear" w:color="auto" w:fill="auto"/>
          <w:rFonts w:ascii="仿宋" w:hAnsi="仿宋" w:eastAsia="仿宋"/>
        </w:rPr>
        <w:t xml:space="preserve">住房保障支出（类）住房改革支出（款）住房公积金（项）</w:t>
      </w:r>
      <w:r>
        <w:rPr>
          <w:vertAlign w:val="baseline"/>
          <w:b w:val="0"/>
          <w:i w:val="0"/>
          <w:u w:val="none"/>
          <w:vanish/>
          <w:color w:val="000000"/>
          <w:spacing w:val="0"/>
          <w:w w:val="100"/>
          <w:rtl w:val="0"/>
          <w:sz w:val="32"/>
          <w:lang w:val="en-US" w:eastAsia="zh-CN"/>
          <w:bCs w:val="0"/>
          <w:iCs w:val="0"/>
          <w:szCs w:val="32"/>
          <w:shd w:val="clear" w:color="auto" w:fill="auto"/>
          <w:rFonts w:ascii="仿宋" w:hAnsi="仿宋" w:eastAsia="仿宋"/>
        </w:rPr>
        <w:t xml:space="preserve">。年初预算为53.63万元，支出决算为55.15万元，完成年初预算的102.85%。决算数与年初预算数存在差异的主要原因是本年度年初上调住房公积金缴费基数，年底追加住房公积金预算。</w:t>
      </w:r>
      <w:r>
        <w:rPr>
          <w:sz w:val="32"/>
          <w:lang w:val="en-US" w:eastAsia="zh-CN"/>
          <w:szCs w:val="32"/>
          <w:rFonts w:ascii="仿宋" w:hAnsi="仿宋" w:eastAsia="仿宋"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outlineLvl w:val="1"/>
        <w:spacing w:line="590" w:lineRule="exact"/>
        <w:ind w:firstLine="640" w:firstLineChars="200"/>
        <w:rPr>
          <w:sz w:val="32"/>
          <w:lang w:val="en-US" w:eastAsia="zh-CN"/>
          <w:szCs w:val="32"/>
          <w:rFonts w:ascii="黑体" w:hAnsi="黑体" w:eastAsia="黑体" w:hint="eastAsia"/>
        </w:rPr>
      </w:pPr>
      <w:bookmarkStart w:id="6" w:name="_Toc29720"/>
      <w:r>
        <w:rPr>
          <w:sz w:val="32"/>
          <w:lang w:val="en-US" w:eastAsia="zh-CN"/>
          <w:szCs w:val="32"/>
          <w:rFonts w:ascii="黑体" w:hAnsi="黑体" w:eastAsia="黑体" w:hint="eastAsia"/>
        </w:rPr>
        <w:t xml:space="preserve">六、一般公共预算财政拨款基本支出决算情况说明</w:t>
      </w:r>
      <w:bookmarkEnd w:id="6"/>
      <w:r>
        <w:rPr>
          <w:sz w:val="32"/>
          <w:lang w:val="en-US" w:eastAsia="zh-CN"/>
          <w:szCs w:val="32"/>
          <w:rFonts w:ascii="黑体" w:hAnsi="黑体" w:eastAsia="黑体"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numPr>
          <w:ilvl w:val="0"/>
          <w:numId w:val="0"/>
        </w:numPr>
        <w:spacing w:line="590" w:lineRule="exact"/>
        <w:ind w:firstLine="640" w:firstLineChars="200"/>
        <w:rPr>
          <w:sz w:val="32"/>
          <w:lang w:val="en-US" w:eastAsia="zh-CN"/>
          <w:szCs w:val="32"/>
          <w:rFonts w:ascii="仿宋" w:hAnsi="仿宋" w:eastAsia="仿宋" w:hint="eastAsia"/>
        </w:rPr>
      </w:pPr>
      <w:r>
        <w:rPr>
          <w:sz w:val="32"/>
          <w:lang w:val="en-US" w:eastAsia="zh-CN"/>
          <w:szCs w:val="32"/>
          <w:rFonts w:ascii="仿宋" w:hAnsi="仿宋" w:eastAsia="仿宋" w:hint="eastAsia"/>
        </w:rPr>
        <w:t xml:space="preserve">2025年度一般公共预算财政拨款基本支出1271.81万元。其中：</w:t>
      </w:r>
      <w:r>
        <w:rPr>
          <w:b w:val="1"/>
          <w:sz w:val="32"/>
          <w:lang w:val="en-US" w:eastAsia="zh-CN"/>
          <w:bCs/>
          <w:szCs w:val="32"/>
          <w:rFonts w:ascii="仿宋" w:hAnsi="仿宋" w:eastAsia="仿宋" w:hint="eastAsia"/>
        </w:rPr>
        <w:t xml:space="preserve">人员经费</w:t>
      </w:r>
      <w:r>
        <w:rPr>
          <w:sz w:val="32"/>
          <w:lang w:val="en-US" w:eastAsia="zh-CN"/>
          <w:szCs w:val="32"/>
          <w:rFonts w:ascii="仿宋" w:hAnsi="仿宋" w:eastAsia="仿宋" w:hint="eastAsia"/>
        </w:rPr>
        <w:t xml:space="preserve">1207.57万元，主要包括：基本工资、奖金、津贴补贴、绩效工资、机关事业单位基本养老保险缴费、职工基本医疗保险缴费、其他社会保障缴费、住房公积金、其他工资福利支出、退休费、抚恤金；</w:t>
      </w:r>
      <w:r>
        <w:rPr>
          <w:b w:val="1"/>
          <w:sz w:val="32"/>
          <w:lang w:val="en-US" w:eastAsia="zh-CN"/>
          <w:bCs/>
          <w:szCs w:val="32"/>
          <w:rFonts w:ascii="仿宋" w:hAnsi="仿宋" w:eastAsia="仿宋" w:hint="eastAsia"/>
        </w:rPr>
        <w:t xml:space="preserve">公用经费</w:t>
      </w:r>
      <w:r>
        <w:rPr>
          <w:sz w:val="32"/>
          <w:lang w:val="en-US" w:eastAsia="zh-CN"/>
          <w:szCs w:val="32"/>
          <w:rFonts w:ascii="仿宋" w:hAnsi="仿宋" w:eastAsia="仿宋" w:hint="eastAsia"/>
        </w:rPr>
        <w:t xml:space="preserve">64.24万元，主要包括：办公费、印刷费、水费、电费、邮电费、物业管理费、差旅费、维修（护）费、工会经费、福利费、公务用车运行维护费、其他商品和服务支出、办公设备购置。</w:t>
      </w:r>
    </w:p>
    <w:p>
      <w:pPr>
        <w:pStyle w:val="Normal"/>
        <w:widowControl w:val="1"/>
        <w:keepNext w:val="0"/>
        <w:keepLines w:val="0"/>
        <w:pageBreakBefore w:val="0"/>
        <w:wordWrap w:val="1"/>
        <w:overflowPunct w:val="1"/>
        <w:topLinePunct w:val="0"/>
        <w:kinsoku w:val="1"/>
        <w:autoSpaceDE w:val="1"/>
        <w:autoSpaceDN w:val="1"/>
        <w:bidi w:val="0"/>
        <w:snapToGrid w:val="1"/>
        <w:jc w:val="both"/>
        <w:outlineLvl w:val="1"/>
        <w:spacing w:line="590" w:lineRule="exact"/>
        <w:ind w:firstLine="640" w:firstLineChars="200"/>
        <w:rPr>
          <w:sz w:val="32"/>
          <w:lang w:val="en-US" w:eastAsia="zh-CN"/>
          <w:szCs w:val="32"/>
          <w:rFonts w:ascii="黑体" w:hAnsi="黑体" w:eastAsia="黑体" w:hint="eastAsia"/>
        </w:rPr>
      </w:pPr>
      <w:bookmarkStart w:id="7" w:name="_Toc30366"/>
      <w:r>
        <w:rPr>
          <w:sz w:val="32"/>
          <w:lang w:val="en-US" w:eastAsia="zh-CN"/>
          <w:szCs w:val="32"/>
          <w:rFonts w:ascii="黑体" w:hAnsi="黑体" w:eastAsia="黑体" w:hint="eastAsia"/>
        </w:rPr>
        <w:t xml:space="preserve">七、政府性基金预算财政拨款支出决算情况说明</w:t>
      </w:r>
      <w:bookmarkEnd w:id="7"/>
      <w:r>
        <w:rPr>
          <w:sz w:val="32"/>
          <w:lang w:val="en-US" w:eastAsia="zh-CN"/>
          <w:szCs w:val="32"/>
          <w:rFonts w:ascii="黑体" w:hAnsi="黑体" w:eastAsia="黑体"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numPr>
          <w:ilvl w:val="0"/>
          <w:numId w:val="0"/>
        </w:numPr>
        <w:spacing w:line="590" w:lineRule="exact"/>
        <w:ind w:firstLine="640" w:firstLineChars="200"/>
        <w:rPr>
          <w:sz w:val="32"/>
          <w:lang w:val="en-US" w:eastAsia="zh-CN"/>
          <w:szCs w:val="32"/>
          <w:rFonts w:ascii="仿宋" w:hAnsi="仿宋" w:eastAsia="仿宋" w:hint="eastAsia"/>
        </w:rPr>
      </w:pPr>
      <w:r>
        <w:rPr>
          <w:sz w:val="32"/>
          <w:lang w:val="en-US" w:eastAsia="zh-CN"/>
          <w:szCs w:val="32"/>
          <w:rFonts w:ascii="仿宋" w:hAnsi="仿宋" w:eastAsia="仿宋" w:hint="eastAsia"/>
        </w:rPr>
        <w:t xml:space="preserve">我单位2025年度没有政府性基金收入，也没有使用政府性基金安排的支出。</w:t>
      </w:r>
    </w:p>
    <w:p>
      <w:pPr>
        <w:pStyle w:val="Normal"/>
        <w:widowControl w:val="1"/>
        <w:keepNext w:val="0"/>
        <w:keepLines w:val="0"/>
        <w:pageBreakBefore w:val="0"/>
        <w:wordWrap w:val="1"/>
        <w:overflowPunct w:val="1"/>
        <w:topLinePunct w:val="0"/>
        <w:kinsoku w:val="1"/>
        <w:autoSpaceDE w:val="1"/>
        <w:autoSpaceDN w:val="1"/>
        <w:bidi w:val="0"/>
        <w:snapToGrid w:val="1"/>
        <w:jc w:val="both"/>
        <w:outlineLvl w:val="1"/>
        <w:spacing w:line="590" w:lineRule="exact"/>
        <w:ind w:firstLine="640" w:firstLineChars="200"/>
        <w:rPr>
          <w:sz w:val="32"/>
          <w:lang w:val="en-US" w:eastAsia="zh-CN"/>
          <w:szCs w:val="32"/>
          <w:rFonts w:ascii="黑体" w:hAnsi="黑体" w:eastAsia="黑体" w:hint="eastAsia"/>
        </w:rPr>
      </w:pPr>
      <w:bookmarkStart w:id="8" w:name="_Toc989"/>
      <w:r>
        <w:rPr>
          <w:sz w:val="32"/>
          <w:lang w:val="en-US" w:eastAsia="zh-CN"/>
          <w:szCs w:val="32"/>
          <w:rFonts w:ascii="黑体" w:hAnsi="黑体" w:eastAsia="黑体" w:hint="eastAsia"/>
        </w:rPr>
        <w:t xml:space="preserve">八、国有资本经营预算财政拨款支出决算情况说明</w:t>
      </w:r>
      <w:bookmarkEnd w:id="8"/>
      <w:r>
        <w:rPr>
          <w:sz w:val="32"/>
          <w:lang w:val="en-US" w:eastAsia="zh-CN"/>
          <w:szCs w:val="32"/>
          <w:rFonts w:ascii="黑体" w:hAnsi="黑体" w:eastAsia="黑体"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numPr>
          <w:ilvl w:val="0"/>
          <w:numId w:val="0"/>
        </w:numPr>
        <w:spacing w:line="590" w:lineRule="exact"/>
        <w:ind w:firstLine="640" w:firstLineChars="200"/>
        <w:rPr>
          <w:sz w:val="32"/>
          <w:lang w:val="en-US" w:eastAsia="zh-CN"/>
          <w:szCs w:val="32"/>
          <w:rFonts w:ascii="仿宋" w:hAnsi="仿宋" w:eastAsia="仿宋" w:hint="eastAsia"/>
        </w:rPr>
      </w:pPr>
      <w:r>
        <w:rPr>
          <w:sz w:val="32"/>
          <w:lang w:val="en-US" w:eastAsia="zh-CN"/>
          <w:szCs w:val="32"/>
          <w:rFonts w:ascii="仿宋" w:hAnsi="仿宋" w:eastAsia="仿宋" w:hint="eastAsia"/>
        </w:rPr>
        <w:t xml:space="preserve">我单位2025年度没有国有资本经营收入，也没有使用国有资本经营安排的支出。</w:t>
      </w:r>
    </w:p>
    <w:p>
      <w:pPr>
        <w:pStyle w:val="Normal"/>
        <w:widowControl w:val="1"/>
        <w:keepNext w:val="0"/>
        <w:keepLines w:val="0"/>
        <w:pageBreakBefore w:val="0"/>
        <w:wordWrap w:val="1"/>
        <w:overflowPunct w:val="1"/>
        <w:topLinePunct w:val="0"/>
        <w:kinsoku w:val="1"/>
        <w:autoSpaceDE w:val="1"/>
        <w:autoSpaceDN w:val="1"/>
        <w:bidi w:val="0"/>
        <w:snapToGrid w:val="1"/>
        <w:jc w:val="both"/>
        <w:outlineLvl w:val="1"/>
        <w:spacing w:line="590" w:lineRule="exact"/>
        <w:ind w:firstLine="640" w:firstLineChars="200"/>
        <w:rPr>
          <w:sz w:val="32"/>
          <w:lang w:val="en-US" w:eastAsia="zh-CN"/>
          <w:szCs w:val="32"/>
          <w:rFonts w:ascii="黑体" w:hAnsi="黑体" w:eastAsia="黑体" w:hint="eastAsia"/>
        </w:rPr>
      </w:pPr>
      <w:bookmarkStart w:id="9" w:name="_Toc605"/>
      <w:r>
        <w:rPr>
          <w:sz w:val="32"/>
          <w:lang w:val="en-US" w:eastAsia="zh-CN"/>
          <w:szCs w:val="32"/>
          <w:rFonts w:ascii="黑体" w:hAnsi="黑体" w:eastAsia="黑体" w:hint="eastAsia"/>
        </w:rPr>
        <w:t xml:space="preserve">九、一般公共预算财政拨款“三公”经费支出决算情况说明</w:t>
      </w:r>
      <w:bookmarkEnd w:id="9"/>
      <w:r>
        <w:rPr>
          <w:sz w:val="32"/>
          <w:lang w:val="en-US" w:eastAsia="zh-CN"/>
          <w:szCs w:val="32"/>
          <w:rFonts w:ascii="黑体" w:hAnsi="黑体" w:eastAsia="黑体"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outlineLvl w:val="2"/>
        <w:spacing w:line="590" w:lineRule="exact"/>
        <w:ind w:firstLine="640" w:firstLineChars="200"/>
        <w:rPr>
          <w:b w:val="1"/>
          <w:sz w:val="32"/>
          <w:lang w:val="en-US" w:eastAsia="zh-CN"/>
          <w:bCs/>
          <w:szCs w:val="32"/>
          <w:rFonts w:ascii="楷体" w:hAnsi="楷体" w:eastAsia="楷体" w:hint="eastAsia"/>
        </w:rPr>
      </w:pPr>
      <w:r>
        <w:rPr>
          <w:b w:val="1"/>
          <w:sz w:val="32"/>
          <w:lang w:val="en-US" w:eastAsia="zh-CN"/>
          <w:bCs/>
          <w:szCs w:val="32"/>
          <w:rFonts w:ascii="楷体" w:hAnsi="楷体" w:eastAsia="楷体" w:hint="eastAsia"/>
        </w:rPr>
        <w:t xml:space="preserve">（一）一般公共预算财政拨款“三公”经费支出决算总体情况说明。</w:t>
      </w:r>
    </w:p>
    <w:p>
      <w:pPr>
        <w:pStyle w:val="Normal"/>
        <w:widowControl w:val="1"/>
        <w:keepNext w:val="0"/>
        <w:keepLines w:val="0"/>
        <w:pageBreakBefore w:val="0"/>
        <w:wordWrap w:val="1"/>
        <w:overflowPunct w:val="1"/>
        <w:topLinePunct w:val="0"/>
        <w:kinsoku w:val="1"/>
        <w:autoSpaceDE w:val="1"/>
        <w:autoSpaceDN w:val="1"/>
        <w:bidi w:val="0"/>
        <w:snapToGrid w:val="1"/>
        <w:jc w:val="both"/>
        <w:numPr>
          <w:ilvl w:val="0"/>
          <w:numId w:val="0"/>
        </w:numPr>
        <w:spacing w:line="590" w:lineRule="exact"/>
        <w:ind w:firstLine="640" w:firstLineChars="200"/>
        <w:rPr>
          <w:sz w:val="32"/>
          <w:lang w:val="en-US" w:eastAsia="zh-CN"/>
          <w:szCs w:val="32"/>
          <w:rFonts w:ascii="仿宋" w:hAnsi="仿宋" w:eastAsia="仿宋" w:hint="eastAsia"/>
        </w:rPr>
      </w:pPr>
      <w:r>
        <w:rPr>
          <w:sz w:val="32"/>
          <w:lang w:val="en-US" w:eastAsia="zh-CN"/>
          <w:szCs w:val="32"/>
          <w:rFonts w:ascii="仿宋" w:hAnsi="仿宋" w:eastAsia="仿宋" w:hint="eastAsia"/>
        </w:rPr>
        <w:t xml:space="preserve">2025年度一般公共预算财政拨款“三公”经费支出预算为4.15万元，支出决算为4.15万元，完成预算的100.00%。2025年度“三公”经费支出决算数与预算数无差异。</w:t>
      </w:r>
    </w:p>
    <w:p>
      <w:pPr>
        <w:pStyle w:val="Normal"/>
        <w:widowControl w:val="1"/>
        <w:keepNext w:val="0"/>
        <w:keepLines w:val="0"/>
        <w:pageBreakBefore w:val="0"/>
        <w:wordWrap w:val="1"/>
        <w:overflowPunct w:val="1"/>
        <w:topLinePunct w:val="0"/>
        <w:kinsoku w:val="1"/>
        <w:autoSpaceDE w:val="1"/>
        <w:autoSpaceDN w:val="1"/>
        <w:bidi w:val="0"/>
        <w:snapToGrid w:val="1"/>
        <w:jc w:val="both"/>
        <w:outlineLvl w:val="2"/>
        <w:spacing w:line="590" w:lineRule="exact"/>
        <w:ind w:firstLine="640" w:firstLineChars="200"/>
        <w:rPr>
          <w:b w:val="1"/>
          <w:sz w:val="32"/>
          <w:lang w:val="en-US" w:eastAsia="zh-CN"/>
          <w:bCs/>
          <w:szCs w:val="32"/>
          <w:rFonts w:ascii="楷体" w:hAnsi="楷体" w:eastAsia="楷体" w:hint="eastAsia"/>
        </w:rPr>
      </w:pPr>
      <w:r>
        <w:rPr>
          <w:b w:val="1"/>
          <w:sz w:val="32"/>
          <w:lang w:val="en-US" w:eastAsia="zh-CN"/>
          <w:bCs/>
          <w:szCs w:val="32"/>
          <w:rFonts w:ascii="楷体" w:hAnsi="楷体" w:eastAsia="楷体" w:hint="eastAsia"/>
        </w:rPr>
        <w:t xml:space="preserve">（二）一般公共预算财政拨款“三公”经费支出决算具体情况说明。</w:t>
      </w:r>
      <w:r>
        <w:rPr>
          <w:b w:val="1"/>
          <w:sz w:val="32"/>
          <w:lang w:val="en-US" w:eastAsia="zh-CN"/>
          <w:bCs/>
          <w:szCs w:val="32"/>
          <w:rFonts w:ascii="楷体" w:hAnsi="楷体" w:eastAsia="楷体"/>
        </w:rPr>
      </w:r>
    </w:p>
    <w:p>
      <w:pPr>
        <w:pStyle w:val="Normal"/>
        <w:widowControl w:val="1"/>
        <w:keepNext w:val="0"/>
        <w:keepLines w:val="0"/>
        <w:pageBreakBefore w:val="0"/>
        <w:wordWrap w:val="1"/>
        <w:overflowPunct w:val="1"/>
        <w:topLinePunct w:val="0"/>
        <w:kinsoku w:val="1"/>
        <w:autoSpaceDE w:val="1"/>
        <w:autoSpaceDN w:val="1"/>
        <w:bidi w:val="0"/>
        <w:snapToGrid w:val="1"/>
        <w:jc w:val="both"/>
        <w:numPr>
          <w:ilvl w:val="0"/>
          <w:numId w:val="0"/>
        </w:numPr>
        <w:spacing w:line="590" w:lineRule="exact"/>
        <w:ind w:firstLine="640" w:firstLineChars="200"/>
        <w:rPr>
          <w:sz w:val="32"/>
          <w:lang w:val="en-US" w:eastAsia="zh-CN"/>
          <w:szCs w:val="32"/>
          <w:rFonts w:ascii="仿宋" w:hAnsi="仿宋" w:eastAsia="仿宋" w:hint="eastAsia"/>
        </w:rPr>
      </w:pPr>
      <w:r>
        <w:rPr>
          <w:sz w:val="32"/>
          <w:lang w:val="en-US" w:eastAsia="zh-CN"/>
          <w:szCs w:val="32"/>
          <w:rFonts w:ascii="仿宋" w:hAnsi="仿宋" w:eastAsia="仿宋" w:hint="eastAsia"/>
        </w:rPr>
        <w:t xml:space="preserve">2025年度一般公共预算财政拨款“三公”经费支出决算中，因公出国（境）费支出决算0.00万元，完成预算的0.00%，占0.00%；公务用车购置及运行费支出决算4.15万元，完成预算的100.00%，占100.00%；公务接待费支出决算0.00万元，完成预算的0.00%，占0.00%。具体情况如下：</w:t>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b w:val="1"/>
          <w:sz w:val="32"/>
          <w:lang w:val="en-US" w:eastAsia="zh-CN"/>
          <w:bCs/>
          <w:szCs w:val="32"/>
          <w:rFonts w:ascii="仿宋_GB2312" w:hAnsi="仿宋_GB2312" w:eastAsia="仿宋_GB2312" w:hint="eastAsia"/>
        </w:rPr>
      </w:pPr>
      <w:r>
        <w:rPr>
          <w:b w:val="1"/>
          <w:sz w:val="32"/>
          <w:lang w:val="en-US" w:eastAsia="zh-CN"/>
          <w:bCs/>
          <w:szCs w:val="32"/>
          <w:rFonts w:ascii="仿宋_GB2312" w:hAnsi="仿宋_GB2312" w:eastAsia="仿宋_GB2312" w:hint="eastAsia"/>
        </w:rPr>
        <w:t xml:space="preserve">1．因公出国（境）费</w:t>
      </w:r>
      <w:r>
        <w:rPr>
          <w:sz w:val="32"/>
          <w:lang w:val="en-US" w:eastAsia="zh-CN"/>
          <w:szCs w:val="32"/>
          <w:rFonts w:ascii="仿宋" w:hAnsi="仿宋" w:eastAsia="仿宋" w:hint="eastAsia"/>
        </w:rPr>
        <w:t xml:space="preserve">预算为0.00万元，支出决算为0.00万元，完成预算的0.00%，全年因公出国（境）团组0个，累计0人次。决算数与预算数无差异。</w:t>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b w:val="1"/>
          <w:sz w:val="32"/>
          <w:lang w:val="en-US" w:eastAsia="zh-CN"/>
          <w:bCs/>
          <w:szCs w:val="32"/>
          <w:rFonts w:ascii="仿宋_GB2312" w:hAnsi="仿宋_GB2312" w:eastAsia="仿宋_GB2312" w:hint="eastAsia"/>
        </w:rPr>
      </w:pPr>
      <w:r>
        <w:rPr>
          <w:b w:val="1"/>
          <w:sz w:val="32"/>
          <w:lang w:val="en-US" w:eastAsia="zh-CN"/>
          <w:bCs/>
          <w:szCs w:val="32"/>
          <w:rFonts w:ascii="仿宋_GB2312" w:hAnsi="仿宋_GB2312" w:eastAsia="仿宋_GB2312" w:hint="eastAsia"/>
        </w:rPr>
        <w:t xml:space="preserve">2．公务用车购置及运行费</w:t>
      </w:r>
      <w:r>
        <w:rPr>
          <w:sz w:val="32"/>
          <w:lang w:val="en-US" w:eastAsia="zh-CN"/>
          <w:szCs w:val="32"/>
          <w:rFonts w:ascii="仿宋" w:hAnsi="仿宋" w:eastAsia="仿宋" w:hint="eastAsia"/>
        </w:rPr>
        <w:t xml:space="preserve">预算为4.15万元，支出决算为4.15万元，完成预算的100.00%。决算数与预算数无差异。其中：</w:t>
      </w:r>
      <w:r>
        <w:rPr>
          <w:sz w:val="32"/>
          <w:lang w:val="en-US" w:eastAsia="zh-CN"/>
          <w:szCs w:val="32"/>
          <w:rFonts w:ascii="仿宋_GB2312" w:hAnsi="仿宋_GB2312" w:eastAsia="仿宋_GB2312"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b w:val="1"/>
          <w:sz w:val="32"/>
          <w:lang w:val="en-US" w:eastAsia="zh-CN"/>
          <w:bCs/>
          <w:szCs w:val="32"/>
          <w:rFonts w:ascii="仿宋_GB2312" w:hAnsi="仿宋_GB2312" w:eastAsia="仿宋_GB2312" w:hint="eastAsia"/>
        </w:rPr>
      </w:pPr>
      <w:r>
        <w:rPr>
          <w:b w:val="1"/>
          <w:sz w:val="32"/>
          <w:lang w:val="en-US" w:eastAsia="zh-CN"/>
          <w:bCs/>
          <w:szCs w:val="32"/>
          <w:rFonts w:ascii="仿宋_GB2312" w:hAnsi="仿宋_GB2312" w:eastAsia="仿宋_GB2312" w:hint="eastAsia"/>
        </w:rPr>
        <w:t xml:space="preserve">公务用车购置支出</w:t>
      </w:r>
      <w:r>
        <w:rPr>
          <w:sz w:val="32"/>
          <w:lang w:val="en-US" w:eastAsia="zh-CN"/>
          <w:szCs w:val="32"/>
          <w:rFonts w:ascii="仿宋" w:hAnsi="仿宋" w:eastAsia="仿宋" w:hint="eastAsia"/>
        </w:rPr>
        <w:t xml:space="preserve">为0万元，购置车辆0辆。</w:t>
      </w:r>
      <w:r>
        <w:rPr>
          <w:sz w:val="32"/>
          <w:lang w:val="en-US" w:eastAsia="zh-CN"/>
          <w:szCs w:val="32"/>
          <w:rFonts w:ascii="仿宋_GB2312" w:hAnsi="仿宋_GB2312" w:eastAsia="仿宋_GB2312"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b w:val="1"/>
          <w:sz w:val="32"/>
          <w:lang w:val="en-US" w:eastAsia="zh-CN"/>
          <w:bCs/>
          <w:szCs w:val="32"/>
          <w:rFonts w:ascii="仿宋_GB2312" w:hAnsi="仿宋_GB2312" w:eastAsia="仿宋_GB2312" w:hint="eastAsia"/>
        </w:rPr>
      </w:pPr>
      <w:r>
        <w:rPr>
          <w:b w:val="1"/>
          <w:sz w:val="32"/>
          <w:lang w:val="en-US" w:eastAsia="zh-CN"/>
          <w:bCs/>
          <w:szCs w:val="32"/>
          <w:rFonts w:ascii="仿宋_GB2312" w:hAnsi="仿宋_GB2312" w:eastAsia="仿宋_GB2312" w:hint="eastAsia"/>
        </w:rPr>
        <w:t xml:space="preserve">公务用车运行维护支出</w:t>
      </w:r>
      <w:r>
        <w:rPr>
          <w:sz w:val="32"/>
          <w:lang w:val="en-US" w:eastAsia="zh-CN"/>
          <w:szCs w:val="32"/>
          <w:rFonts w:ascii="仿宋" w:hAnsi="仿宋" w:eastAsia="仿宋" w:hint="eastAsia"/>
        </w:rPr>
        <w:t xml:space="preserve">4.15万元。主要用于前往各县区查看水利情况，公车保险及维修加油费用等。2025年期末，单位开支财政拨款的公务用车保有量为7辆。</w:t>
      </w:r>
      <w:r>
        <w:rPr>
          <w:sz w:val="32"/>
          <w:lang w:val="en-US" w:eastAsia="zh-CN"/>
          <w:szCs w:val="32"/>
          <w:rFonts w:ascii="仿宋_GB2312" w:hAnsi="仿宋_GB2312" w:eastAsia="仿宋_GB2312"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b w:val="1"/>
          <w:sz w:val="32"/>
          <w:lang w:val="en-US" w:eastAsia="zh-CN"/>
          <w:bCs/>
          <w:szCs w:val="32"/>
          <w:rFonts w:ascii="仿宋_GB2312" w:hAnsi="仿宋_GB2312" w:eastAsia="仿宋_GB2312" w:hint="eastAsia"/>
        </w:rPr>
      </w:pPr>
      <w:r>
        <w:rPr>
          <w:b w:val="1"/>
          <w:sz w:val="32"/>
          <w:lang w:val="en-US" w:eastAsia="zh-CN"/>
          <w:bCs/>
          <w:szCs w:val="32"/>
          <w:rFonts w:ascii="仿宋_GB2312" w:hAnsi="仿宋_GB2312" w:eastAsia="仿宋_GB2312" w:hint="eastAsia"/>
        </w:rPr>
        <w:t xml:space="preserve">3.公务接待费</w:t>
      </w:r>
      <w:r>
        <w:rPr>
          <w:sz w:val="32"/>
          <w:lang w:val="en-US" w:eastAsia="zh-CN"/>
          <w:szCs w:val="32"/>
          <w:rFonts w:ascii="仿宋" w:hAnsi="仿宋" w:eastAsia="仿宋" w:hint="eastAsia"/>
        </w:rPr>
        <w:t xml:space="preserve">预算为0.00万元，支出决算为0.00万元，完成预算的0.00%。决算数与预算数无差异。其中：</w:t>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sz w:val="32"/>
          <w:lang w:val="en-US" w:eastAsia="zh-CN"/>
          <w:szCs w:val="32"/>
          <w:rFonts w:ascii="仿宋" w:hAnsi="仿宋" w:eastAsia="仿宋" w:hint="eastAsia"/>
        </w:rPr>
      </w:pPr>
      <w:r>
        <w:rPr>
          <w:sz w:val="32"/>
          <w:lang w:val="en-US" w:eastAsia="zh-CN"/>
          <w:szCs w:val="32"/>
          <w:rFonts w:ascii="仿宋" w:hAnsi="仿宋" w:eastAsia="仿宋" w:hint="eastAsia"/>
        </w:rPr>
        <w:t xml:space="preserve">外宾接待支出0.00万元。2025年共接待国（境）外来访团组0个、来访外宾0人次（不包含陪同人员）。</w:t>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sz w:val="32"/>
          <w:lang w:val="en-US" w:eastAsia="zh-CN"/>
          <w:szCs w:val="32"/>
          <w:rFonts w:ascii="仿宋" w:hAnsi="仿宋" w:eastAsia="仿宋" w:hint="eastAsia"/>
        </w:rPr>
      </w:pPr>
      <w:r>
        <w:rPr>
          <w:sz w:val="32"/>
          <w:lang w:val="en-US" w:eastAsia="zh-CN"/>
          <w:szCs w:val="32"/>
          <w:rFonts w:ascii="仿宋" w:hAnsi="仿宋" w:eastAsia="仿宋" w:hint="eastAsia"/>
        </w:rPr>
        <w:t xml:space="preserve">其他国内公务接待支出0.00万元。2025年共接待国内来访团组0个、来宾0人次（不包括陪同人员）。</w:t>
      </w:r>
      <w:r>
        <w:rPr>
          <w:sz w:val="32"/>
          <w:lang w:val="en-US" w:eastAsia="zh-CN"/>
          <w:szCs w:val="32"/>
          <w:rFonts w:ascii="仿宋_GB2312" w:hAnsi="仿宋_GB2312" w:eastAsia="仿宋_GB2312"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outlineLvl w:val="1"/>
        <w:spacing w:line="590" w:lineRule="exact"/>
        <w:ind w:firstLine="640" w:firstLineChars="200"/>
        <w:rPr>
          <w:sz w:val="32"/>
          <w:lang w:val="en-US" w:eastAsia="zh-CN"/>
          <w:szCs w:val="32"/>
          <w:rFonts w:ascii="黑体" w:hAnsi="黑体" w:eastAsia="黑体" w:hint="eastAsia"/>
        </w:rPr>
      </w:pPr>
      <w:r>
        <w:rPr>
          <w:sz w:val="32"/>
          <w:lang w:val="en-US" w:eastAsia="zh-CN"/>
          <w:szCs w:val="32"/>
          <w:rFonts w:ascii="黑体" w:hAnsi="黑体" w:eastAsia="黑体" w:hint="eastAsia"/>
        </w:rPr>
        <w:t xml:space="preserve">十、机关运行经费支出情况说明</w:t>
      </w:r>
      <w:r>
        <w:rPr>
          <w:sz w:val="32"/>
          <w:lang w:val="en-US" w:eastAsia="zh-CN"/>
          <w:szCs w:val="32"/>
          <w:rFonts w:ascii="黑体" w:hAnsi="黑体" w:eastAsia="黑体"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sz w:val="32"/>
          <w:lang w:val="en-US" w:eastAsia="zh-CN"/>
          <w:szCs w:val="32"/>
          <w:rFonts w:ascii="仿宋" w:hAnsi="仿宋" w:eastAsia="仿宋" w:hint="eastAsia"/>
        </w:rPr>
      </w:pPr>
      <w:r>
        <w:rPr>
          <w:sz w:val="32"/>
          <w:lang w:val="en-US" w:eastAsia="zh-CN"/>
          <w:szCs w:val="32"/>
          <w:rFonts w:ascii="仿宋" w:hAnsi="仿宋" w:eastAsia="仿宋" w:hint="eastAsia"/>
        </w:rPr>
        <w:t xml:space="preserve">我单位不是行政机关，也不是参照公务员法管理的事业单位，没有机关运行经费支出。</w:t>
      </w:r>
    </w:p>
    <w:p>
      <w:pPr>
        <w:pStyle w:val="Normal"/>
        <w:widowControl w:val="1"/>
        <w:keepNext w:val="0"/>
        <w:keepLines w:val="0"/>
        <w:pageBreakBefore w:val="0"/>
        <w:wordWrap w:val="1"/>
        <w:overflowPunct w:val="1"/>
        <w:topLinePunct w:val="0"/>
        <w:kinsoku w:val="1"/>
        <w:autoSpaceDE w:val="1"/>
        <w:autoSpaceDN w:val="1"/>
        <w:bidi w:val="0"/>
        <w:snapToGrid w:val="1"/>
        <w:jc w:val="both"/>
        <w:outlineLvl w:val="1"/>
        <w:spacing w:line="590" w:lineRule="exact"/>
        <w:ind w:firstLine="640" w:firstLineChars="200"/>
        <w:rPr>
          <w:sz w:val="32"/>
          <w:lang w:val="en-US" w:eastAsia="zh-CN"/>
          <w:szCs w:val="32"/>
          <w:rFonts w:ascii="黑体" w:hAnsi="黑体" w:eastAsia="黑体" w:hint="eastAsia"/>
        </w:rPr>
      </w:pPr>
      <w:bookmarkStart w:id="11" w:name="_Toc26462"/>
      <w:r>
        <w:rPr>
          <w:sz w:val="32"/>
          <w:lang w:val="en-US" w:eastAsia="zh-CN"/>
          <w:szCs w:val="32"/>
          <w:rFonts w:ascii="黑体" w:hAnsi="黑体" w:eastAsia="黑体" w:hint="eastAsia"/>
        </w:rPr>
        <w:t xml:space="preserve">十一、政府采购支出情况说明</w:t>
      </w:r>
      <w:bookmarkEnd w:id="11"/>
      <w:r>
        <w:rPr>
          <w:sz w:val="32"/>
          <w:lang w:val="en-US" w:eastAsia="zh-CN"/>
          <w:szCs w:val="32"/>
          <w:rFonts w:ascii="黑体" w:hAnsi="黑体" w:eastAsia="黑体"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sz w:val="32"/>
          <w:lang w:val="en-US" w:eastAsia="zh-CN"/>
          <w:szCs w:val="32"/>
          <w:rFonts w:ascii="仿宋" w:hAnsi="仿宋" w:eastAsia="仿宋" w:hint="eastAsia"/>
        </w:rPr>
      </w:pPr>
      <w:r>
        <w:rPr>
          <w:sz w:val="32"/>
          <w:lang w:val="en-US" w:eastAsia="zh-CN"/>
          <w:szCs w:val="32"/>
          <w:rFonts w:ascii="仿宋" w:hAnsi="仿宋" w:eastAsia="仿宋" w:hint="eastAsia"/>
        </w:rPr>
        <w:t xml:space="preserve">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pPr>
        <w:pStyle w:val="Normal"/>
        <w:widowControl w:val="1"/>
        <w:keepNext w:val="0"/>
        <w:keepLines w:val="0"/>
        <w:pageBreakBefore w:val="0"/>
        <w:wordWrap w:val="1"/>
        <w:overflowPunct w:val="1"/>
        <w:topLinePunct w:val="0"/>
        <w:kinsoku w:val="1"/>
        <w:autoSpaceDE w:val="1"/>
        <w:autoSpaceDN w:val="1"/>
        <w:bidi w:val="0"/>
        <w:snapToGrid w:val="1"/>
        <w:jc w:val="both"/>
        <w:outlineLvl w:val="1"/>
        <w:spacing w:line="590" w:lineRule="exact"/>
        <w:ind w:firstLine="640" w:firstLineChars="200"/>
        <w:rPr>
          <w:sz w:val="32"/>
          <w:lang w:val="en-US" w:eastAsia="zh-CN"/>
          <w:szCs w:val="32"/>
          <w:rFonts w:ascii="黑体" w:hAnsi="黑体" w:eastAsia="黑体" w:hint="eastAsia"/>
        </w:rPr>
      </w:pPr>
      <w:bookmarkStart w:id="12" w:name="_Toc16274"/>
      <w:r>
        <w:rPr>
          <w:sz w:val="32"/>
          <w:lang w:val="en-US" w:eastAsia="zh-CN"/>
          <w:szCs w:val="32"/>
          <w:rFonts w:ascii="黑体" w:hAnsi="黑体" w:eastAsia="黑体" w:hint="eastAsia"/>
        </w:rPr>
        <w:t xml:space="preserve">十二、国有资产占用情况说明</w:t>
      </w:r>
      <w:bookmarkEnd w:id="12"/>
      <w:r>
        <w:rPr>
          <w:sz w:val="32"/>
          <w:lang w:val="en-US" w:eastAsia="zh-CN"/>
          <w:szCs w:val="32"/>
          <w:rFonts w:ascii="黑体" w:hAnsi="黑体" w:eastAsia="黑体"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spacing w:line="590" w:lineRule="exact"/>
        <w:ind w:firstLine="640" w:firstLineChars="200"/>
        <w:rPr>
          <w:sz w:val="32"/>
          <w:lang w:val="en-US" w:eastAsia="zh-CN"/>
          <w:szCs w:val="32"/>
          <w:rFonts w:ascii="仿宋" w:hAnsi="仿宋" w:eastAsia="仿宋" w:hint="eastAsia"/>
        </w:rPr>
      </w:pPr>
      <w:r>
        <w:rPr>
          <w:sz w:val="32"/>
          <w:lang w:val="en-US" w:eastAsia="zh-CN"/>
          <w:szCs w:val="32"/>
          <w:rFonts w:ascii="仿宋" w:hAnsi="仿宋" w:eastAsia="仿宋" w:hint="eastAsia"/>
        </w:rPr>
        <w:t xml:space="preserve">2025年期末，我单位共有车辆7辆，其中：省级领导干部用车0辆、主要领导干部用车0辆、机要通信用车0辆、应急保障车0辆、执法执勤用车0辆、特种专业技术用车0辆、离退休干部用车0辆、其他用车7辆；单位价值100万元（含）以上设备（不含车辆）0台（套）。</w:t>
      </w:r>
    </w:p>
    <w:p>
      <w:pPr>
        <w:pStyle w:val="Normal"/>
        <w:widowControl w:val="1"/>
        <w:keepNext w:val="0"/>
        <w:keepLines w:val="0"/>
        <w:pageBreakBefore w:val="0"/>
        <w:wordWrap w:val="1"/>
        <w:overflowPunct w:val="1"/>
        <w:topLinePunct w:val="0"/>
        <w:kinsoku w:val="1"/>
        <w:autoSpaceDE w:val="1"/>
        <w:autoSpaceDN w:val="1"/>
        <w:bidi w:val="0"/>
        <w:snapToGrid w:val="1"/>
        <w:jc w:val="both"/>
        <w:outlineLvl w:val="1"/>
        <w:spacing w:line="590" w:lineRule="exact"/>
        <w:ind w:firstLine="640" w:firstLineChars="200"/>
        <w:rPr>
          <w:sz w:val="32"/>
          <w:lang w:val="en-US" w:eastAsia="zh-CN"/>
          <w:szCs w:val="32"/>
          <w:rFonts w:ascii="黑体" w:hAnsi="黑体" w:eastAsia="黑体" w:hint="eastAsia"/>
        </w:rPr>
      </w:pPr>
      <w:bookmarkStart w:id="13" w:name="_Toc16028"/>
      <w:r>
        <w:rPr>
          <w:sz w:val="32"/>
          <w:lang w:val="en-US" w:eastAsia="zh-CN"/>
          <w:szCs w:val="32"/>
          <w:rFonts w:ascii="黑体" w:hAnsi="黑体" w:eastAsia="黑体" w:hint="eastAsia"/>
        </w:rPr>
        <w:t xml:space="preserve">十三、预算绩效评价情况说明</w:t>
      </w:r>
      <w:bookmarkEnd w:id="13"/>
      <w:r>
        <w:rPr>
          <w:sz w:val="32"/>
          <w:lang w:val="en-US" w:eastAsia="zh-CN"/>
          <w:szCs w:val="32"/>
          <w:rFonts w:ascii="黑体" w:hAnsi="黑体" w:eastAsia="黑体" w:hint="eastAsia"/>
        </w:rPr>
      </w:r>
    </w:p>
    <w:p>
      <w:pPr>
        <w:pStyle w:val="Normal"/>
        <w:widowControl w:val="1"/>
        <w:keepNext w:val="0"/>
        <w:keepLines w:val="0"/>
        <w:pageBreakBefore w:val="0"/>
        <w:wordWrap w:val="1"/>
        <w:overflowPunct w:val="1"/>
        <w:topLinePunct w:val="0"/>
        <w:kinsoku w:val="1"/>
        <w:autoSpaceDE w:val="1"/>
        <w:autoSpaceDN w:val="1"/>
        <w:bidi w:val="0"/>
        <w:snapToGrid w:val="1"/>
        <w:jc w:val="both"/>
        <w:outlineLvl w:val="2"/>
        <w:spacing w:line="590" w:lineRule="exact"/>
        <w:ind w:firstLine="640" w:firstLineChars="200"/>
        <w:rPr>
          <w:b w:val="1"/>
          <w:sz w:val="32"/>
          <w:lang w:val="en-US" w:eastAsia="zh-CN"/>
          <w:bCs/>
          <w:szCs w:val="32"/>
          <w:rFonts w:ascii="楷体" w:hAnsi="楷体" w:eastAsia="楷体" w:hint="eastAsia"/>
        </w:rPr>
      </w:pPr>
      <w:r>
        <w:rPr>
          <w:b w:val="1"/>
          <w:sz w:val="32"/>
          <w:lang w:val="en-US" w:eastAsia="zh-CN"/>
          <w:bCs/>
          <w:szCs w:val="32"/>
          <w:rFonts w:ascii="楷体" w:hAnsi="楷体" w:eastAsia="楷体" w:hint="eastAsia"/>
        </w:rPr>
        <w:t xml:space="preserve">（一）绩效评价工作开展情况。</w:t>
      </w:r>
    </w:p>
    <w:p>
      <w:pPr>
        <w:pStyle w:val="Normal"/>
        <w:widowControl w:val="1"/>
        <w:keepNext w:val="0"/>
        <w:keepLines w:val="0"/>
        <w:jc w:val="both"/>
        <w:suppressLineNumbers w:val="off"/>
        <w:outlineLvl w:val="1"/>
        <w:spacing w:after="0" w:afterAutospacing="0" w:before="0" w:beforeAutospacing="0" w:line="590" w:lineRule="exact"/>
        <w:ind w:firstLine="640" w:firstLineChars="200" w:left="0" w:right="0"/>
        <w:rPr>
          <w:sz w:val="32"/>
          <w:lang w:val="en-US" w:eastAsia="zh-CN"/>
          <w:kern w:val="0"/>
          <w:szCs w:val="32"/>
          <w:rFonts w:ascii="仿宋_GB2312" w:hAnsi="Times New Roman" w:eastAsia="仿宋_GB2312"/>
        </w:rPr>
      </w:pPr>
      <w:r>
        <w:rPr>
          <w:sz w:val="32"/>
          <w:lang w:val="en-US" w:eastAsia="zh-CN"/>
          <w:kern w:val="0"/>
          <w:szCs w:val="32"/>
          <w:rFonts w:ascii="仿宋_GB2312" w:hAnsi="Times New Roman" w:eastAsia="仿宋_GB2312"/>
        </w:rPr>
        <w:t xml:space="preserve">根据预算绩效管理要求，本部门全面开展2025年度预算项目支出绩效自评，涉及项目4个，预算支出119.3万元。</w:t>
      </w:r>
      <w:r>
        <w:rPr>
          <w:sz w:val="32"/>
          <w:kern w:val="0"/>
          <w:szCs w:val="32"/>
          <w:rFonts w:ascii="仿宋_GB2312" w:eastAsia="仿宋_GB2312"/>
        </w:rPr>
      </w:r>
    </w:p>
    <w:p>
      <w:pPr>
        <w:pStyle w:val="Normal"/>
        <w:widowControl w:val="1"/>
        <w:keepNext w:val="0"/>
        <w:keepLines w:val="0"/>
        <w:pageBreakBefore w:val="0"/>
        <w:wordWrap w:val="1"/>
        <w:overflowPunct w:val="1"/>
        <w:topLinePunct w:val="0"/>
        <w:kinsoku w:val="1"/>
        <w:autoSpaceDE w:val="1"/>
        <w:autoSpaceDN w:val="1"/>
        <w:bidi w:val="0"/>
        <w:snapToGrid w:val="1"/>
        <w:jc w:val="both"/>
        <w:outlineLvl w:val="1"/>
        <w:spacing w:line="590" w:lineRule="exact"/>
        <w:ind w:firstLine="640" w:firstLineChars="200"/>
        <w:rPr>
          <w:b w:val="1"/>
          <w:sz w:val="32"/>
          <w:lang w:val="en-US" w:eastAsia="zh-CN"/>
          <w:bCs/>
          <w:szCs w:val="32"/>
          <w:rFonts w:ascii="楷体" w:hAnsi="楷体" w:eastAsia="楷体" w:hint="eastAsia"/>
        </w:rPr>
      </w:pPr>
      <w:r>
        <w:rPr>
          <w:b w:val="1"/>
          <w:sz w:val="32"/>
          <w:lang w:val="en-US" w:eastAsia="zh-CN"/>
          <w:bCs/>
          <w:szCs w:val="32"/>
          <w:rFonts w:ascii="楷体" w:hAnsi="楷体" w:eastAsia="楷体" w:hint="eastAsia"/>
        </w:rPr>
        <w:t xml:space="preserve">（二）项目绩效自评结果。</w:t>
      </w:r>
      <w:r>
        <w:rPr>
          <w:b w:val="1"/>
          <w:sz w:val="32"/>
          <w:lang w:val="en-US" w:eastAsia="zh-CN"/>
          <w:bCs/>
          <w:szCs w:val="32"/>
          <w:rFonts w:ascii="楷体" w:hAnsi="楷体" w:eastAsia="楷体" w:hint="eastAsia"/>
        </w:rPr>
      </w:r>
    </w:p>
    <w:p>
      <w:pPr>
        <w:pStyle w:val="Normal"/>
        <w:widowControl w:val="1"/>
        <w:keepNext w:val="0"/>
        <w:keepLines w:val="0"/>
        <w:jc w:val="both"/>
        <w:suppressLineNumbers w:val="off"/>
        <w:spacing w:after="0" w:afterAutospacing="0" w:before="0" w:beforeAutospacing="0" w:line="590" w:lineRule="exact"/>
        <w:ind w:firstLine="640" w:firstLineChars="200" w:left="0" w:right="0"/>
        <w:rPr>
          <w:sz w:val="32"/>
          <w:lang w:val="en-US" w:eastAsia="zh-CN"/>
          <w:kern w:val="0"/>
          <w:szCs w:val="32"/>
          <w:rFonts w:ascii="仿宋_GB2312" w:hAnsi="Times New Roman" w:eastAsia="仿宋_GB2312"/>
        </w:rPr>
      </w:pPr>
      <w:r>
        <w:rPr>
          <w:sz w:val="32"/>
          <w:lang w:val="en-US" w:eastAsia="zh-CN"/>
          <w:kern w:val="0"/>
          <w:szCs w:val="32"/>
          <w:rFonts w:ascii="仿宋_GB2312" w:hAnsi="Times New Roman" w:eastAsia="仿宋_GB2312"/>
        </w:rPr>
        <w:t xml:space="preserve">结合工作实际，我单位在2025年单位决算中反映【城市运转】河湖水系闸坝工程运行维护经费、【特定工作】河湖长制工作经费、【特定工作】水闸安全鉴定项目、【基本运转】2025年许昌市派驻村干部补助经费等4个项目的绩效自评结果。1.河湖水系闸坝工程运行维护经费项目绩效自评情况：根据年初设定的绩效目标，项目绩效自评得分为100分。项目全年预算数为50万元，执行数为50万元，完成预算的100%。项目绩效目标完成情况：一是保证水系水利工程正常运行；二是强化监管，巩固水系建设成果。发现的主要问题及原因：一是项目实际工作地较为分散，单位人员不足；二是各县区河湖水系闸坝相离较远。下一步改进措施：一是加强人员的专业化能力，尽量提高人员专业化能力；二是加强对项目的完善和管理，保质保量完成项目目标。</w:t>
      </w:r>
      <w:r>
        <w:rPr>
          <w:sz w:val="32"/>
          <w:lang w:val="en-US" w:eastAsia="zh-CN"/>
          <w:kern w:val="0"/>
          <w:szCs w:val="32"/>
          <w:rFonts w:ascii="仿宋" w:hAnsi="仿宋" w:eastAsia="仿宋"/>
        </w:rPr>
      </w:r>
    </w:p>
    <w:p>
      <w:pPr>
        <w:pStyle w:val="Normal"/>
        <w:widowControl w:val="1"/>
        <w:keepNext w:val="0"/>
        <w:keepLines w:val="0"/>
        <w:jc w:val="both"/>
        <w:suppressLineNumbers w:val="off"/>
        <w:spacing w:after="0" w:afterAutospacing="0" w:before="0" w:beforeAutospacing="0" w:line="590" w:lineRule="exact"/>
        <w:ind w:firstLine="640" w:firstLineChars="200" w:left="0" w:right="0"/>
        <w:rPr>
          <w:sz w:val="32"/>
          <w:lang w:val="en-US" w:eastAsia="zh-CN"/>
          <w:kern w:val="0"/>
          <w:szCs w:val="32"/>
          <w:rFonts w:ascii="仿宋_GB2312" w:hAnsi="Times New Roman" w:eastAsia="仿宋_GB2312"/>
        </w:rPr>
      </w:pPr>
      <w:r>
        <w:rPr>
          <w:sz w:val="32"/>
          <w:lang w:val="en-US" w:eastAsia="zh-CN"/>
          <w:kern w:val="0"/>
          <w:szCs w:val="32"/>
          <w:rFonts w:ascii="仿宋_GB2312" w:hAnsi="Times New Roman" w:eastAsia="仿宋_GB2312"/>
        </w:rPr>
        <w:t xml:space="preserve">2.河湖长制工作经费项目绩效自评情况：根据年初设定的绩效目标，项目绩效自评得分为70分。项目全年预算数为5万元，执行数为5万元，完成预算的100%。项目绩效目标完成情况：一是保护水资源，维护生态环境；二是对全市河湖长制进行协调。发现的主要问题及原因：是应加大对河湖长制的投入。下一步改进措施：一是加强对项目资金的专款管理，确保专款专用；二是严格把关确保工程质量。</w:t>
      </w:r>
      <w:r>
        <w:rPr>
          <w:sz w:val="32"/>
          <w:lang w:val="en-US" w:eastAsia="zh-CN"/>
          <w:kern w:val="0"/>
          <w:szCs w:val="32"/>
          <w:rFonts w:ascii="仿宋" w:hAnsi="仿宋" w:eastAsia="仿宋"/>
        </w:rPr>
      </w:r>
    </w:p>
    <w:p>
      <w:pPr>
        <w:pStyle w:val="Normal"/>
        <w:widowControl w:val="1"/>
        <w:keepNext w:val="0"/>
        <w:keepLines w:val="0"/>
        <w:jc w:val="both"/>
        <w:suppressLineNumbers w:val="off"/>
        <w:spacing w:after="0" w:afterAutospacing="0" w:before="0" w:beforeAutospacing="0" w:line="590" w:lineRule="exact"/>
        <w:ind w:firstLine="640" w:firstLineChars="200" w:left="0" w:right="0"/>
        <w:rPr>
          <w:sz w:val="32"/>
          <w:lang w:val="en-US" w:eastAsia="zh-CN"/>
          <w:kern w:val="0"/>
          <w:szCs w:val="32"/>
          <w:rFonts w:ascii="仿宋_GB2312" w:hAnsi="Times New Roman" w:eastAsia="仿宋_GB2312"/>
        </w:rPr>
      </w:pPr>
      <w:r>
        <w:rPr>
          <w:sz w:val="32"/>
          <w:lang w:val="en-US" w:eastAsia="zh-CN"/>
          <w:kern w:val="0"/>
          <w:szCs w:val="32"/>
          <w:rFonts w:ascii="仿宋_GB2312" w:hAnsi="Times New Roman" w:eastAsia="仿宋_GB2312"/>
        </w:rPr>
        <w:t xml:space="preserve">3.水闸安全鉴定项目绩效自评情况：根据年初设定的绩效目标，项目绩效自评得分为69.17分。项目全年预算数为60万元，执行数为57.82万元，完成预算的96.37%。项目绩效目标完成情况：确保中型水闸安全运行。发现的主要问题及原因：一是闸坝较大，分布较散；二是单位人员人手不足。下一步改进措施：一是与上级财政部门沟通，争取资金；二是加强对项目的完善，更好保质保量按时完成项目。</w:t>
      </w:r>
      <w:r>
        <w:rPr>
          <w:sz w:val="32"/>
          <w:lang w:val="en-US" w:eastAsia="zh-CN"/>
          <w:kern w:val="0"/>
          <w:szCs w:val="32"/>
          <w:rFonts w:ascii="仿宋" w:hAnsi="仿宋" w:eastAsia="仿宋"/>
        </w:rPr>
      </w:r>
    </w:p>
    <w:p>
      <w:pPr>
        <w:pStyle w:val="Normal"/>
        <w:widowControl w:val="1"/>
        <w:keepNext w:val="0"/>
        <w:keepLines w:val="0"/>
        <w:jc w:val="both"/>
        <w:suppressLineNumbers w:val="off"/>
        <w:spacing w:after="0" w:afterAutospacing="0" w:before="0" w:beforeAutospacing="0" w:line="590" w:lineRule="exact"/>
        <w:ind w:firstLine="640" w:firstLineChars="200" w:left="0" w:right="0"/>
        <w:rPr>
          <w:sz w:val="32"/>
          <w:lang w:val="en-US" w:eastAsia="zh-CN"/>
          <w:kern w:val="0"/>
          <w:szCs w:val="32"/>
          <w:rFonts w:ascii="仿宋_GB2312" w:hAnsi="Times New Roman" w:eastAsia="仿宋_GB2312"/>
        </w:rPr>
      </w:pPr>
      <w:r>
        <w:rPr>
          <w:sz w:val="32"/>
          <w:lang w:val="en-US" w:eastAsia="zh-CN"/>
          <w:kern w:val="0"/>
          <w:szCs w:val="32"/>
          <w:rFonts w:ascii="仿宋_GB2312" w:hAnsi="Times New Roman" w:eastAsia="仿宋_GB2312"/>
        </w:rPr>
        <w:t xml:space="preserve">4.2025年许昌市派驻村干部补助经费项目绩效自评情况：根据年初设定的绩效目标，项目绩效自评得分为100分。项目全年预算数为4.3万元，执行数为4.3万元，完成预算的100%。项目绩效目标完成情况：一是确保驻村第一书记的生活保障；二是解决驻村书记的后顾之忧。发现的主要问题及原因：一是需要提高对驻村书记工作和生活的关注。下一步改进措施：加强对驻村书记的关注，确保驻村书记能顺利开展工作</w:t>
      </w:r>
      <w:r>
        <w:rPr>
          <w:sz w:val="32"/>
          <w:lang w:val="en-US" w:eastAsia="zh-CN"/>
          <w:kern w:val="0"/>
          <w:szCs w:val="32"/>
          <w:rFonts w:ascii="仿宋" w:hAnsi="仿宋" w:eastAsia="仿宋"/>
        </w:rPr>
      </w:r>
    </w:p>
    <w:p>
      <w:pPr>
        <w:pStyle w:val="BodyText"/>
        <w:rPr>
          <w:sz w:val="32"/>
          <w:lang w:val="en-US" w:eastAsia="zh-CN"/>
          <w:kern w:val="0"/>
          <w:szCs w:val="32"/>
          <w:rFonts w:ascii="仿宋" w:hAnsi="仿宋" w:eastAsia="仿宋"/>
        </w:rPr>
      </w:pPr>
      <w:r>
        <w:rPr>
          <w:sz w:val="32"/>
          <w:lang w:val="en-US" w:eastAsia="zh-CN"/>
          <w:kern w:val="0"/>
          <w:szCs w:val="32"/>
          <w:rFonts w:ascii="仿宋" w:hAnsi="仿宋" w:eastAsia="仿宋"/>
        </w:rPr>
      </w:r>
    </w:p>
    <w:p>
      <w:pPr>
        <w:pStyle w:val="BodyText"/>
        <w:rPr>
          <w:sz w:val="32"/>
          <w:lang w:val="en-US" w:eastAsia="zh-CN"/>
          <w:kern w:val="0"/>
          <w:szCs w:val="32"/>
          <w:rFonts w:ascii="仿宋" w:hAnsi="仿宋" w:eastAsia="仿宋"/>
        </w:rPr>
      </w:pPr>
      <w:r>
        <w:rPr>
          <w:sz w:val="32"/>
          <w:lang w:val="en-US" w:eastAsia="zh-CN"/>
          <w:kern w:val="0"/>
          <w:szCs w:val="32"/>
          <w:rFonts w:ascii="仿宋" w:hAnsi="仿宋" w:eastAsia="仿宋"/>
        </w:rPr>
      </w:r>
    </w:p>
    <w:p>
      <w:pPr>
        <w:pStyle w:val="BodyText"/>
        <w:rPr>
          <w:sz w:val="32"/>
          <w:lang w:val="en-US" w:eastAsia="zh-CN"/>
          <w:kern w:val="0"/>
          <w:szCs w:val="32"/>
          <w:rFonts w:ascii="仿宋" w:hAnsi="仿宋" w:eastAsia="仿宋"/>
        </w:rPr>
        <w:sectPr>
          <w:type w:val="continuous"/>
          <w:docGrid w:type="lines" w:linePitch="312" w:charSpace="0"/>
          <w:pgSz w:w="11906" w:h="16838" w:orient="portrait"/>
          <w:pgMar w:top="2098" w:right="1474" w:bottom="1984" w:left="1587" w:header="720" w:footer="720" w:gutter="0"/>
          <w:pgNumType w:fmt="57"/>
          <w:cols w:num="1" w:equalWidth="0" w:space="425">
            <w:col w:space="-12288" w:w="8845"/>
          </w:cols>
          <w:pgNumType w:fmt="57"/>
        </w:sectPr>
      </w:pPr>
    </w:p>
    <w:p>
      <w:pPr>
        <w:pStyle w:val="BodyText"/>
        <w:rPr>
          <w:sz w:val="32"/>
          <w:lang w:val="en-US" w:eastAsia="zh-CN"/>
          <w:kern w:val="0"/>
          <w:szCs w:val="32"/>
          <w:rFonts w:ascii="仿宋" w:hAnsi="仿宋" w:eastAsia="仿宋"/>
        </w:rPr>
      </w:pPr>
      <w:r>
        <w:rPr>
          <w:sz w:val="32"/>
          <w:lang w:val="en-US" w:eastAsia="zh-CN"/>
          <w:kern w:val="0"/>
          <w:szCs w:val="32"/>
          <w:rFonts w:ascii="仿宋" w:hAnsi="仿宋" w:eastAsia="仿宋"/>
        </w:rPr>
      </w:r>
    </w:p>
    <w:p>
      <w:pPr>
        <w:pStyle w:val="Normal"/>
        <w:rPr>
          <w:sz w:val="28"/>
          <w:lang w:eastAsia="zh-CN"/>
          <w:kern w:val="0"/>
          <w:szCs w:val="28"/>
          <w:rFonts w:ascii="黑体" w:hAnsi="宋体" w:eastAsia="黑体" w:hint="eastAsia"/>
        </w:rPr>
      </w:pPr>
      <w:r>
        <w:tab/>
        <w:rPr>
          <w:sz w:val="28"/>
          <w:lang w:eastAsia="zh-CN"/>
          <w:kern w:val="0"/>
          <w:szCs w:val="28"/>
          <w:rFonts w:ascii="黑体" w:hAnsi="宋体" w:eastAsia="黑体" w:hint="eastAsia"/>
        </w:rPr>
      </w:r>
      <w:r>
        <w:tab/>
        <w:rPr>
          <w:lang w:eastAsia="zh-CN"/>
          <w:rFonts w:hint="eastAsia"/>
        </w:rPr>
      </w:r>
      <w:r>
        <w:rPr>
          <w:rFonts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r>
    </w:p>
    <w:p>
      <w:pPr>
        <w:pStyle w:val="Normal"/>
        <w:widowControl w:val="1"/>
        <w:keepNext w:val="0"/>
        <w:keepLines w:val="0"/>
        <w:jc w:val="start"/>
        <w:suppressLineNumbers w:val="off"/>
        <w:spacing w:after="0" w:afterAutospacing="0" w:before="0" w:beforeAutospacing="0"/>
        <w:ind w:left="0" w:right="0"/>
        <w:rPr>
          <w:sz w:val="28"/>
          <w:lang w:val="en-US" w:eastAsia="zh-CN"/>
          <w:kern w:val="0"/>
          <w:szCs w:val="28"/>
          <w:rFonts w:ascii="黑体" w:hAnsi="宋体" w:eastAsia="黑体" w:hint="eastAsia"/>
        </w:rPr>
      </w:pPr>
      <w:r>
        <w:rPr>
          <w:sz w:val="28"/>
          <w:lang w:val="en-US" w:eastAsia="zh-CN"/>
          <w:kern w:val="0"/>
          <w:szCs w:val="28"/>
          <w:rFonts w:ascii="黑体" w:hAnsi="宋体" w:eastAsia="黑体" w:hint="eastAsia"/>
        </w:rPr>
        <w:t xml:space="preserve"> </w:t>
      </w:r>
      <w:r>
        <w:rPr>
          <w:sz w:val="28"/>
          <w:kern w:val="0"/>
          <w:szCs w:val="28"/>
          <w:rFonts w:ascii="黑体" w:hAnsi="宋体" w:eastAsia="黑体" w:hint="eastAsia"/>
        </w:rPr>
      </w:r>
    </w:p>
    <w:p>
      <w:pPr>
        <w:pStyle w:val="Normal"/>
        <w:widowControl w:val="0"/>
        <w:keepNext w:val="0"/>
        <w:keepLines w:val="0"/>
        <w:jc w:val="center"/>
        <w:suppressLineNumbers w:val="off"/>
        <w:outlineLvl w:val="0"/>
        <w:spacing w:after="0" w:afterAutospacing="0" w:before="0" w:beforeAutospacing="0"/>
        <w:ind w:left="0" w:right="0"/>
        <w:rPr>
          <w:sz w:val="48"/>
          <w:lang w:val="en-US" w:eastAsia="zh-CN"/>
          <w:kern w:val="2"/>
          <w:szCs w:val="48"/>
          <w:rFonts w:ascii="黑体" w:hAnsi="宋体" w:eastAsia="黑体" w:hint="eastAsia"/>
        </w:rPr>
      </w:pPr>
      <w:r>
        <w:rPr>
          <w:sz w:val="48"/>
          <w:lang w:val="en-US" w:eastAsia="zh-CN"/>
          <w:kern w:val="2"/>
          <w:szCs w:val="48"/>
          <w:rFonts w:ascii="黑体" w:hAnsi="宋体" w:eastAsia="黑体" w:hint="eastAsia"/>
        </w:rPr>
        <w:t xml:space="preserve">第四部分 名词解释</w:t>
      </w:r>
      <w:r>
        <w:rPr>
          <w:sz w:val="48"/>
          <w:kern w:val="2"/>
          <w:szCs w:val="48"/>
          <w:rFonts w:ascii="黑体" w:hAnsi="宋体" w:eastAsia="黑体" w:hint="eastAsia"/>
        </w:rPr>
      </w:r>
    </w:p>
    <w:p>
      <w:pPr>
        <w:pStyle w:val="Normal"/>
        <w:widowControl w:val="0"/>
        <w:keepNext w:val="0"/>
        <w:keepLines w:val="0"/>
        <w:jc w:val="center"/>
        <w:suppressLineNumbers w:val="off"/>
        <w:spacing w:after="0" w:afterAutospacing="0" w:before="0" w:beforeAutospacing="0"/>
        <w:ind w:left="0" w:right="0"/>
        <w:rPr>
          <w:sz w:val="48"/>
          <w:lang w:val="en-US" w:eastAsia="zh-CN"/>
          <w:kern w:val="2"/>
          <w:szCs w:val="48"/>
          <w:rFonts w:ascii="黑体" w:hAnsi="宋体" w:eastAsia="黑体" w:hint="eastAsia"/>
        </w:rPr>
      </w:pPr>
      <w:r>
        <w:rPr>
          <w:sz w:val="48"/>
          <w:lang w:val="en-US" w:eastAsia="zh-CN"/>
          <w:kern w:val="2"/>
          <w:szCs w:val="48"/>
          <w:rFonts w:ascii="黑体" w:hAnsi="宋体" w:eastAsia="黑体" w:hint="eastAsia"/>
        </w:rPr>
        <w:t xml:space="preserve"> </w:t>
      </w:r>
      <w:r>
        <w:rPr>
          <w:sz w:val="48"/>
          <w:kern w:val="2"/>
          <w:szCs w:val="48"/>
          <w:rFonts w:ascii="黑体" w:hAnsi="宋体" w:eastAsia="黑体" w:hint="eastAsia"/>
        </w:rPr>
      </w:r>
    </w:p>
    <w:p>
      <w:pPr>
        <w:pStyle w:val="Normal"/>
        <w:rPr>
          <w:sz w:val="48"/>
          <w:kern w:val="2"/>
          <w:szCs w:val="48"/>
          <w:rFonts w:ascii="黑体" w:hAnsi="宋体" w:eastAsia="黑体" w:hint="eastAsia"/>
        </w:rPr>
        <w:sectPr>
          <w:type w:val="nextPage"/>
          <w:docGrid w:type="lines" w:linePitch="317" w:charSpace="0"/>
          <w:pgSz w:w="11906" w:h="16838" w:orient="portrait"/>
          <w:pgMar w:top="1440" w:right="1531" w:bottom="1440" w:left="1587" w:header="850" w:footer="992" w:gutter="0"/>
          <w:pgNumType w:fmt="57"/>
          <w:cols w:num="1" w:equalWidth="0" w:space="425">
            <w:col w:space="-12288" w:w="8788"/>
          </w:cols>
          <w:pgNumType w:fmt="57"/>
        </w:sectPr>
      </w:pP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t xml:space="preserve">一、财政拨款收入：单位从同级政府财政部门取得的财政预算资金。</w:t>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t xml:space="preserve">二、事业收入：事业单位开展专业业务活动及其辅助活动取得的收入。</w:t>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t xml:space="preserve">三、上级补助收入：事业单位从主管部门和上级单位取得的非财政补助收入。</w:t>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t xml:space="preserve">四、附属单位上缴收入：事业单位取得附属独立核算单位根据有关规定上缴的收入。</w:t>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t xml:space="preserve">五、经营收入：事业单位在专业业务活动及其辅助活动之外开展非独立核算经营活动取得的收入。</w:t>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t xml:space="preserve">六、其他收入：单位取得的除“财政拨款收入”、“事业收入”、“上级补助收入”、“附属单位上缴收入”、“经营收入”以外的各项收入。</w:t>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t xml:space="preserve">七、使用非财政拨款结余：指事业单位使用以前年度积累的非财政拨款结余弥补当年收支差额的金额。</w:t>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t xml:space="preserve">八、年初结转和结余：指单位以前年度尚未完成、结转到本年仍按原规定用途继续使用的资金，或项目已完成等产生的结余资金。</w:t>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t xml:space="preserve">九、基本支出：为保障机构正常运转、完成日常工作任务而发生的人员支出和公用支出。</w:t>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t xml:space="preserve">十、项目支出：基本支出之外为完成特定行政任务和事业发展目标所发生的支出。</w:t>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t xml:space="preserve">十一、经营支出：指事业单位在专业业务活动及其辅助活动之外开展非独立核算经营活动发生的支出。</w:t>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t xml:space="preserve">十二、工资福利支出：单位支付给在职职工和编制外长期聘用人员的各类劳动报酬，以及为上述人员缴纳的各项社会保险费等。</w:t>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t xml:space="preserve">十三、商品和服务支出：单位购买商品和服务的支出。</w:t>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t xml:space="preserve">十四、对个人和家庭的补助支出：单位用于对个人和家庭的补助支出。</w:t>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t xml:space="preserve">十五、结余分配：指事业单位按照会计制度规定缴纳的所得税、提取的专用结余以及转入非财政拨款结余的金额等。</w:t>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t xml:space="preserve">十六、年末结转和结余：指单位按有关规定结转到下年或以后年度继续使用的资金，或项目已完成等产生的结余资金。</w:t>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t xml:space="preserve">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t xml:space="preserve">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keepNext w:val="0"/>
        <w:keepLines w:val="0"/>
        <w:pageBreakBefore w:val="0"/>
        <w:wordWrap w:val="1"/>
        <w:overflowPunct w:val="1"/>
        <w:topLinePunct w:val="0"/>
        <w:kinsoku w:val="1"/>
        <w:autoSpaceDE w:val="1"/>
        <w:autoSpaceDN w:val="1"/>
        <w:bidi w:val="0"/>
        <w:snapToGrid w:val="1"/>
        <w:jc w:val="center"/>
        <w:outlineLvl w:val="0"/>
        <w:rPr>
          <w:sz w:val="48"/>
          <w:lang w:val="en-US" w:eastAsia="zh-CN"/>
          <w:szCs w:val="48"/>
          <w:rFonts w:ascii="黑体" w:hAnsi="黑体" w:eastAsia="黑体" w:hint="eastAsia"/>
        </w:rPr>
        <w:sectPr>
          <w:type w:val="nextPage"/>
          <w:docGrid w:type="lines" w:linePitch="312" w:charSpace="0"/>
          <w:pgSz w:w="11906" w:h="16838" w:orient="portrait"/>
          <w:pgMar w:top="1928" w:right="1474" w:bottom="1701" w:left="1588" w:header="851" w:footer="992" w:gutter="0"/>
          <w:pgNumType w:fmt="Decimal"/>
          <w:cols w:num="1" w:equalWidth="0" w:space="720">
            <w:col w:space="-12288" w:w="8844"/>
          </w:cols>
          <w:pgNumType w:fmt="Decimal"/>
        </w:sectPr>
      </w:pPr>
      <w:bookmarkStart w:id="15" w:name="_Toc28713"/>
      <w:bookmarkStart w:id="16" w:name="_Toc10985"/>
      <w:bookmarkStart w:id="17" w:name="_Toc32252"/>
      <w:bookmarkStart w:id="18" w:name="_Toc23386"/>
      <w:r>
        <w:rPr>
          <w:sz w:val="48"/>
          <w:lang w:val="en-US" w:eastAsia="zh-CN"/>
          <w:szCs w:val="48"/>
          <w:rFonts w:ascii="黑体" w:hAnsi="黑体" w:eastAsia="黑体" w:hint="eastAsia"/>
        </w:rPr>
        <w:t xml:space="preserve">第五部分  附件</w:t>
      </w:r>
      <w:bookmarkEnd w:id="15"/>
      <w:bookmarkEnd w:id="16"/>
      <w:bookmarkEnd w:id="17"/>
      <w:bookmarkEnd w:id="18"/>
      <w:r>
        <w:rPr>
          <w:sz w:val="48"/>
          <w:lang w:val="en-US" w:eastAsia="zh-CN"/>
          <w:szCs w:val="48"/>
          <w:rFonts w:ascii="黑体" w:hAnsi="黑体" w:eastAsia="黑体" w:hint="eastAsia"/>
        </w:rPr>
      </w:r>
    </w:p>
    <w:p>
      <w:pPr>
        <w:pStyle w:val="Normal"/>
        <w:widowControl w:val="1"/>
        <w:keepNext w:val="0"/>
        <w:keepLines w:val="0"/>
        <w:jc w:val="start"/>
        <w:suppressLineNumbers w:val="off"/>
        <w:spacing w:after="0" w:afterAutospacing="0" w:before="0" w:beforeAutospacing="0" w:line="590" w:lineRule="exact"/>
        <w:ind w:firstLine="640" w:firstLineChars="200" w:left="0" w:right="0"/>
        <w:rPr>
          <w:sz w:val="32"/>
          <w:lang w:val="en-US" w:eastAsia="zh-CN"/>
          <w:kern w:val="2"/>
          <w:szCs w:val="32"/>
          <w:rFonts w:ascii="仿宋" w:hAnsi="仿宋" w:eastAsia="仿宋" w:hint="eastAsia"/>
        </w:rPr>
      </w:pPr>
      <w:r>
        <w:rPr>
          <w:sz w:val="32"/>
          <w:lang w:val="en-US" w:eastAsia="zh-CN"/>
          <w:kern w:val="2"/>
          <w:szCs w:val="32"/>
          <w:rFonts w:ascii="仿宋" w:hAnsi="仿宋" w:eastAsia="仿宋" w:hint="eastAsia"/>
        </w:rPr>
      </w:r>
    </w:p>
    <w:p>
      <w:pPr>
        <w:pStyle w:val="Normal"/>
      </w:pPr>
      <w:r/>
    </w:p>
    <w:tbl>
      <w:tblPr>
        <w:tblW w:w="5000" w:type="pct"/>
        <w:jc w:val="center"/>
        <w:tblInd w:type="dxa" w:w="0.000000"/>
        <w:tblLayout w:type="fixed"/>
        <w:tblLook w:noVBand="0" w:noHBand="0" w:lastColumn="0" w:firstColumn="0" w:lastRow="0" w:firstRow="0" w:val="04a0"/>
        <w:tblCellMar>
          <w:top w:type="dxa" w:w="0.000000"/>
          <w:bottom w:type="dxa" w:w="0.000000"/>
          <w:left w:type="dxa" w:w="20.000000"/>
          <w:right w:type="dxa" w:w="20.000000"/>
        </w:tblCellMar>
      </w:tblPr>
      <w:tblGrid>
        <w:gridCol w:w="490.000000"/>
        <w:gridCol w:w="491.000000"/>
        <w:gridCol w:w="491.000000"/>
        <w:gridCol w:w="491.000000"/>
        <w:gridCol w:w="491.000000"/>
        <w:gridCol w:w="491.000000"/>
        <w:gridCol w:w="491.000000"/>
        <w:gridCol w:w="491.000000"/>
        <w:gridCol w:w="491.000000"/>
        <w:gridCol w:w="982.000000"/>
        <w:gridCol w:w="982.000000"/>
        <w:gridCol w:w="491.000000"/>
        <w:gridCol w:w="491.000000"/>
        <w:gridCol w:w="491.000000"/>
        <w:gridCol w:w="491.000000"/>
      </w:tblGrid>
      <w:tr>
        <w:trPr>
          <w:trHeight w:val="184" w:hRule="atLeast"/>
        </w:trPr>
        <w:tc>
          <w:tcPr>
            <w:tcW w:w="6647" w:type="dxa"/>
            <w:gridSpan w:val="1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项目支出绩效自评情况表 </w:t>
            </w:r>
            <w:r>
              <w:rPr>
                <w:sz w:val="32"/>
                <w:lang w:val="en-US" w:eastAsia="zh-CN" w:bidi="ar-SA"/>
                <w:kern w:val="2"/>
                <w:szCs w:val="24"/>
                <w:rFonts w:ascii="Calibri" w:hAnsi="Calibri" w:eastAsia="仿宋_GB2312"/>
              </w:rPr>
            </w:r>
          </w:p>
        </w:tc>
      </w:tr>
      <w:tr>
        <w:trPr>
          <w:trHeight w:val="133" w:hRule="atLeast"/>
        </w:trPr>
        <w:tc>
          <w:tcPr>
            <w:tcW w:w="6647" w:type="dxa"/>
            <w:gridSpan w:val="12"/>
            <w:vAlign w:val="top"/>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2026年09月</w:t>
            </w:r>
            <w:r>
              <w:rPr>
                <w:sz w:val="32"/>
                <w:lang w:val="en-US" w:eastAsia="zh-CN" w:bidi="ar-SA"/>
                <w:kern w:val="2"/>
                <w:szCs w:val="24"/>
                <w:rFonts w:ascii="Calibri" w:hAnsi="Calibri" w:eastAsia="仿宋_GB2312"/>
              </w:rPr>
            </w:r>
          </w:p>
        </w:tc>
      </w:tr>
      <w:tr>
        <w:trPr>
          <w:trHeight w:val="102" w:hRule="atLeast"/>
        </w:trPr>
        <w:tc>
          <w:tcPr>
            <w:tcW w:w="1173" w:type="dxa"/>
            <w:gridSpan w:val="3"/>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项目名称</w:t>
            </w:r>
            <w:r>
              <w:rPr>
                <w:sz w:val="32"/>
                <w:lang w:val="en-US" w:eastAsia="zh-CN" w:bidi="ar-SA"/>
                <w:kern w:val="2"/>
                <w:szCs w:val="24"/>
                <w:rFonts w:ascii="Calibri" w:hAnsi="Calibri" w:eastAsia="仿宋_GB2312"/>
              </w:rPr>
            </w:r>
          </w:p>
        </w:tc>
        <w:tc>
          <w:tcPr>
            <w:tcW w:w="5474" w:type="dxa"/>
            <w:gridSpan w:val="10"/>
            <w:vAlign w:val="top"/>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【城市运转】河湖水系闸坝工程运行维护经费</w:t>
            </w:r>
            <w:r>
              <w:rPr>
                <w:sz w:val="32"/>
                <w:lang w:val="en-US" w:eastAsia="zh-CN" w:bidi="ar-SA"/>
                <w:kern w:val="2"/>
                <w:szCs w:val="24"/>
                <w:rFonts w:ascii="Calibri" w:hAnsi="Calibri" w:eastAsia="仿宋_GB2312"/>
              </w:rPr>
            </w:r>
          </w:p>
        </w:tc>
      </w:tr>
      <w:tr>
        <w:trPr>
          <w:trHeight w:val="102" w:hRule="atLeast"/>
        </w:trPr>
        <w:tc>
          <w:tcPr>
            <w:tcW w:w="1173" w:type="dxa"/>
            <w:gridSpan w:val="3"/>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主管部门</w:t>
            </w:r>
            <w:r>
              <w:rPr>
                <w:sz w:val="32"/>
                <w:lang w:val="en-US" w:eastAsia="zh-CN" w:bidi="ar-SA"/>
                <w:kern w:val="2"/>
                <w:szCs w:val="24"/>
                <w:rFonts w:ascii="Calibri" w:hAnsi="Calibri" w:eastAsia="仿宋_GB2312"/>
              </w:rPr>
            </w:r>
          </w:p>
        </w:tc>
        <w:tc>
          <w:tcPr>
            <w:tcW w:w="1564" w:type="dxa"/>
            <w:gridSpan w:val="4"/>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许昌市水利局</w:t>
            </w:r>
            <w:r>
              <w:rPr>
                <w:sz w:val="32"/>
                <w:lang w:val="en-US" w:eastAsia="zh-CN" w:bidi="ar-SA"/>
                <w:kern w:val="2"/>
                <w:szCs w:val="24"/>
                <w:rFonts w:ascii="Calibri" w:hAnsi="Calibri" w:eastAsia="仿宋_GB2312"/>
              </w:rPr>
            </w:r>
          </w:p>
        </w:tc>
        <w:tc>
          <w:tcPr>
            <w:tcW w:w="1564" w:type="dxa"/>
            <w:gridSpan w:val="3"/>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实施单位</w:t>
            </w:r>
            <w:r>
              <w:rPr>
                <w:sz w:val="32"/>
                <w:lang w:val="en-US" w:eastAsia="zh-CN" w:bidi="ar-SA"/>
                <w:kern w:val="2"/>
                <w:szCs w:val="24"/>
                <w:rFonts w:ascii="Calibri" w:hAnsi="Calibri" w:eastAsia="仿宋_GB2312"/>
              </w:rPr>
            </w:r>
          </w:p>
        </w:tc>
        <w:tc>
          <w:tcPr>
            <w:tcW w:w="2346" w:type="dxa"/>
            <w:gridSpan w:val="4"/>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许昌市河湖事务中心</w:t>
            </w:r>
            <w:r>
              <w:rPr>
                <w:sz w:val="32"/>
                <w:lang w:val="en-US" w:eastAsia="zh-CN" w:bidi="ar-SA"/>
                <w:kern w:val="2"/>
                <w:szCs w:val="24"/>
                <w:rFonts w:ascii="Calibri" w:hAnsi="Calibri" w:eastAsia="仿宋_GB2312"/>
              </w:rPr>
            </w:r>
          </w:p>
        </w:tc>
      </w:tr>
      <w:tr>
        <w:trPr>
          <w:cantSplit/>
          <w:trHeight w:val="102" w:hRule="atLeast"/>
        </w:trPr>
        <w:tc>
          <w:tcPr>
            <w:tcW w:w="1173" w:type="dxa"/>
            <w:gridSpan w:val="3"/>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项目资金                (万元)</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年初预算数</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全年预算数</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全年执行数</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分值</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执行率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得分</w:t>
            </w:r>
            <w:r>
              <w:rPr>
                <w:sz w:val="32"/>
                <w:lang w:val="en-US" w:eastAsia="zh-CN" w:bidi="ar-SA"/>
                <w:kern w:val="2"/>
                <w:szCs w:val="24"/>
                <w:rFonts w:ascii="Calibri" w:hAnsi="Calibri" w:eastAsia="仿宋_GB2312"/>
              </w:rPr>
            </w:r>
          </w:p>
        </w:tc>
      </w:tr>
      <w:tr>
        <w:trPr>
          <w:cantSplit/>
          <w:trHeight w:val="107" w:hRule="atLeast"/>
        </w:trPr>
        <w:tc>
          <w:tcPr>
            <w:tcW w:w="1173" w:type="dxa"/>
            <w:gridSpan w:val="3"/>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  年度资金总额：</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50</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50</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50</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100.0 %</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10.00</w:t>
            </w:r>
            <w:r>
              <w:rPr>
                <w:sz w:val="32"/>
                <w:lang w:val="en-US" w:eastAsia="zh-CN" w:bidi="ar-SA"/>
                <w:kern w:val="2"/>
                <w:szCs w:val="24"/>
                <w:rFonts w:ascii="Calibri" w:hAnsi="Calibri" w:eastAsia="仿宋_GB2312"/>
              </w:rPr>
            </w:r>
          </w:p>
        </w:tc>
      </w:tr>
      <w:tr>
        <w:trPr>
          <w:cantSplit/>
          <w:trHeight w:val="102" w:hRule="atLeast"/>
        </w:trPr>
        <w:tc>
          <w:tcPr>
            <w:tcW w:w="1173" w:type="dxa"/>
            <w:gridSpan w:val="3"/>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财政拨款</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50</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50</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50</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100.0 %</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w:t>
            </w:r>
            <w:r>
              <w:rPr>
                <w:sz w:val="32"/>
                <w:lang w:val="en-US" w:eastAsia="zh-CN" w:bidi="ar-SA"/>
                <w:kern w:val="2"/>
                <w:szCs w:val="24"/>
                <w:rFonts w:ascii="Calibri" w:hAnsi="Calibri" w:eastAsia="仿宋_GB2312"/>
              </w:rPr>
            </w:r>
          </w:p>
        </w:tc>
      </w:tr>
      <w:tr>
        <w:trPr>
          <w:cantSplit/>
          <w:trHeight w:val="102" w:hRule="atLeast"/>
        </w:trPr>
        <w:tc>
          <w:tcPr>
            <w:tcW w:w="1173" w:type="dxa"/>
            <w:gridSpan w:val="3"/>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财政专户管理资金</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w:t>
            </w:r>
            <w:r>
              <w:rPr>
                <w:sz w:val="32"/>
                <w:lang w:val="en-US" w:eastAsia="zh-CN" w:bidi="ar-SA"/>
                <w:kern w:val="2"/>
                <w:szCs w:val="24"/>
                <w:rFonts w:ascii="Calibri" w:hAnsi="Calibri" w:eastAsia="仿宋_GB2312"/>
              </w:rPr>
            </w:r>
          </w:p>
        </w:tc>
      </w:tr>
      <w:tr>
        <w:trPr>
          <w:cantSplit/>
          <w:trHeight w:val="102" w:hRule="atLeast"/>
        </w:trPr>
        <w:tc>
          <w:tcPr>
            <w:tcW w:w="1173" w:type="dxa"/>
            <w:gridSpan w:val="3"/>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单位资金</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w:t>
            </w:r>
            <w:r>
              <w:rPr>
                <w:sz w:val="32"/>
                <w:lang w:val="en-US" w:eastAsia="zh-CN" w:bidi="ar-SA"/>
                <w:kern w:val="2"/>
                <w:szCs w:val="24"/>
                <w:rFonts w:ascii="Calibri" w:hAnsi="Calibri" w:eastAsia="仿宋_GB2312"/>
              </w:rPr>
            </w:r>
          </w:p>
        </w:tc>
      </w:tr>
      <w:tr>
        <w:trPr>
          <w:cantSplit/>
          <w:trHeight w:val="102" w:hRule="atLeast"/>
        </w:trPr>
        <w:tc>
          <w:tcPr>
            <w:tcW w:w="1173" w:type="dxa"/>
            <w:gridSpan w:val="3"/>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资金管理情况</w:t>
            </w:r>
            <w:r>
              <w:rPr>
                <w:sz w:val="32"/>
                <w:lang w:val="en-US" w:eastAsia="zh-CN" w:bidi="ar-SA"/>
                <w:kern w:val="2"/>
                <w:szCs w:val="24"/>
                <w:rFonts w:ascii="Calibri" w:hAnsi="Calibri" w:eastAsia="仿宋_GB2312"/>
              </w:rPr>
            </w:r>
          </w:p>
        </w:tc>
        <w:tc>
          <w:tcPr>
            <w:tcW w:w="1564" w:type="dxa"/>
            <w:gridSpan w:val="4"/>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64" w:type="dxa"/>
            <w:gridSpan w:val="3"/>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情况说明</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分值（20）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得分</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存在问题和改进措施</w:t>
            </w:r>
            <w:r>
              <w:rPr>
                <w:sz w:val="32"/>
                <w:lang w:val="en-US" w:eastAsia="zh-CN" w:bidi="ar-SA"/>
                <w:kern w:val="2"/>
                <w:szCs w:val="24"/>
                <w:rFonts w:ascii="Calibri" w:hAnsi="Calibri" w:eastAsia="仿宋_GB2312"/>
              </w:rPr>
            </w:r>
          </w:p>
        </w:tc>
      </w:tr>
      <w:tr>
        <w:trPr>
          <w:cantSplit/>
          <w:trHeight w:val="102" w:hRule="atLeast"/>
        </w:trPr>
        <w:tc>
          <w:tcPr>
            <w:tcW w:w="1173" w:type="dxa"/>
            <w:gridSpan w:val="3"/>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64" w:type="dxa"/>
            <w:gridSpan w:val="4"/>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安排科学性</w:t>
            </w:r>
            <w:r>
              <w:rPr>
                <w:sz w:val="32"/>
                <w:lang w:val="en-US" w:eastAsia="zh-CN" w:bidi="ar-SA"/>
                <w:kern w:val="2"/>
                <w:szCs w:val="24"/>
                <w:rFonts w:ascii="Calibri" w:hAnsi="Calibri" w:eastAsia="仿宋_GB2312"/>
              </w:rPr>
            </w:r>
          </w:p>
        </w:tc>
        <w:tc>
          <w:tcPr>
            <w:tcW w:w="1564" w:type="dxa"/>
            <w:gridSpan w:val="3"/>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按照部门预算编制和资金管理办法的要求，进行项目论证、评审、立项等必要程序。</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cantSplit/>
          <w:trHeight w:val="102" w:hRule="atLeast"/>
        </w:trPr>
        <w:tc>
          <w:tcPr>
            <w:tcW w:w="1173" w:type="dxa"/>
            <w:gridSpan w:val="3"/>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64" w:type="dxa"/>
            <w:gridSpan w:val="4"/>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拨付合规性</w:t>
            </w:r>
            <w:r>
              <w:rPr>
                <w:sz w:val="32"/>
                <w:lang w:val="en-US" w:eastAsia="zh-CN" w:bidi="ar-SA"/>
                <w:kern w:val="2"/>
                <w:szCs w:val="24"/>
                <w:rFonts w:ascii="Calibri" w:hAnsi="Calibri" w:eastAsia="仿宋_GB2312"/>
              </w:rPr>
            </w:r>
          </w:p>
        </w:tc>
        <w:tc>
          <w:tcPr>
            <w:tcW w:w="1564" w:type="dxa"/>
            <w:gridSpan w:val="3"/>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严格按照国库集中支付制度有关规定支付资金，未出现违规将资金从国库转入财政专户或支付到预算单位实有资金账户等问题。</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cantSplit/>
          <w:trHeight w:val="102" w:hRule="atLeast"/>
        </w:trPr>
        <w:tc>
          <w:tcPr>
            <w:tcW w:w="1173" w:type="dxa"/>
            <w:gridSpan w:val="3"/>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64" w:type="dxa"/>
            <w:gridSpan w:val="4"/>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使用规范性</w:t>
            </w:r>
            <w:r>
              <w:rPr>
                <w:sz w:val="32"/>
                <w:lang w:val="en-US" w:eastAsia="zh-CN" w:bidi="ar-SA"/>
                <w:kern w:val="2"/>
                <w:szCs w:val="24"/>
                <w:rFonts w:ascii="Calibri" w:hAnsi="Calibri" w:eastAsia="仿宋_GB2312"/>
              </w:rPr>
            </w:r>
          </w:p>
        </w:tc>
        <w:tc>
          <w:tcPr>
            <w:tcW w:w="1564" w:type="dxa"/>
            <w:gridSpan w:val="3"/>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严格按照下达预算的科目和项目执行，未出现截留、挤占、挪用和擅自调整等问题。</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cantSplit/>
          <w:trHeight w:val="102" w:hRule="atLeast"/>
        </w:trPr>
        <w:tc>
          <w:tcPr>
            <w:tcW w:w="1173" w:type="dxa"/>
            <w:gridSpan w:val="3"/>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64" w:type="dxa"/>
            <w:gridSpan w:val="4"/>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预算绩效管理情况</w:t>
            </w:r>
            <w:r>
              <w:rPr>
                <w:sz w:val="32"/>
                <w:lang w:val="en-US" w:eastAsia="zh-CN" w:bidi="ar-SA"/>
                <w:kern w:val="2"/>
                <w:szCs w:val="24"/>
                <w:rFonts w:ascii="Calibri" w:hAnsi="Calibri" w:eastAsia="仿宋_GB2312"/>
              </w:rPr>
            </w:r>
          </w:p>
        </w:tc>
        <w:tc>
          <w:tcPr>
            <w:tcW w:w="1564" w:type="dxa"/>
            <w:gridSpan w:val="3"/>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将资金纳入绩效管理，设置绩效目标，开展绩效监控。</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cantSplit/>
          <w:trHeight w:val="148" w:hRule="atLeast"/>
        </w:trPr>
        <w:tc>
          <w:tcPr>
            <w:tcW w:w="391" w:type="dxa"/>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年度总体目标</w:t>
            </w:r>
            <w:r>
              <w:rPr>
                <w:sz w:val="32"/>
                <w:lang w:val="en-US" w:eastAsia="zh-CN" w:bidi="ar-SA"/>
                <w:kern w:val="2"/>
                <w:szCs w:val="24"/>
                <w:rFonts w:ascii="Calibri" w:hAnsi="Calibri" w:eastAsia="仿宋_GB2312"/>
              </w:rPr>
            </w:r>
          </w:p>
        </w:tc>
        <w:tc>
          <w:tcPr>
            <w:tcW w:w="2346" w:type="dxa"/>
            <w:gridSpan w:val="5"/>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预期目标</w:t>
            </w:r>
            <w:r>
              <w:rPr>
                <w:sz w:val="32"/>
                <w:lang w:val="en-US" w:eastAsia="zh-CN" w:bidi="ar-SA"/>
                <w:kern w:val="2"/>
                <w:szCs w:val="24"/>
                <w:rFonts w:ascii="Calibri" w:hAnsi="Calibri" w:eastAsia="仿宋_GB2312"/>
              </w:rPr>
            </w:r>
          </w:p>
        </w:tc>
        <w:tc>
          <w:tcPr>
            <w:tcW w:w="3910" w:type="dxa"/>
            <w:gridSpan w:val="6"/>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实际完成情况</w:t>
            </w:r>
            <w:r>
              <w:rPr>
                <w:sz w:val="32"/>
                <w:lang w:val="en-US" w:eastAsia="zh-CN" w:bidi="ar-SA"/>
                <w:kern w:val="2"/>
                <w:szCs w:val="24"/>
                <w:rFonts w:ascii="Calibri" w:hAnsi="Calibri" w:eastAsia="仿宋_GB2312"/>
              </w:rPr>
            </w:r>
          </w:p>
        </w:tc>
      </w:tr>
      <w:tr>
        <w:trPr>
          <w:cantSplit/>
          <w:trHeight w:val="506" w:hRule="atLeast"/>
        </w:trPr>
        <w:tc>
          <w:tcPr>
            <w:tcW w:w="391" w:type="dxa"/>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346" w:type="dxa"/>
            <w:gridSpan w:val="5"/>
            <w:vAlign w:val="top"/>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对河湖水系控制性工程设施及机械设备进行日常维修养护，保障水系水利工程正常运行；关庄泵站不间断运行，保证市区饮马河持续不断供水保持水系景观；保证河湖水系信息畅通自动化设备正常运行确保水系调度精细化、科学化；强化监管，巩固水系建设成果</w:t>
            </w:r>
            <w:r>
              <w:rPr>
                <w:sz w:val="32"/>
                <w:lang w:val="en-US" w:eastAsia="zh-CN" w:bidi="ar-SA"/>
                <w:kern w:val="2"/>
                <w:szCs w:val="24"/>
                <w:rFonts w:ascii="Calibri" w:hAnsi="Calibri" w:eastAsia="仿宋_GB2312"/>
              </w:rPr>
            </w:r>
          </w:p>
        </w:tc>
        <w:tc>
          <w:tcPr>
            <w:tcW w:w="3910" w:type="dxa"/>
            <w:gridSpan w:val="6"/>
            <w:vAlign w:val="top"/>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对河湖水系控制性工程设施及机械设备进行日常维修养护，保障水系水利工程正常运行；关庄闸不间断运行，保证市区饮马河持续不断供水保持水系景观；保证河湖水系信息畅通、自动化设备正常运行，确保水系调度精细化、科学化，强化监管，巩固水系建设成果。目标完成100%。</w:t>
            </w:r>
            <w:r>
              <w:rPr>
                <w:sz w:val="32"/>
                <w:lang w:val="en-US" w:eastAsia="zh-CN" w:bidi="ar-SA"/>
                <w:kern w:val="2"/>
                <w:szCs w:val="24"/>
                <w:rFonts w:ascii="Calibri" w:hAnsi="Calibri" w:eastAsia="仿宋_GB2312"/>
              </w:rPr>
            </w:r>
          </w:p>
        </w:tc>
      </w:tr>
      <w:tr>
        <w:trPr>
          <w:cantSplit/>
          <w:trHeight w:val="102" w:hRule="atLeast"/>
        </w:trPr>
        <w:tc>
          <w:tcPr>
            <w:tcW w:w="6647" w:type="dxa"/>
            <w:gridSpan w:val="12"/>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绩效指标</w:t>
            </w:r>
            <w:r>
              <w:rPr>
                <w:sz w:val="32"/>
                <w:lang w:val="en-US" w:eastAsia="zh-CN" w:bidi="ar-SA"/>
                <w:kern w:val="2"/>
                <w:szCs w:val="24"/>
                <w:rFonts w:ascii="Calibri" w:hAnsi="Calibri" w:eastAsia="仿宋_GB2312"/>
              </w:rPr>
            </w:r>
          </w:p>
        </w:tc>
      </w:tr>
      <w:tr>
        <w:trPr>
          <w:cantSplit/>
          <w:trHeight w:val="102" w:hRule="atLeast"/>
        </w:trPr>
        <w:tc>
          <w:tcPr>
            <w:tcW w:w="6647" w:type="dxa"/>
            <w:gridSpan w:val="1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cantSplit/>
          <w:trHeight w:val="92" w:hRule="atLeast"/>
        </w:trPr>
        <w:tc>
          <w:tcPr>
            <w:tcW w:w="782" w:type="dxa"/>
            <w:gridSpan w:val="2"/>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一级指标</w:t>
            </w:r>
            <w:r>
              <w:rPr>
                <w:sz w:val="32"/>
                <w:lang w:val="en-US" w:eastAsia="zh-CN" w:bidi="ar-SA"/>
                <w:kern w:val="2"/>
                <w:szCs w:val="24"/>
                <w:rFonts w:ascii="Calibri" w:hAnsi="Calibri" w:eastAsia="仿宋_GB2312"/>
              </w:rPr>
            </w:r>
          </w:p>
        </w:tc>
        <w:tc>
          <w:tcPr>
            <w:tcW w:w="782" w:type="dxa"/>
            <w:gridSpan w:val="2"/>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二级指标</w:t>
            </w:r>
            <w:r>
              <w:rPr>
                <w:sz w:val="32"/>
                <w:lang w:val="en-US" w:eastAsia="zh-CN" w:bidi="ar-SA"/>
                <w:kern w:val="2"/>
                <w:szCs w:val="24"/>
                <w:rFonts w:ascii="Calibri" w:hAnsi="Calibri" w:eastAsia="仿宋_GB2312"/>
              </w:rPr>
            </w:r>
          </w:p>
        </w:tc>
        <w:tc>
          <w:tcPr>
            <w:tcW w:w="782" w:type="dxa"/>
            <w:gridSpan w:val="2"/>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三级指标</w:t>
            </w:r>
            <w:r>
              <w:rPr>
                <w:sz w:val="32"/>
                <w:lang w:val="en-US" w:eastAsia="zh-CN" w:bidi="ar-SA"/>
                <w:kern w:val="2"/>
                <w:szCs w:val="24"/>
                <w:rFonts w:ascii="Calibri" w:hAnsi="Calibri" w:eastAsia="仿宋_GB2312"/>
              </w:rPr>
            </w:r>
          </w:p>
        </w:tc>
        <w:tc>
          <w:tcPr>
            <w:tcW w:w="782" w:type="dxa"/>
            <w:gridSpan w:val="2"/>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年度指标值</w:t>
            </w:r>
            <w:r>
              <w:rPr>
                <w:sz w:val="32"/>
                <w:lang w:val="en-US" w:eastAsia="zh-CN" w:bidi="ar-SA"/>
                <w:kern w:val="2"/>
                <w:szCs w:val="24"/>
                <w:rFonts w:ascii="Calibri" w:hAnsi="Calibri" w:eastAsia="仿宋_GB2312"/>
              </w:rPr>
            </w:r>
          </w:p>
        </w:tc>
        <w:tc>
          <w:tcPr>
            <w:tcW w:w="1173" w:type="dxa"/>
            <w:gridSpan w:val="2"/>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实际值完成值</w:t>
            </w:r>
            <w:r>
              <w:rPr>
                <w:sz w:val="32"/>
                <w:lang w:val="en-US" w:eastAsia="zh-CN" w:bidi="ar-SA"/>
                <w:kern w:val="2"/>
                <w:szCs w:val="24"/>
                <w:rFonts w:ascii="Calibri" w:hAnsi="Calibri" w:eastAsia="仿宋_GB2312"/>
              </w:rPr>
            </w:r>
          </w:p>
        </w:tc>
        <w:tc>
          <w:tcPr>
            <w:tcW w:w="782" w:type="dxa"/>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分值</w:t>
            </w:r>
            <w:r>
              <w:rPr>
                <w:sz w:val="32"/>
                <w:lang w:val="en-US" w:eastAsia="zh-CN" w:bidi="ar-SA"/>
                <w:kern w:val="2"/>
                <w:szCs w:val="24"/>
                <w:rFonts w:ascii="Calibri" w:hAnsi="Calibri" w:eastAsia="仿宋_GB2312"/>
              </w:rPr>
            </w:r>
          </w:p>
        </w:tc>
        <w:tc>
          <w:tcPr>
            <w:tcW w:w="782" w:type="dxa"/>
            <w:gridSpan w:val="2"/>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得分</w:t>
            </w:r>
            <w:r>
              <w:rPr>
                <w:sz w:val="32"/>
                <w:lang w:val="en-US" w:eastAsia="zh-CN" w:bidi="ar-SA"/>
                <w:kern w:val="2"/>
                <w:szCs w:val="24"/>
                <w:rFonts w:ascii="Calibri" w:hAnsi="Calibri" w:eastAsia="仿宋_GB2312"/>
              </w:rPr>
            </w:r>
          </w:p>
        </w:tc>
        <w:tc>
          <w:tcPr>
            <w:tcW w:w="391" w:type="dxa"/>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偏差度</w:t>
            </w:r>
            <w:r>
              <w:rPr>
                <w:sz w:val="32"/>
                <w:lang w:val="en-US" w:eastAsia="zh-CN" w:bidi="ar-SA"/>
                <w:kern w:val="2"/>
                <w:szCs w:val="24"/>
                <w:rFonts w:ascii="Calibri" w:hAnsi="Calibri" w:eastAsia="仿宋_GB2312"/>
              </w:rPr>
            </w:r>
          </w:p>
        </w:tc>
        <w:tc>
          <w:tcPr>
            <w:tcW w:w="391" w:type="dxa"/>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偏差原因分析及改进措施</w:t>
            </w:r>
            <w:r>
              <w:rPr>
                <w:sz w:val="32"/>
                <w:lang w:val="en-US" w:eastAsia="zh-CN" w:bidi="ar-SA"/>
                <w:kern w:val="2"/>
                <w:szCs w:val="24"/>
                <w:rFonts w:ascii="Calibri" w:hAnsi="Calibri" w:eastAsia="仿宋_GB2312"/>
              </w:rPr>
            </w:r>
          </w:p>
        </w:tc>
      </w:tr>
      <w:tr>
        <w:trPr>
          <w:cantSplit/>
          <w:trHeight w:val="92" w:hRule="atLeast"/>
        </w:trPr>
        <w:tc>
          <w:tcPr>
            <w:tcW w:w="782" w:type="dxa"/>
            <w:gridSpan w:val="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173" w:type="dxa"/>
            <w:gridSpan w:val="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91" w:type="dxa"/>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91" w:type="dxa"/>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trHeight w:val="255" w:hRule="atLeast"/>
        </w:trPr>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成本指标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经济成本指标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河湖水系闸坝工程运行维护经费金额</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≤50万元</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50万元</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cantSplit/>
          <w:trHeight w:val="255" w:hRule="atLeast"/>
        </w:trPr>
        <w:tc>
          <w:tcPr>
            <w:tcW w:w="782" w:type="dxa"/>
            <w:gridSpan w:val="2"/>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产出指标</w:t>
            </w:r>
            <w:r>
              <w:rPr>
                <w:sz w:val="32"/>
                <w:lang w:val="en-US" w:eastAsia="zh-CN" w:bidi="ar-SA"/>
                <w:kern w:val="2"/>
                <w:szCs w:val="24"/>
                <w:rFonts w:ascii="Calibri" w:hAnsi="Calibri" w:eastAsia="仿宋_GB2312"/>
              </w:rPr>
            </w:r>
          </w:p>
        </w:tc>
        <w:tc>
          <w:tcPr>
            <w:tcW w:w="782" w:type="dxa"/>
            <w:gridSpan w:val="2"/>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数量指标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信息化监控专线线路条数</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=56条</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56条</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cantSplit/>
          <w:trHeight w:val="255" w:hRule="atLeast"/>
        </w:trPr>
        <w:tc>
          <w:tcPr>
            <w:tcW w:w="782" w:type="dxa"/>
            <w:gridSpan w:val="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确保水利工程值守站点点数日常运行维护（工程机械、管理房、用电等）站</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=9座</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9座</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cantSplit/>
          <w:trHeight w:val="255" w:hRule="atLeast"/>
        </w:trPr>
        <w:tc>
          <w:tcPr>
            <w:tcW w:w="782" w:type="dxa"/>
            <w:gridSpan w:val="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保证市区饮马河持续不断供水保持水系景观</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=14座</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14座</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cantSplit/>
          <w:trHeight w:val="255" w:hRule="atLeast"/>
        </w:trPr>
        <w:tc>
          <w:tcPr>
            <w:tcW w:w="782" w:type="dxa"/>
            <w:gridSpan w:val="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质量指标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验收合格率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=100%</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100%</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cantSplit/>
          <w:trHeight w:val="255" w:hRule="atLeast"/>
        </w:trPr>
        <w:tc>
          <w:tcPr>
            <w:tcW w:w="782" w:type="dxa"/>
            <w:gridSpan w:val="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时效指标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2025年底前完成</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≥90%</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90%</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trHeight w:val="255" w:hRule="atLeast"/>
        </w:trPr>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效益指标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经济效益指标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促进社会经济发展</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明显作用</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100%</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25</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25</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trHeight w:val="255" w:hRule="atLeast"/>
        </w:trPr>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满意度指标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服务对象满意度指标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群众满意度</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≥90%</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100%</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trHeight w:val="255" w:hRule="atLeast"/>
        </w:trPr>
        <w:tc>
          <w:tcPr>
            <w:tcW w:w="4301" w:type="dxa"/>
            <w:gridSpan w:val="9"/>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总分</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100</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bl>
    <w:p>
      <w:pPr>
        <w:pStyle w:val="Normal"/>
        <w:spacing w:line="20" w:lineRule="exact"/>
        <w:rPr>
          <w:vanish/>
        </w:rPr>
      </w:pPr>
      <w:r>
        <w:rPr>
          <w:vanish/>
        </w:rPr>
      </w:r>
    </w:p>
    <w:p>
      <w:pPr>
        <w:pStyle w:val="Normal"/>
      </w:pPr>
      <w:r/>
    </w:p>
    <w:tbl>
      <w:tblPr>
        <w:tblW w:w="5000" w:type="pct"/>
        <w:jc w:val="center"/>
        <w:tblInd w:type="dxa" w:w="0.000000"/>
        <w:tblLayout w:type="fixed"/>
        <w:tblLook w:noVBand="0" w:noHBand="0" w:lastColumn="0" w:firstColumn="0" w:lastRow="0" w:firstRow="0" w:val="04a0"/>
        <w:tblCellMar>
          <w:top w:type="dxa" w:w="0.000000"/>
          <w:bottom w:type="dxa" w:w="0.000000"/>
          <w:left w:type="dxa" w:w="20.000000"/>
          <w:right w:type="dxa" w:w="20.000000"/>
        </w:tblCellMar>
      </w:tblPr>
      <w:tblGrid>
        <w:gridCol w:w="490.000000"/>
        <w:gridCol w:w="491.000000"/>
        <w:gridCol w:w="491.000000"/>
        <w:gridCol w:w="491.000000"/>
        <w:gridCol w:w="491.000000"/>
        <w:gridCol w:w="491.000000"/>
        <w:gridCol w:w="491.000000"/>
        <w:gridCol w:w="491.000000"/>
        <w:gridCol w:w="491.000000"/>
        <w:gridCol w:w="982.000000"/>
        <w:gridCol w:w="982.000000"/>
        <w:gridCol w:w="491.000000"/>
        <w:gridCol w:w="491.000000"/>
        <w:gridCol w:w="491.000000"/>
        <w:gridCol w:w="491.000000"/>
      </w:tblGrid>
      <w:tr>
        <w:trPr>
          <w:trHeight w:val="184" w:hRule="atLeast"/>
        </w:trPr>
        <w:tc>
          <w:tcPr>
            <w:tcW w:w="6647" w:type="dxa"/>
            <w:gridSpan w:val="1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项目支出绩效自评情况表 </w:t>
            </w:r>
            <w:r>
              <w:rPr>
                <w:sz w:val="32"/>
                <w:lang w:val="en-US" w:eastAsia="zh-CN" w:bidi="ar-SA"/>
                <w:kern w:val="2"/>
                <w:szCs w:val="24"/>
                <w:rFonts w:ascii="Calibri" w:hAnsi="Calibri" w:eastAsia="仿宋_GB2312"/>
              </w:rPr>
            </w:r>
          </w:p>
        </w:tc>
      </w:tr>
      <w:tr>
        <w:trPr>
          <w:trHeight w:val="133" w:hRule="atLeast"/>
        </w:trPr>
        <w:tc>
          <w:tcPr>
            <w:tcW w:w="6647" w:type="dxa"/>
            <w:gridSpan w:val="12"/>
            <w:vAlign w:val="top"/>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2026年09月</w:t>
            </w:r>
            <w:r>
              <w:rPr>
                <w:sz w:val="32"/>
                <w:lang w:val="en-US" w:eastAsia="zh-CN" w:bidi="ar-SA"/>
                <w:kern w:val="2"/>
                <w:szCs w:val="24"/>
                <w:rFonts w:ascii="Calibri" w:hAnsi="Calibri" w:eastAsia="仿宋_GB2312"/>
              </w:rPr>
            </w:r>
          </w:p>
        </w:tc>
      </w:tr>
      <w:tr>
        <w:trPr>
          <w:trHeight w:val="102" w:hRule="atLeast"/>
        </w:trPr>
        <w:tc>
          <w:tcPr>
            <w:tcW w:w="1173" w:type="dxa"/>
            <w:gridSpan w:val="3"/>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项目名称</w:t>
            </w:r>
            <w:r>
              <w:rPr>
                <w:sz w:val="32"/>
                <w:lang w:val="en-US" w:eastAsia="zh-CN" w:bidi="ar-SA"/>
                <w:kern w:val="2"/>
                <w:szCs w:val="24"/>
                <w:rFonts w:ascii="Calibri" w:hAnsi="Calibri" w:eastAsia="仿宋_GB2312"/>
              </w:rPr>
            </w:r>
          </w:p>
        </w:tc>
        <w:tc>
          <w:tcPr>
            <w:tcW w:w="5474" w:type="dxa"/>
            <w:gridSpan w:val="10"/>
            <w:vAlign w:val="top"/>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【特定工作】水闸安全鉴定项目</w:t>
            </w:r>
            <w:r>
              <w:rPr>
                <w:sz w:val="32"/>
                <w:lang w:val="en-US" w:eastAsia="zh-CN" w:bidi="ar-SA"/>
                <w:kern w:val="2"/>
                <w:szCs w:val="24"/>
                <w:rFonts w:ascii="Calibri" w:hAnsi="Calibri" w:eastAsia="仿宋_GB2312"/>
              </w:rPr>
            </w:r>
          </w:p>
        </w:tc>
      </w:tr>
      <w:tr>
        <w:trPr>
          <w:trHeight w:val="102" w:hRule="atLeast"/>
        </w:trPr>
        <w:tc>
          <w:tcPr>
            <w:tcW w:w="1173" w:type="dxa"/>
            <w:gridSpan w:val="3"/>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主管部门</w:t>
            </w:r>
            <w:r>
              <w:rPr>
                <w:sz w:val="32"/>
                <w:lang w:val="en-US" w:eastAsia="zh-CN" w:bidi="ar-SA"/>
                <w:kern w:val="2"/>
                <w:szCs w:val="24"/>
                <w:rFonts w:ascii="Calibri" w:hAnsi="Calibri" w:eastAsia="仿宋_GB2312"/>
              </w:rPr>
            </w:r>
          </w:p>
        </w:tc>
        <w:tc>
          <w:tcPr>
            <w:tcW w:w="1564" w:type="dxa"/>
            <w:gridSpan w:val="4"/>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许昌市水利局</w:t>
            </w:r>
            <w:r>
              <w:rPr>
                <w:sz w:val="32"/>
                <w:lang w:val="en-US" w:eastAsia="zh-CN" w:bidi="ar-SA"/>
                <w:kern w:val="2"/>
                <w:szCs w:val="24"/>
                <w:rFonts w:ascii="Calibri" w:hAnsi="Calibri" w:eastAsia="仿宋_GB2312"/>
              </w:rPr>
            </w:r>
          </w:p>
        </w:tc>
        <w:tc>
          <w:tcPr>
            <w:tcW w:w="1564" w:type="dxa"/>
            <w:gridSpan w:val="3"/>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实施单位</w:t>
            </w:r>
            <w:r>
              <w:rPr>
                <w:sz w:val="32"/>
                <w:lang w:val="en-US" w:eastAsia="zh-CN" w:bidi="ar-SA"/>
                <w:kern w:val="2"/>
                <w:szCs w:val="24"/>
                <w:rFonts w:ascii="Calibri" w:hAnsi="Calibri" w:eastAsia="仿宋_GB2312"/>
              </w:rPr>
            </w:r>
          </w:p>
        </w:tc>
        <w:tc>
          <w:tcPr>
            <w:tcW w:w="2346" w:type="dxa"/>
            <w:gridSpan w:val="4"/>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许昌市河湖事务中心</w:t>
            </w:r>
            <w:r>
              <w:rPr>
                <w:sz w:val="32"/>
                <w:lang w:val="en-US" w:eastAsia="zh-CN" w:bidi="ar-SA"/>
                <w:kern w:val="2"/>
                <w:szCs w:val="24"/>
                <w:rFonts w:ascii="Calibri" w:hAnsi="Calibri" w:eastAsia="仿宋_GB2312"/>
              </w:rPr>
            </w:r>
          </w:p>
        </w:tc>
      </w:tr>
      <w:tr>
        <w:trPr>
          <w:cantSplit/>
          <w:trHeight w:val="102" w:hRule="atLeast"/>
        </w:trPr>
        <w:tc>
          <w:tcPr>
            <w:tcW w:w="1173" w:type="dxa"/>
            <w:gridSpan w:val="3"/>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项目资金                (万元)</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年初预算数</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全年预算数</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全年执行数</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分值</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执行率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得分</w:t>
            </w:r>
            <w:r>
              <w:rPr>
                <w:sz w:val="32"/>
                <w:lang w:val="en-US" w:eastAsia="zh-CN" w:bidi="ar-SA"/>
                <w:kern w:val="2"/>
                <w:szCs w:val="24"/>
                <w:rFonts w:ascii="Calibri" w:hAnsi="Calibri" w:eastAsia="仿宋_GB2312"/>
              </w:rPr>
            </w:r>
          </w:p>
        </w:tc>
      </w:tr>
      <w:tr>
        <w:trPr>
          <w:cantSplit/>
          <w:trHeight w:val="107" w:hRule="atLeast"/>
        </w:trPr>
        <w:tc>
          <w:tcPr>
            <w:tcW w:w="1173" w:type="dxa"/>
            <w:gridSpan w:val="3"/>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  年度资金总额：</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60</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60</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57.82</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96.37 %</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9.64</w:t>
            </w:r>
            <w:r>
              <w:rPr>
                <w:sz w:val="32"/>
                <w:lang w:val="en-US" w:eastAsia="zh-CN" w:bidi="ar-SA"/>
                <w:kern w:val="2"/>
                <w:szCs w:val="24"/>
                <w:rFonts w:ascii="Calibri" w:hAnsi="Calibri" w:eastAsia="仿宋_GB2312"/>
              </w:rPr>
            </w:r>
          </w:p>
        </w:tc>
      </w:tr>
      <w:tr>
        <w:trPr>
          <w:cantSplit/>
          <w:trHeight w:val="102" w:hRule="atLeast"/>
        </w:trPr>
        <w:tc>
          <w:tcPr>
            <w:tcW w:w="1173" w:type="dxa"/>
            <w:gridSpan w:val="3"/>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财政拨款</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60</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60</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57.82</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96.37 %</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w:t>
            </w:r>
            <w:r>
              <w:rPr>
                <w:sz w:val="32"/>
                <w:lang w:val="en-US" w:eastAsia="zh-CN" w:bidi="ar-SA"/>
                <w:kern w:val="2"/>
                <w:szCs w:val="24"/>
                <w:rFonts w:ascii="Calibri" w:hAnsi="Calibri" w:eastAsia="仿宋_GB2312"/>
              </w:rPr>
            </w:r>
          </w:p>
        </w:tc>
      </w:tr>
      <w:tr>
        <w:trPr>
          <w:cantSplit/>
          <w:trHeight w:val="102" w:hRule="atLeast"/>
        </w:trPr>
        <w:tc>
          <w:tcPr>
            <w:tcW w:w="1173" w:type="dxa"/>
            <w:gridSpan w:val="3"/>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财政专户管理资金</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w:t>
            </w:r>
            <w:r>
              <w:rPr>
                <w:sz w:val="32"/>
                <w:lang w:val="en-US" w:eastAsia="zh-CN" w:bidi="ar-SA"/>
                <w:kern w:val="2"/>
                <w:szCs w:val="24"/>
                <w:rFonts w:ascii="Calibri" w:hAnsi="Calibri" w:eastAsia="仿宋_GB2312"/>
              </w:rPr>
            </w:r>
          </w:p>
        </w:tc>
      </w:tr>
      <w:tr>
        <w:trPr>
          <w:cantSplit/>
          <w:trHeight w:val="102" w:hRule="atLeast"/>
        </w:trPr>
        <w:tc>
          <w:tcPr>
            <w:tcW w:w="1173" w:type="dxa"/>
            <w:gridSpan w:val="3"/>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单位资金</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w:t>
            </w:r>
            <w:r>
              <w:rPr>
                <w:sz w:val="32"/>
                <w:lang w:val="en-US" w:eastAsia="zh-CN" w:bidi="ar-SA"/>
                <w:kern w:val="2"/>
                <w:szCs w:val="24"/>
                <w:rFonts w:ascii="Calibri" w:hAnsi="Calibri" w:eastAsia="仿宋_GB2312"/>
              </w:rPr>
            </w:r>
          </w:p>
        </w:tc>
      </w:tr>
      <w:tr>
        <w:trPr>
          <w:cantSplit/>
          <w:trHeight w:val="102" w:hRule="atLeast"/>
        </w:trPr>
        <w:tc>
          <w:tcPr>
            <w:tcW w:w="1173" w:type="dxa"/>
            <w:gridSpan w:val="3"/>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资金管理情况</w:t>
            </w:r>
            <w:r>
              <w:rPr>
                <w:sz w:val="32"/>
                <w:lang w:val="en-US" w:eastAsia="zh-CN" w:bidi="ar-SA"/>
                <w:kern w:val="2"/>
                <w:szCs w:val="24"/>
                <w:rFonts w:ascii="Calibri" w:hAnsi="Calibri" w:eastAsia="仿宋_GB2312"/>
              </w:rPr>
            </w:r>
          </w:p>
        </w:tc>
        <w:tc>
          <w:tcPr>
            <w:tcW w:w="1564" w:type="dxa"/>
            <w:gridSpan w:val="4"/>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64" w:type="dxa"/>
            <w:gridSpan w:val="3"/>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情况说明</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分值（20）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得分</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存在问题和改进措施</w:t>
            </w:r>
            <w:r>
              <w:rPr>
                <w:sz w:val="32"/>
                <w:lang w:val="en-US" w:eastAsia="zh-CN" w:bidi="ar-SA"/>
                <w:kern w:val="2"/>
                <w:szCs w:val="24"/>
                <w:rFonts w:ascii="Calibri" w:hAnsi="Calibri" w:eastAsia="仿宋_GB2312"/>
              </w:rPr>
            </w:r>
          </w:p>
        </w:tc>
      </w:tr>
      <w:tr>
        <w:trPr>
          <w:cantSplit/>
          <w:trHeight w:val="102" w:hRule="atLeast"/>
        </w:trPr>
        <w:tc>
          <w:tcPr>
            <w:tcW w:w="1173" w:type="dxa"/>
            <w:gridSpan w:val="3"/>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64" w:type="dxa"/>
            <w:gridSpan w:val="4"/>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安排科学性</w:t>
            </w:r>
            <w:r>
              <w:rPr>
                <w:sz w:val="32"/>
                <w:lang w:val="en-US" w:eastAsia="zh-CN" w:bidi="ar-SA"/>
                <w:kern w:val="2"/>
                <w:szCs w:val="24"/>
                <w:rFonts w:ascii="Calibri" w:hAnsi="Calibri" w:eastAsia="仿宋_GB2312"/>
              </w:rPr>
            </w:r>
          </w:p>
        </w:tc>
        <w:tc>
          <w:tcPr>
            <w:tcW w:w="1564" w:type="dxa"/>
            <w:gridSpan w:val="3"/>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按照部门预算编制和资金管理办法的要求，进行项目论证、评审、立项等必要程序。</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cantSplit/>
          <w:trHeight w:val="102" w:hRule="atLeast"/>
        </w:trPr>
        <w:tc>
          <w:tcPr>
            <w:tcW w:w="1173" w:type="dxa"/>
            <w:gridSpan w:val="3"/>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64" w:type="dxa"/>
            <w:gridSpan w:val="4"/>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拨付合规性</w:t>
            </w:r>
            <w:r>
              <w:rPr>
                <w:sz w:val="32"/>
                <w:lang w:val="en-US" w:eastAsia="zh-CN" w:bidi="ar-SA"/>
                <w:kern w:val="2"/>
                <w:szCs w:val="24"/>
                <w:rFonts w:ascii="Calibri" w:hAnsi="Calibri" w:eastAsia="仿宋_GB2312"/>
              </w:rPr>
            </w:r>
          </w:p>
        </w:tc>
        <w:tc>
          <w:tcPr>
            <w:tcW w:w="1564" w:type="dxa"/>
            <w:gridSpan w:val="3"/>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严格按照国库集中支付制度有关规定支付资金，未出现违规将资金从国库转入财政专户或支付到预算单位实有资金账户等问题。</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cantSplit/>
          <w:trHeight w:val="102" w:hRule="atLeast"/>
        </w:trPr>
        <w:tc>
          <w:tcPr>
            <w:tcW w:w="1173" w:type="dxa"/>
            <w:gridSpan w:val="3"/>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64" w:type="dxa"/>
            <w:gridSpan w:val="4"/>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使用规范性</w:t>
            </w:r>
            <w:r>
              <w:rPr>
                <w:sz w:val="32"/>
                <w:lang w:val="en-US" w:eastAsia="zh-CN" w:bidi="ar-SA"/>
                <w:kern w:val="2"/>
                <w:szCs w:val="24"/>
                <w:rFonts w:ascii="Calibri" w:hAnsi="Calibri" w:eastAsia="仿宋_GB2312"/>
              </w:rPr>
            </w:r>
          </w:p>
        </w:tc>
        <w:tc>
          <w:tcPr>
            <w:tcW w:w="1564" w:type="dxa"/>
            <w:gridSpan w:val="3"/>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严格按照下达预算的科目和项目执行，未出现截留、挤占、挪用和擅自调整等问题。</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cantSplit/>
          <w:trHeight w:val="102" w:hRule="atLeast"/>
        </w:trPr>
        <w:tc>
          <w:tcPr>
            <w:tcW w:w="1173" w:type="dxa"/>
            <w:gridSpan w:val="3"/>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564" w:type="dxa"/>
            <w:gridSpan w:val="4"/>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预算绩效管理情况</w:t>
            </w:r>
            <w:r>
              <w:rPr>
                <w:sz w:val="32"/>
                <w:lang w:val="en-US" w:eastAsia="zh-CN" w:bidi="ar-SA"/>
                <w:kern w:val="2"/>
                <w:szCs w:val="24"/>
                <w:rFonts w:ascii="Calibri" w:hAnsi="Calibri" w:eastAsia="仿宋_GB2312"/>
              </w:rPr>
            </w:r>
          </w:p>
        </w:tc>
        <w:tc>
          <w:tcPr>
            <w:tcW w:w="1564" w:type="dxa"/>
            <w:gridSpan w:val="3"/>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将资金纳入绩效管理，设置绩效目标，开展绩效监控。</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cantSplit/>
          <w:trHeight w:val="148" w:hRule="atLeast"/>
        </w:trPr>
        <w:tc>
          <w:tcPr>
            <w:tcW w:w="391" w:type="dxa"/>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年度总体目标</w:t>
            </w:r>
            <w:r>
              <w:rPr>
                <w:sz w:val="32"/>
                <w:lang w:val="en-US" w:eastAsia="zh-CN" w:bidi="ar-SA"/>
                <w:kern w:val="2"/>
                <w:szCs w:val="24"/>
                <w:rFonts w:ascii="Calibri" w:hAnsi="Calibri" w:eastAsia="仿宋_GB2312"/>
              </w:rPr>
            </w:r>
          </w:p>
        </w:tc>
        <w:tc>
          <w:tcPr>
            <w:tcW w:w="2346" w:type="dxa"/>
            <w:gridSpan w:val="5"/>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预期目标</w:t>
            </w:r>
            <w:r>
              <w:rPr>
                <w:sz w:val="32"/>
                <w:lang w:val="en-US" w:eastAsia="zh-CN" w:bidi="ar-SA"/>
                <w:kern w:val="2"/>
                <w:szCs w:val="24"/>
                <w:rFonts w:ascii="Calibri" w:hAnsi="Calibri" w:eastAsia="仿宋_GB2312"/>
              </w:rPr>
            </w:r>
          </w:p>
        </w:tc>
        <w:tc>
          <w:tcPr>
            <w:tcW w:w="3910" w:type="dxa"/>
            <w:gridSpan w:val="6"/>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实际完成情况</w:t>
            </w:r>
            <w:r>
              <w:rPr>
                <w:sz w:val="32"/>
                <w:lang w:val="en-US" w:eastAsia="zh-CN" w:bidi="ar-SA"/>
                <w:kern w:val="2"/>
                <w:szCs w:val="24"/>
                <w:rFonts w:ascii="Calibri" w:hAnsi="Calibri" w:eastAsia="仿宋_GB2312"/>
              </w:rPr>
            </w:r>
          </w:p>
        </w:tc>
      </w:tr>
      <w:tr>
        <w:trPr>
          <w:cantSplit/>
          <w:trHeight w:val="506" w:hRule="atLeast"/>
        </w:trPr>
        <w:tc>
          <w:tcPr>
            <w:tcW w:w="391" w:type="dxa"/>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2346" w:type="dxa"/>
            <w:gridSpan w:val="5"/>
            <w:vAlign w:val="top"/>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确保关庄闸、泘沱闸、马岗闸、王月桥闸、孙庄闸、高营闸6座中型水闸安全运行</w:t>
            </w:r>
            <w:r>
              <w:rPr>
                <w:sz w:val="32"/>
                <w:lang w:val="en-US" w:eastAsia="zh-CN" w:bidi="ar-SA"/>
                <w:kern w:val="2"/>
                <w:szCs w:val="24"/>
                <w:rFonts w:ascii="Calibri" w:hAnsi="Calibri" w:eastAsia="仿宋_GB2312"/>
              </w:rPr>
            </w:r>
          </w:p>
        </w:tc>
        <w:tc>
          <w:tcPr>
            <w:tcW w:w="3910" w:type="dxa"/>
            <w:gridSpan w:val="6"/>
            <w:vAlign w:val="top"/>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对关庄闸、泘沱闸、马岗闸、王月桥闸、孙庄闸5座中型水闸开展安全鉴定，确保水闸安全运行。</w:t>
            </w:r>
            <w:r>
              <w:rPr>
                <w:sz w:val="32"/>
                <w:lang w:val="en-US" w:eastAsia="zh-CN" w:bidi="ar-SA"/>
                <w:kern w:val="2"/>
                <w:szCs w:val="24"/>
                <w:rFonts w:ascii="Calibri" w:hAnsi="Calibri" w:eastAsia="仿宋_GB2312"/>
              </w:rPr>
            </w:r>
          </w:p>
        </w:tc>
      </w:tr>
      <w:tr>
        <w:trPr>
          <w:cantSplit/>
          <w:trHeight w:val="102" w:hRule="atLeast"/>
        </w:trPr>
        <w:tc>
          <w:tcPr>
            <w:tcW w:w="6647" w:type="dxa"/>
            <w:gridSpan w:val="12"/>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绩效指标</w:t>
            </w:r>
            <w:r>
              <w:rPr>
                <w:sz w:val="32"/>
                <w:lang w:val="en-US" w:eastAsia="zh-CN" w:bidi="ar-SA"/>
                <w:kern w:val="2"/>
                <w:szCs w:val="24"/>
                <w:rFonts w:ascii="Calibri" w:hAnsi="Calibri" w:eastAsia="仿宋_GB2312"/>
              </w:rPr>
            </w:r>
          </w:p>
        </w:tc>
      </w:tr>
      <w:tr>
        <w:trPr>
          <w:cantSplit/>
          <w:trHeight w:val="102" w:hRule="atLeast"/>
        </w:trPr>
        <w:tc>
          <w:tcPr>
            <w:tcW w:w="6647" w:type="dxa"/>
            <w:gridSpan w:val="1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cantSplit/>
          <w:trHeight w:val="92" w:hRule="atLeast"/>
        </w:trPr>
        <w:tc>
          <w:tcPr>
            <w:tcW w:w="782" w:type="dxa"/>
            <w:gridSpan w:val="2"/>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一级指标</w:t>
            </w:r>
            <w:r>
              <w:rPr>
                <w:sz w:val="32"/>
                <w:lang w:val="en-US" w:eastAsia="zh-CN" w:bidi="ar-SA"/>
                <w:kern w:val="2"/>
                <w:szCs w:val="24"/>
                <w:rFonts w:ascii="Calibri" w:hAnsi="Calibri" w:eastAsia="仿宋_GB2312"/>
              </w:rPr>
            </w:r>
          </w:p>
        </w:tc>
        <w:tc>
          <w:tcPr>
            <w:tcW w:w="782" w:type="dxa"/>
            <w:gridSpan w:val="2"/>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二级指标</w:t>
            </w:r>
            <w:r>
              <w:rPr>
                <w:sz w:val="32"/>
                <w:lang w:val="en-US" w:eastAsia="zh-CN" w:bidi="ar-SA"/>
                <w:kern w:val="2"/>
                <w:szCs w:val="24"/>
                <w:rFonts w:ascii="Calibri" w:hAnsi="Calibri" w:eastAsia="仿宋_GB2312"/>
              </w:rPr>
            </w:r>
          </w:p>
        </w:tc>
        <w:tc>
          <w:tcPr>
            <w:tcW w:w="782" w:type="dxa"/>
            <w:gridSpan w:val="2"/>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三级指标</w:t>
            </w:r>
            <w:r>
              <w:rPr>
                <w:sz w:val="32"/>
                <w:lang w:val="en-US" w:eastAsia="zh-CN" w:bidi="ar-SA"/>
                <w:kern w:val="2"/>
                <w:szCs w:val="24"/>
                <w:rFonts w:ascii="Calibri" w:hAnsi="Calibri" w:eastAsia="仿宋_GB2312"/>
              </w:rPr>
            </w:r>
          </w:p>
        </w:tc>
        <w:tc>
          <w:tcPr>
            <w:tcW w:w="782" w:type="dxa"/>
            <w:gridSpan w:val="2"/>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年度指标值</w:t>
            </w:r>
            <w:r>
              <w:rPr>
                <w:sz w:val="32"/>
                <w:lang w:val="en-US" w:eastAsia="zh-CN" w:bidi="ar-SA"/>
                <w:kern w:val="2"/>
                <w:szCs w:val="24"/>
                <w:rFonts w:ascii="Calibri" w:hAnsi="Calibri" w:eastAsia="仿宋_GB2312"/>
              </w:rPr>
            </w:r>
          </w:p>
        </w:tc>
        <w:tc>
          <w:tcPr>
            <w:tcW w:w="1173" w:type="dxa"/>
            <w:gridSpan w:val="2"/>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实际值完成值</w:t>
            </w:r>
            <w:r>
              <w:rPr>
                <w:sz w:val="32"/>
                <w:lang w:val="en-US" w:eastAsia="zh-CN" w:bidi="ar-SA"/>
                <w:kern w:val="2"/>
                <w:szCs w:val="24"/>
                <w:rFonts w:ascii="Calibri" w:hAnsi="Calibri" w:eastAsia="仿宋_GB2312"/>
              </w:rPr>
            </w:r>
          </w:p>
        </w:tc>
        <w:tc>
          <w:tcPr>
            <w:tcW w:w="782" w:type="dxa"/>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分值</w:t>
            </w:r>
            <w:r>
              <w:rPr>
                <w:sz w:val="32"/>
                <w:lang w:val="en-US" w:eastAsia="zh-CN" w:bidi="ar-SA"/>
                <w:kern w:val="2"/>
                <w:szCs w:val="24"/>
                <w:rFonts w:ascii="Calibri" w:hAnsi="Calibri" w:eastAsia="仿宋_GB2312"/>
              </w:rPr>
            </w:r>
          </w:p>
        </w:tc>
        <w:tc>
          <w:tcPr>
            <w:tcW w:w="782" w:type="dxa"/>
            <w:gridSpan w:val="2"/>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得分</w:t>
            </w:r>
            <w:r>
              <w:rPr>
                <w:sz w:val="32"/>
                <w:lang w:val="en-US" w:eastAsia="zh-CN" w:bidi="ar-SA"/>
                <w:kern w:val="2"/>
                <w:szCs w:val="24"/>
                <w:rFonts w:ascii="Calibri" w:hAnsi="Calibri" w:eastAsia="仿宋_GB2312"/>
              </w:rPr>
            </w:r>
          </w:p>
        </w:tc>
        <w:tc>
          <w:tcPr>
            <w:tcW w:w="391" w:type="dxa"/>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偏差度</w:t>
            </w:r>
            <w:r>
              <w:rPr>
                <w:sz w:val="32"/>
                <w:lang w:val="en-US" w:eastAsia="zh-CN" w:bidi="ar-SA"/>
                <w:kern w:val="2"/>
                <w:szCs w:val="24"/>
                <w:rFonts w:ascii="Calibri" w:hAnsi="Calibri" w:eastAsia="仿宋_GB2312"/>
              </w:rPr>
            </w:r>
          </w:p>
        </w:tc>
        <w:tc>
          <w:tcPr>
            <w:tcW w:w="391" w:type="dxa"/>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偏差原因分析及改进措施</w:t>
            </w:r>
            <w:r>
              <w:rPr>
                <w:sz w:val="32"/>
                <w:lang w:val="en-US" w:eastAsia="zh-CN" w:bidi="ar-SA"/>
                <w:kern w:val="2"/>
                <w:szCs w:val="24"/>
                <w:rFonts w:ascii="Calibri" w:hAnsi="Calibri" w:eastAsia="仿宋_GB2312"/>
              </w:rPr>
            </w:r>
          </w:p>
        </w:tc>
      </w:tr>
      <w:tr>
        <w:trPr>
          <w:cantSplit/>
          <w:trHeight w:val="92" w:hRule="atLeast"/>
        </w:trPr>
        <w:tc>
          <w:tcPr>
            <w:tcW w:w="782" w:type="dxa"/>
            <w:gridSpan w:val="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1173" w:type="dxa"/>
            <w:gridSpan w:val="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91" w:type="dxa"/>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91" w:type="dxa"/>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trHeight w:val="255" w:hRule="atLeast"/>
        </w:trPr>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成本指标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经济成本指标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庄闸、泘沱闸、马关岗闸、王月桥闸、孙庄闸5座中型水闸安全鉴定经费金额</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≤60万元</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60万元</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cantSplit/>
          <w:trHeight w:val="255" w:hRule="atLeast"/>
        </w:trPr>
        <w:tc>
          <w:tcPr>
            <w:tcW w:w="782" w:type="dxa"/>
            <w:gridSpan w:val="2"/>
            <w:vMerge w:val="restart"/>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产出指标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数量指标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安全鉴定水闸数</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=6座</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5座</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4.17</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-16.67</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申请对6座水闸开展安全鉴定，财政建议对5座水闸开展安全鉴定。</w:t>
            </w:r>
            <w:r>
              <w:rPr>
                <w:sz w:val="32"/>
                <w:lang w:val="en-US" w:eastAsia="zh-CN" w:bidi="ar-SA"/>
                <w:kern w:val="2"/>
                <w:szCs w:val="24"/>
                <w:rFonts w:ascii="Calibri" w:hAnsi="Calibri" w:eastAsia="仿宋_GB2312"/>
              </w:rPr>
            </w:r>
          </w:p>
        </w:tc>
      </w:tr>
      <w:tr>
        <w:trPr>
          <w:cantSplit/>
          <w:trHeight w:val="255" w:hRule="atLeast"/>
        </w:trPr>
        <w:tc>
          <w:tcPr>
            <w:tcW w:w="782" w:type="dxa"/>
            <w:gridSpan w:val="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质量指标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验收合格率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=100%</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100%</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15</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15</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cantSplit/>
          <w:trHeight w:val="255" w:hRule="atLeast"/>
        </w:trPr>
        <w:tc>
          <w:tcPr>
            <w:tcW w:w="782" w:type="dxa"/>
            <w:gridSpan w:val="2"/>
            <w:vMerge w:val="continue"/>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时效指标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项目完成时限</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2025年12月底</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100%</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trHeight w:val="255" w:hRule="atLeast"/>
        </w:trPr>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效益指标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经济效益指标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促进社会经济发展</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作用明显</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100%</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25</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25</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trHeight w:val="255" w:hRule="atLeast"/>
        </w:trPr>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满意度指标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服务对象满意度指标</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群众满意度</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≥90%</w:t>
            </w:r>
            <w:r>
              <w:rPr>
                <w:sz w:val="32"/>
                <w:lang w:val="en-US" w:eastAsia="zh-CN" w:bidi="ar-SA"/>
                <w:kern w:val="2"/>
                <w:szCs w:val="24"/>
                <w:rFonts w:ascii="Calibri" w:hAnsi="Calibri" w:eastAsia="仿宋_GB2312"/>
              </w:rPr>
            </w:r>
          </w:p>
        </w:tc>
        <w:tc>
          <w:tcPr>
            <w:tcW w:w="1173"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90%</w:t>
            </w:r>
            <w:r>
              <w:rPr>
                <w:sz w:val="32"/>
                <w:lang w:val="en-US" w:eastAsia="zh-CN" w:bidi="ar-SA"/>
                <w:kern w:val="2"/>
                <w:szCs w:val="24"/>
                <w:rFonts w:ascii="Calibri" w:hAnsi="Calibri" w:eastAsia="仿宋_GB2312"/>
              </w:rPr>
            </w:r>
          </w:p>
        </w:tc>
        <w:tc>
          <w:tcPr>
            <w:tcW w:w="782"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5</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0.00</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r>
        <w:trPr>
          <w:trHeight w:val="255" w:hRule="atLeast"/>
        </w:trPr>
        <w:tc>
          <w:tcPr>
            <w:tcW w:w="4301" w:type="dxa"/>
            <w:gridSpan w:val="9"/>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总分</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100</w:t>
            </w:r>
            <w:r>
              <w:rPr>
                <w:sz w:val="32"/>
                <w:lang w:val="en-US" w:eastAsia="zh-CN" w:bidi="ar-SA"/>
                <w:kern w:val="2"/>
                <w:szCs w:val="24"/>
                <w:rFonts w:ascii="Calibri" w:hAnsi="Calibri" w:eastAsia="仿宋_GB2312"/>
              </w:rPr>
            </w:r>
          </w:p>
        </w:tc>
        <w:tc>
          <w:tcPr>
            <w:tcW w:w="782" w:type="dxa"/>
            <w:gridSpan w:val="2"/>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b w:val="0"/>
                <w:i w:val="0"/>
                <w:color w:val="000000"/>
                <w:sz w:val="21"/>
                <w:lang w:val="en-US" w:eastAsia="zh-CN" w:bidi="ar-SA"/>
                <w:kern w:val="2"/>
                <w:szCs w:val="24"/>
                <w:rFonts w:ascii="宋体" w:hAnsi="宋体" w:eastAsia="宋体"/>
              </w:rPr>
            </w:pPr>
            <w:r>
              <w:rPr>
                <w:b w:val="0"/>
                <w:i w:val="0"/>
                <w:color w:val="000000"/>
                <w:sz w:val="21"/>
                <w:lang w:val="en-US" w:eastAsia="zh-CN" w:bidi="ar-SA"/>
                <w:kern w:val="2"/>
                <w:szCs w:val="24"/>
                <w:rFonts w:ascii="宋体" w:hAnsi="宋体" w:eastAsia="宋体"/>
              </w:rPr>
              <w:t xml:space="preserve">98.81</w:t>
            </w: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c>
          <w:tcPr>
            <w:tcW w:w="391" w:type="dxa"/>
            <w:vAlign w:val="center"/>
            <w:tcBorders>
              <w:top w:val="single" w:color="black" w:sz="4" w:space="0"/>
              <w:left w:val="single" w:color="black" w:sz="4" w:space="0"/>
              <w:bottom w:val="single" w:color="black" w:sz="4" w:space="0"/>
              <w:right w:val="single" w:color="black" w:sz="4" w:space="0"/>
            </w:tcBorders>
            <w:textDirection w:val="lrTb"/>
          </w:tcPr>
          <w:p>
            <w:pPr>
              <w:pStyle w:val="Normal"/>
              <w:widowControl w:val="0"/>
              <w:snapToGrid w:val="0"/>
              <w:jc w:val="center"/>
              <w:divId w:val="0"/>
              <w:spacing w:after="0" w:afterAutospacing="0" w:before="0" w:beforeAutospacing="0" w:line="240" w:lineRule="auto"/>
              <w:rPr>
                <w:sz w:val="32"/>
                <w:lang w:val="en-US" w:eastAsia="zh-CN" w:bidi="ar-SA"/>
                <w:kern w:val="2"/>
                <w:szCs w:val="24"/>
                <w:rFonts w:ascii="Calibri" w:hAnsi="Calibri" w:eastAsia="仿宋_GB2312"/>
              </w:rPr>
            </w:pPr>
            <w:r>
              <w:rPr>
                <w:sz w:val="32"/>
                <w:lang w:val="en-US" w:eastAsia="zh-CN" w:bidi="ar-SA"/>
                <w:kern w:val="2"/>
                <w:szCs w:val="24"/>
                <w:rFonts w:ascii="Calibri" w:hAnsi="Calibri" w:eastAsia="仿宋_GB2312"/>
              </w:rPr>
            </w:r>
          </w:p>
        </w:tc>
      </w:tr>
    </w:tbl>
    <w:sectPr>
      <w:type w:val="nextPage"/>
      <w:docGrid w:type="lines" w:linePitch="312" w:charSpace="0"/>
      <w:pgSz w:w="11906" w:h="16838" w:orient="portrait"/>
      <w:pgMar w:top="1440" w:right="1800" w:bottom="1440" w:left="1800" w:header="851" w:footer="992" w:gutter="0"/>
      <w:pgNumType w:fmt="57"/>
      <w:cols w:num="1" w:equalWidth="0" w:space="425">
        <w:col w:space="-9952" w:w="8306"/>
      </w:cols>
      <w:pgNumType w:fmt="57"/>
    </w:sectPr>
  </w:body>
</w:document>
</file>

<file path=word/fontTable.xml><?xml version="1.0" encoding="utf-8"?>
<w:fonts xmlns:w="http://schemas.openxmlformats.org/wordprocessingml/2006/main">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script"/>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script"/>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Cambria Math">
    <w:panose1 w:val="00000000000000000000"/>
    <w:charset w:val="00"/>
    <w:family w:val="auto"/>
    <w:pitch w:val="default"/>
    <w:sig w:usb0="00000000" w:usb1="00000000" w:usb2="00000000" w:usb3="00000000" w:csb0="00000000" w:csb1="00000000"/>
  </w:font>
</w:fonts>
</file>

<file path=word/footer1.xml><?xml version="1.0" encoding="utf-8"?>
<w:ftr xmlns:wp="http://schemas.openxmlformats.org/drawingml/2006/wordprocessingDrawing" xmlns:w="http://schemas.openxmlformats.org/wordprocessingml/2006/main" xmlns:o="urn:schemas-microsoft-com:office:office" xmlns:v="urn:schemas-microsoft-com:vml" xmlns:w10="urn:schemas-microsoft-com:office:word" xmlns:wps="http://schemas.microsoft.com/office/word/2010/wordprocessingShape" xmlns:r="http://schemas.openxmlformats.org/officeDocument/2006/relationships">
  <w:p>
    <w:pPr>
      <w:pStyle w:val="Footer"/>
      <w:rPr>
        <w:sz w:val="18"/>
      </w:rPr>
    </w:pPr>
    <w:r>
      <w:rPr>
        <w:sz w:val="18"/>
      </w:rPr>
      <w:drawing>
        <wp:anchor distT="0" distB="0" distL="9" distR="9" relativeHeight="524288" behindDoc="0" allowOverlap="1" locked="0" layoutInCell="1" simplePos="0">
          <wp:simplePos x="0" y="0"/>
          <wp:positionH relativeFrom="margin">
            <wp:align>center</wp:align>
          </wp:positionH>
          <wp:positionV relativeFrom="paragraph">
            <wp:posOffset>0</wp:posOffset>
          </wp:positionV>
          <wp:extent cx="1828800" cy="1828800"/>
          <wp:wrapNone/>
          <wp:docPr id="1" name="_x0000_s2049"/>
          <a:graphic xmlns:a="http://schemas.openxmlformats.org/drawingml/2006/main">
            <a:graphicData uri="http://schemas.microsoft.com/office/word/2010/wordprocessingShape">
              <wps:wsp>
                <wps:cNvSpPr/>
                <wps:spPr>
                  <a:xfrm>
                    <a:off x="0" y="0"/>
                    <a:ext cx="1828800" cy="1828800"/>
                  </a:xfrm>
                  <a:prstGeom prst="rect">
                    <a:avLst/>
                  </a:prstGeom>
                </wps:spPr>
                <wps:txbx style="mso-fit-shape-to-text:t;" inset="0pt,0pt,0pt,0pt">
                  <w:txbxContent>
                    <w:p>
                      <w:pPr>
                        <w:pStyle w:val="Footer"/>
                        <w:rPr>
                          <w:sz w:val="32"/>
                          <w:szCs w:val="32"/>
                          <w:rFonts w:ascii="Times New Roman" w:hAnsi="Times New Roman"/>
                        </w:rPr>
                      </w:pPr>
                      <w:r>
                        <w:rPr>
                          <w:sz w:val="32"/>
                          <w:szCs w:val="32"/>
                          <w:rFonts w:ascii="Times New Roman" w:hAnsi="Times New Roman"/>
                        </w:rPr>
                        <w:fldChar w:fldCharType="begin"/>
                      </w:r>
                      <w:r>
                        <w:rPr>
                          <w:sz w:val="32"/>
                          <w:szCs w:val="32"/>
                          <w:rFonts w:ascii="Times New Roman" w:hAnsi="Times New Roman"/>
                        </w:rPr>
                        <w:instrText xml:space="preserve"> PAGE  \* MERGEFORMAT </w:instrText>
                      </w:r>
                      <w:r>
                        <w:rPr>
                          <w:sz w:val="32"/>
                          <w:szCs w:val="32"/>
                          <w:rFonts w:ascii="Times New Roman" w:hAnsi="Times New Roman"/>
                        </w:rPr>
                        <w:fldChar w:fldCharType="separate"/>
                      </w:r>
                      <w:r>
                        <w:rPr>
                          <w:sz w:val="32"/>
                          <w:szCs w:val="32"/>
                          <w:rFonts w:ascii="Times New Roman" w:hAnsi="Times New Roman"/>
                        </w:rPr>
                        <w:t xml:space="preserve">- -1 -</w:t>
                      </w:r>
                      <w:r>
                        <w:rPr>
                          <w:sz w:val="32"/>
                          <w:szCs w:val="32"/>
                          <w:rFonts w:ascii="Times New Roman" w:hAnsi="Times New Roman"/>
                        </w:rPr>
                        <w:fldChar w:fldCharType="end"/>
                      </w:r>
                      <w:r>
                        <w:rPr>
                          <w:sz w:val="32"/>
                          <w:szCs w:val="32"/>
                          <w:rFonts w:ascii="Times New Roman" w:hAnsi="Times New Roman"/>
                        </w:rPr>
                      </w:r>
                    </w:p>
                    <w:p>
                      <w:pPr>
                        <w:pStyle w:val="Normal"/>
                      </w:pPr>
                      <w:r/>
                    </w:p>
                  </w:txbxContent>
                </wps:txbx>
                <wps:bodyPr rot="0" vert="horz" wrap="square" lIns="91440" tIns="45720" rIns="91440" bIns="45720" anchor="t" anchorCtr="0"/>
              </wps:wsp>
            </a:graphicData>
          </a:graphic>
        </wp:anchor>
      </w:drawing>
    </w:r>
    <w:r/>
  </w:p>
</w:ftr>
</file>

<file path=word/numbering.xml><?xml version="1.0" encoding="utf-8"?>
<w:numbering xmlns:wps="http://schemas.microsoft.com/office/word/2010/wordprocessingShape" xmlns:wpc="http://schemas.microsoft.com/office/word/2010/wordprocessingCanvas" xmlns:wne="http://schemas.microsoft.com/office/word/2006/wordml" xmlns:mc="http://schemas.openxmlformats.org/markup-compatibility/2006" xmlns:w14="http://schemas.microsoft.com/office/word/2010/wordml" xmlns:r="http://schemas.openxmlformats.org/officeDocument/2006/relationships" xmlns:v="urn:schemas-microsoft-com:vml" xmlns:wp14="http://schemas.microsoft.com/office/word/2010/wordprocessingDrawing" xmlns:wpg="http://schemas.microsoft.com/office/word/2010/wordprocessingGroup" xmlns:wp="http://schemas.openxmlformats.org/drawingml/2006/wordprocessingDrawing" xmlns:o="urn:schemas-microsoft-com:office:office" xmlns:w="http://schemas.openxmlformats.org/wordprocessingml/2006/main" xmlns:m="http://schemas.openxmlformats.org/officeDocument/2006/math" xmlns:w10="urn:schemas-microsoft-com:office:word" xmlns:wpi="http://schemas.microsoft.com/office/word/2010/wordprocessingInk" xmlns:a="http://schemas.openxmlformats.org/drawingml/2006/main" mc:Ignorable="w14 wp14">
  <w:abstractNum w:abstractNumId="0">
    <w:nsid w:val="9A9269F6"/>
    <w:multiLevelType w:val="multilevel"/>
    <w:tmpl w:val="9A9269F6"/>
    <w:lvl w:ilvl="0">
      <w:start w:val="1"/>
      <w:numFmt w:val="chineseCounting"/>
      <w:suff w:val="nothing"/>
      <w:lvlText w:val="%1、"/>
      <w:lvlJc w:val="left"/>
      <w:pPr>
        <w:pStyle w:val="Normal"/>
        <w:ind w:firstLine="0" w:left="0"/>
      </w:pPr>
      <w:rPr>
        <w:rFonts w:ascii="Times New Roman" w:hAnsi="Times New Roman"/>
      </w:rPr>
    </w:lvl>
    <w:lvl w:ilvl="1">
      <w:start w:val="1"/>
      <w:numFmt w:val="decimal"/>
      <w:suff w:val="tab"/>
      <w:lvlText w:val="%2."/>
      <w:lvlJc w:val="left"/>
      <w:pPr>
        <w:pStyle w:val="Normal"/>
        <w:tabs>
          <w:tab w:val="left" w:pos="1440"/>
        </w:tabs>
        <w:ind w:hanging="360" w:left="1440"/>
      </w:pPr>
      <w:rPr/>
    </w:lvl>
    <w:lvl w:ilvl="2">
      <w:start w:val="1"/>
      <w:numFmt w:val="decimal"/>
      <w:suff w:val="tab"/>
      <w:lvlText w:val="%3."/>
      <w:lvlJc w:val="left"/>
      <w:pPr>
        <w:pStyle w:val="Normal"/>
        <w:tabs>
          <w:tab w:val="left" w:pos="2160"/>
        </w:tabs>
        <w:ind w:hanging="360" w:left="2160"/>
      </w:pPr>
      <w:rPr/>
    </w:lvl>
    <w:lvl w:ilvl="3">
      <w:start w:val="1"/>
      <w:numFmt w:val="decimal"/>
      <w:suff w:val="tab"/>
      <w:lvlText w:val="%4."/>
      <w:lvlJc w:val="left"/>
      <w:pPr>
        <w:pStyle w:val="Normal"/>
        <w:tabs>
          <w:tab w:val="left" w:pos="2880"/>
        </w:tabs>
        <w:ind w:hanging="360" w:left="2880"/>
      </w:pPr>
      <w:rPr/>
    </w:lvl>
    <w:lvl w:ilvl="4">
      <w:start w:val="1"/>
      <w:numFmt w:val="decimal"/>
      <w:suff w:val="tab"/>
      <w:lvlText w:val="%5."/>
      <w:lvlJc w:val="left"/>
      <w:pPr>
        <w:pStyle w:val="Normal"/>
        <w:tabs>
          <w:tab w:val="left" w:pos="3600"/>
        </w:tabs>
        <w:ind w:hanging="360" w:left="3600"/>
      </w:pPr>
      <w:rPr/>
    </w:lvl>
    <w:lvl w:ilvl="5">
      <w:start w:val="1"/>
      <w:numFmt w:val="decimal"/>
      <w:suff w:val="tab"/>
      <w:lvlText w:val="%6."/>
      <w:lvlJc w:val="left"/>
      <w:pPr>
        <w:pStyle w:val="Normal"/>
        <w:tabs>
          <w:tab w:val="left" w:pos="4320"/>
        </w:tabs>
        <w:ind w:hanging="360" w:left="4320"/>
      </w:pPr>
      <w:rPr/>
    </w:lvl>
    <w:lvl w:ilvl="6">
      <w:start w:val="1"/>
      <w:numFmt w:val="decimal"/>
      <w:suff w:val="tab"/>
      <w:lvlText w:val="%7."/>
      <w:lvlJc w:val="left"/>
      <w:pPr>
        <w:pStyle w:val="Normal"/>
        <w:tabs>
          <w:tab w:val="left" w:pos="5040"/>
        </w:tabs>
        <w:ind w:hanging="360" w:left="5040"/>
      </w:pPr>
      <w:rPr/>
    </w:lvl>
    <w:lvl w:ilvl="7">
      <w:start w:val="1"/>
      <w:numFmt w:val="decimal"/>
      <w:suff w:val="tab"/>
      <w:lvlText w:val="%8."/>
      <w:lvlJc w:val="left"/>
      <w:pPr>
        <w:pStyle w:val="Normal"/>
        <w:tabs>
          <w:tab w:val="left" w:pos="5760"/>
        </w:tabs>
        <w:ind w:hanging="360" w:left="5760"/>
      </w:pPr>
      <w:rPr/>
    </w:lvl>
    <w:lvl w:ilvl="8">
      <w:start w:val="1"/>
      <w:numFmt w:val="decimal"/>
      <w:suff w:val="tab"/>
      <w:lvlText w:val="%9."/>
      <w:lvlJc w:val="left"/>
      <w:pPr>
        <w:pStyle w:val="Normal"/>
        <w:tabs>
          <w:tab w:val="left" w:pos="6480"/>
        </w:tabs>
        <w:ind w:hanging="360" w:left="6480"/>
      </w:pPr>
      <w:rPr/>
    </w:lvl>
  </w:abstractNum>
  <w:num w:numId="1">
    <w:abstractNumId w:val="0"/>
  </w:num>
</w:numbering>
</file>

<file path=word/settings.xml><?xml version="1.0" encoding="utf-8"?>
<w:settings xmlns:w="http://schemas.openxmlformats.org/wordprocessingml/2006/main">
  <w:defaultTabStop w:val="420"/>
  <w:displayHorizontalDrawingGridEvery w:val="0"/>
  <w:displayVerticalDrawingGridEvery w:val="2"/>
  <w:characterSpacingControl w:val="compressPunctuation"/>
  <w:zoom w:percent="130"/>
  <w:compat>
    <w:balanceSingleByteDoubleByteWidth/>
    <w:doNotLeaveBackslashAlone/>
    <w:ulTrailSpace/>
    <w:doNotExpandShiftReturn/>
    <w:adjustLineHeightInTable/>
    <w:compatSetting w:val="11" w:uri="http://schemas.microsoft.com/office/word" w:name="compatibilityMode"/>
  </w:compat>
  <w:rsids/>
  <w:clrSchemeMapping tx1="dk1" tx2="dk2" bg1="lt1" bg2="lt2"/>
  <w:decimalSymbol/>
  <w:listSeparator/>
</w:settings>
</file>

<file path=word/styles.xml><?xml version="1.0" encoding="utf-8"?>
<w:styles xmlns:w="http://schemas.openxmlformats.org/wordprocessingml/2006/main">
  <w:docDefaults>
    <w:rPrDefault>
      <w:rPr>
        <w:lang w:val="en-US"/>
        <w:rFonts w:ascii="Times New Roman" w:hAnsi="Times New Roman" w:eastAsia="宋体" w:cs="Times New Roman"/>
      </w:rPr>
    </w:rPrDefault>
    <w:pPrDefault/>
  </w:docDefaults>
  <w:style w:type="paragraph" w:styleId="Normal">
    <w:name w:val="Normal"/>
    <w:link w:val="Normal"/>
    <w:pPr>
      <w:widowControl w:val="0"/>
      <w:jc w:val="both"/>
      <w:divId w:val="0"/>
    </w:pPr>
    <w:rPr>
      <w:sz w:val="32"/>
      <w:lang w:val="en-US" w:eastAsia="zh-CN" w:bidi="ar-SA"/>
      <w:kern w:val="2"/>
      <w:szCs w:val="24"/>
      <w:rFonts w:ascii="Calibri" w:hAnsi="Calibri" w:eastAsia="仿宋_GB2312"/>
    </w:rPr>
  </w:style>
  <w:style w:type="character" w:styleId="NormalCharacter">
    <w:name w:val="Default Paragraph Font"/>
    <w:link w:val="Normal"/>
    <w:semiHidden/>
  </w:style>
  <w:style w:type="table" w:styleId="TableNormal">
    <w:name w:val="Normal Table"/>
    <w:link w:val="Normal"/>
    <w:semiHidden/>
  </w:style>
  <w:style w:type="numbering" w:styleId="NormalList">
    <w:name w:val="No List"/>
    <w:link w:val="Normal"/>
    <w:semiHidden/>
  </w:style>
  <w:style w:type="paragraph" w:styleId="BodyText">
    <w:name w:val="Body Text"/>
    <w:basedOn w:val="Normal"/>
    <w:link w:val="Normal"/>
    <w:pPr>
      <w:spacing w:afterAutospacing="0"/>
    </w:pPr>
  </w:style>
  <w:style w:type="paragraph" w:styleId="Footer">
    <w:name w:val="Footer"/>
    <w:basedOn w:val="Normal"/>
    <w:link w:val="Normal"/>
    <w:pPr>
      <w:snapToGrid w:val="0"/>
      <w:jc w:val="start"/>
      <w:tabs>
        <w:tab w:val="center" w:pos="4153"/>
        <w:tab w:val="right" w:pos="8306"/>
      </w:tabs>
    </w:pPr>
    <w:rPr>
      <w:sz w:val="18"/>
    </w:rPr>
  </w:style>
  <w:style w:type="paragraph" w:styleId="Header">
    <w:name w:val="Header"/>
    <w:basedOn w:val="Normal"/>
    <w:link w:val="Normal"/>
    <w:pPr>
      <w:snapToGrid w:val="0"/>
      <w:jc w:val="both"/>
      <w:outlineLvl w:val="9"/>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table" w:styleId="TableGrid">
    <w:name w:val="Table Grid"/>
    <w:link w:val="Normal"/>
  </w:style>
  <w:style w:type="character" w:styleId="UserStyle_0">
    <w:name w:val="15"/>
    <w:basedOn w:val="NormalCharacter"/>
    <w:link w:val="Normal"/>
    <w:rPr>
      <w:color w:val="000000"/>
      <w:sz w:val="20"/>
      <w:szCs w:val="20"/>
      <w:rFonts w:ascii="宋体" w:hAnsi="宋体" w:eastAsia="宋体" w:hint="eastAsia"/>
    </w:rPr>
  </w:style>
  <w:style w:type="character" w:styleId="UserStyle_1">
    <w:name w:val="16"/>
    <w:basedOn w:val="NormalCharacter"/>
    <w:link w:val="Normal"/>
    <w:rPr>
      <w:color w:val="000000"/>
      <w:sz w:val="24"/>
      <w:szCs w:val="24"/>
      <w:rFonts w:ascii="宋体" w:hAnsi="宋体" w:eastAsia="宋体" w:hint="eastAsia"/>
    </w:rPr>
  </w:style>
  <w:style w:type="character" w:styleId="UserStyle_2">
    <w:name w:val="17"/>
    <w:basedOn w:val="NormalCharacter"/>
    <w:link w:val="Normal"/>
    <w:rPr>
      <w:color w:val="000000"/>
      <w:sz w:val="24"/>
      <w:szCs w:val="24"/>
      <w:rFonts w:ascii="宋体" w:hAnsi="宋体" w:eastAsia="宋体" w:hint="eastAsia"/>
    </w:rPr>
  </w:style>
</w:styles>
</file>

<file path=word/_rels/document.xml.rels><?xml version="1.0" encoding="UTF-8" standalone="yes"?><Relationships xmlns="http://schemas.openxmlformats.org/package/2006/relationships"><Relationship Id="rId4" Type="http://schemas.openxmlformats.org/officeDocument/2006/relationships/footer" Target="footer1.xml" /><Relationship Id="rId3" Type="http://schemas.openxmlformats.org/officeDocument/2006/relationships/numbering" Target="numbering.xml" /><Relationship Id="rId2" Type="http://schemas.openxmlformats.org/officeDocument/2006/relationships/fontTable" Target="fontTable.xml" /><Relationship Id="rId1" Type="http://schemas.openxmlformats.org/officeDocument/2006/relationships/settings" Target="settings.xml" /><Relationship Id="rId0" Type="http://schemas.openxmlformats.org/officeDocument/2006/relationships/styles" Target="styles.xml" /></Relationships>
</file>

<file path=docProps/app.xml><?xml version="1.0" encoding="utf-8"?>
<Properties xmlns="http://schemas.openxmlformats.org/officeDocument/2006/extended-properties">
  <Template/>
  <TotalTime>0</TotalTime>
  <Pages>0</Pages>
  <Words>0</Words>
  <Characters>0</Characters>
  <Application/>
  <DocSecurity>0</DocSecurity>
  <Lines>0</Lines>
  <Paragraphs>0</Paragraphs>
  <ScaleCrop>false</ScaleCrop>
  <Company/>
  <LinksUpToDate>false</LinksUpToDate>
  <CharactersWithSpaces>0</CharactersWithSpaces>
  <SharedDoc>false</SharedDoc>
  <HyperlinksChanged>false</HyperlinksChanged>
</Properties>
</file>

<file path=docProps/core.xml><?xml version="1.0" encoding="utf-8"?>
<cp:coreProperties xmlns:xsi="http://www.w3.org/2001/XMLSchema-instance" xmlns:dcmitype="http://purl.org/dc/dcmitype/" xmlns:dc="http://purl.org/dc/elements/1.1/" xmlns:dcterms="http://purl.org/dc/terms/" xmlns:cp="http://schemas.openxmlformats.org/package/2006/metadata/core-properties">
  <dc:title/>
  <dc:subject/>
  <dc:creator/>
  <cp:keywords/>
  <dc:description/>
  <cp:lastModifiedBy/>
  <cp:revision>0</cp:revision>
</cp:coreProperties>
</file>

<file path=tbak/modified.xml>Tue Sep 29 17:04:07 2026
save:Tue Sep 29 17:04:29 2026

</file>