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F6E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6BD52B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A410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F156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98D0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6BC3BE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950B0E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许昌市发展和改革委员会</w:t>
      </w:r>
      <w:r>
        <w:rPr>
          <w:rFonts w:hint="eastAsia" w:ascii="黑体" w:hAnsi="宋体" w:eastAsia="黑体" w:cs="黑体"/>
          <w:kern w:val="2"/>
          <w:sz w:val="44"/>
          <w:szCs w:val="44"/>
          <w:lang w:val="en-US" w:eastAsia="zh-CN"/>
        </w:rPr>
        <w:t>部门决算</w:t>
      </w:r>
    </w:p>
    <w:p w14:paraId="6985B24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8662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5B10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37766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02404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AD8496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659F63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58BCA6F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019176C">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6D0AED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许昌市发展和改革委员会概况</w:t>
      </w:r>
    </w:p>
    <w:p w14:paraId="05D9907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36FAE28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26E8A4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4F75B1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A4233E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DBE83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B24D0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C113FA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96CB92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7D54C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25DBE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082F13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4991F0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6457BB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2C029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D2F43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D9923B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AF9B4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F7A45A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A9390E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1C490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A639F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A2714F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E81EA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8A1E2F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27E18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6E602D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D03F8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ADE4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C50F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6E9A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5E4A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47AB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4897B480">
      <w:pPr>
        <w:bidi w:val="0"/>
        <w:rPr>
          <w:rFonts w:hint="eastAsia"/>
          <w:lang w:val="en-US" w:eastAsia="zh-CN"/>
        </w:rPr>
      </w:pPr>
    </w:p>
    <w:p w14:paraId="25E140C6">
      <w:pPr>
        <w:bidi w:val="0"/>
        <w:rPr>
          <w:rFonts w:hint="eastAsia"/>
          <w:lang w:val="en-US" w:eastAsia="zh-CN"/>
        </w:rPr>
      </w:pPr>
    </w:p>
    <w:p w14:paraId="57964D4F">
      <w:pPr>
        <w:bidi w:val="0"/>
        <w:rPr>
          <w:rFonts w:hint="eastAsia"/>
          <w:lang w:val="en-US" w:eastAsia="zh-CN"/>
        </w:rPr>
      </w:pPr>
    </w:p>
    <w:p w14:paraId="4DA13E88">
      <w:pPr>
        <w:bidi w:val="0"/>
        <w:rPr>
          <w:rFonts w:hint="eastAsia"/>
          <w:lang w:val="en-US" w:eastAsia="zh-CN"/>
        </w:rPr>
      </w:pPr>
    </w:p>
    <w:p w14:paraId="68310C8C">
      <w:pPr>
        <w:bidi w:val="0"/>
        <w:rPr>
          <w:rFonts w:hint="eastAsia"/>
          <w:lang w:val="en-US" w:eastAsia="zh-CN"/>
        </w:rPr>
      </w:pPr>
    </w:p>
    <w:p w14:paraId="31629285">
      <w:pPr>
        <w:bidi w:val="0"/>
        <w:rPr>
          <w:rFonts w:hint="eastAsia"/>
          <w:lang w:val="en-US" w:eastAsia="zh-CN"/>
        </w:rPr>
      </w:pPr>
    </w:p>
    <w:p w14:paraId="23833A67">
      <w:pPr>
        <w:bidi w:val="0"/>
        <w:rPr>
          <w:rFonts w:hint="eastAsia"/>
          <w:lang w:val="en-US" w:eastAsia="zh-CN"/>
        </w:rPr>
      </w:pPr>
    </w:p>
    <w:p w14:paraId="6717F2BA">
      <w:pPr>
        <w:bidi w:val="0"/>
        <w:rPr>
          <w:rFonts w:hint="eastAsia"/>
          <w:lang w:val="en-US" w:eastAsia="zh-CN"/>
        </w:rPr>
      </w:pPr>
    </w:p>
    <w:p w14:paraId="6902F847">
      <w:pPr>
        <w:bidi w:val="0"/>
        <w:rPr>
          <w:rFonts w:hint="eastAsia"/>
          <w:lang w:val="en-US" w:eastAsia="zh-CN"/>
        </w:rPr>
      </w:pPr>
    </w:p>
    <w:p w14:paraId="6F58DBAC">
      <w:pPr>
        <w:bidi w:val="0"/>
        <w:rPr>
          <w:rFonts w:hint="eastAsia"/>
          <w:lang w:val="en-US" w:eastAsia="zh-CN"/>
        </w:rPr>
      </w:pPr>
    </w:p>
    <w:p w14:paraId="417B758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第一部分许昌市发展和改革委员会概况</w:t>
      </w:r>
    </w:p>
    <w:p w14:paraId="53435AD7">
      <w:pPr>
        <w:bidi w:val="0"/>
        <w:rPr>
          <w:rFonts w:hint="eastAsia"/>
        </w:rPr>
      </w:pPr>
    </w:p>
    <w:p w14:paraId="2EB3ECD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D5AC8B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62ABC7A0">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因内容涉密，按规定不予公开</w:t>
      </w:r>
    </w:p>
    <w:p w14:paraId="20C94A3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9A407D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发展和改革委员会内设机构34个，包括：办公室、人事科、法规科、发展规划科、国民经济综合科、经济运行调节科、经济体制改革综合科、固定资产投资科（政务服务科）、利用外资和经济贸易科、地区经济科、农村经济科、城市发展科（市城镇化工作办公室）、基础设施发展科、工业发展科、服务业发展科、创新和高技术发展科、资源节约和环境保护科、社会发展和就业分配科、经济与国防协调发展科、价格调控科、价格管理科、收费管理科、财政金融科（市信用体系建设办公室）、财务审计科、许昌市人民政府重点项目建设办公室、能源规划建设科、许昌市铁路发展办公室、营商环境建设科、政策研究室、数据资源和规划科、数字经济和基础建设科、民营经济发展科、机关党委、离退休干部工作科。</w:t>
      </w:r>
    </w:p>
    <w:p w14:paraId="40DFB47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0DF2E92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许昌市发展和改革委员会部门决算包括：本级决算、所属单位决算。</w:t>
      </w:r>
    </w:p>
    <w:p w14:paraId="6DE3228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本决算为汇总决算，纳入本部门2025年度部门决算编制范围的单位共6个，具体是：    1.许昌市发展和改革委员会（本级）；</w:t>
      </w:r>
    </w:p>
    <w:p w14:paraId="495152D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2.许昌市节能和能源安全中心（未独立核算）；</w:t>
      </w:r>
    </w:p>
    <w:p w14:paraId="3F911D6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3.许昌市价格成本调查监审局；</w:t>
      </w:r>
    </w:p>
    <w:p w14:paraId="4BE9452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4.许昌市城乡融合发展服务中心；</w:t>
      </w:r>
    </w:p>
    <w:p w14:paraId="0141607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5.许昌市优化营商环境服务中心；</w:t>
      </w:r>
    </w:p>
    <w:p w14:paraId="4D11485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6.许昌市重点项目建设服务中心。</w:t>
      </w:r>
    </w:p>
    <w:p w14:paraId="03E0429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9ECF56B">
      <w:pPr>
        <w:keepNext w:val="0"/>
        <w:keepLines w:val="0"/>
        <w:pageBreakBefore w:val="0"/>
        <w:kinsoku/>
        <w:overflowPunct/>
        <w:topLinePunct w:val="0"/>
        <w:autoSpaceDE/>
        <w:autoSpaceDN/>
        <w:bidi w:val="0"/>
        <w:adjustRightInd/>
        <w:snapToGrid/>
        <w:spacing w:line="560" w:lineRule="exact"/>
        <w:textAlignment w:val="auto"/>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AFA370F">
      <w:pPr>
        <w:bidi w:val="0"/>
        <w:rPr>
          <w:rFonts w:hint="eastAsia"/>
          <w:lang w:val="en-US" w:eastAsia="zh-CN"/>
        </w:rPr>
      </w:pPr>
    </w:p>
    <w:p w14:paraId="05C6DA67">
      <w:pPr>
        <w:bidi w:val="0"/>
        <w:rPr>
          <w:rFonts w:hint="eastAsia"/>
          <w:lang w:val="en-US" w:eastAsia="zh-CN"/>
        </w:rPr>
      </w:pPr>
    </w:p>
    <w:p w14:paraId="76CA919B">
      <w:pPr>
        <w:bidi w:val="0"/>
        <w:rPr>
          <w:lang w:val="en-US" w:eastAsia="zh-CN"/>
        </w:rPr>
      </w:pPr>
    </w:p>
    <w:p w14:paraId="2B614655">
      <w:pPr>
        <w:bidi w:val="0"/>
        <w:rPr>
          <w:rFonts w:hint="eastAsia"/>
          <w:lang w:val="en-US" w:eastAsia="zh-CN"/>
        </w:rPr>
      </w:pPr>
      <w:r>
        <w:rPr>
          <w:rFonts w:hint="eastAsia"/>
          <w:lang w:val="en-US" w:eastAsia="zh-CN"/>
        </w:rPr>
        <w:t xml:space="preserve"> </w:t>
      </w:r>
    </w:p>
    <w:p w14:paraId="41D5FF0F">
      <w:pPr>
        <w:bidi w:val="0"/>
        <w:rPr>
          <w:rFonts w:hint="eastAsia"/>
        </w:rPr>
      </w:pPr>
      <w:r>
        <w:rPr>
          <w:rFonts w:hint="eastAsia"/>
          <w:lang w:val="en-US" w:eastAsia="zh-CN"/>
        </w:rPr>
        <w:t xml:space="preserve"> </w:t>
      </w:r>
    </w:p>
    <w:p w14:paraId="3B0E5559">
      <w:pPr>
        <w:bidi w:val="0"/>
        <w:rPr>
          <w:rFonts w:hint="eastAsia"/>
        </w:rPr>
      </w:pPr>
      <w:r>
        <w:rPr>
          <w:rFonts w:hint="eastAsia"/>
          <w:lang w:val="en-US" w:eastAsia="zh-CN"/>
        </w:rPr>
        <w:t xml:space="preserve"> </w:t>
      </w:r>
    </w:p>
    <w:p w14:paraId="175764CF">
      <w:pPr>
        <w:bidi w:val="0"/>
        <w:rPr>
          <w:rFonts w:hint="eastAsia"/>
        </w:rPr>
      </w:pPr>
      <w:r>
        <w:rPr>
          <w:rFonts w:hint="eastAsia"/>
          <w:lang w:val="en-US" w:eastAsia="zh-CN"/>
        </w:rPr>
        <w:t xml:space="preserve"> </w:t>
      </w:r>
    </w:p>
    <w:p w14:paraId="4E4A5973">
      <w:pPr>
        <w:bidi w:val="0"/>
        <w:rPr>
          <w:rFonts w:hint="eastAsia"/>
        </w:rPr>
      </w:pPr>
      <w:r>
        <w:rPr>
          <w:rFonts w:hint="eastAsia"/>
          <w:lang w:val="en-US" w:eastAsia="zh-CN"/>
        </w:rPr>
        <w:t xml:space="preserve"> </w:t>
      </w:r>
    </w:p>
    <w:p w14:paraId="47FDD189">
      <w:pPr>
        <w:bidi w:val="0"/>
        <w:rPr>
          <w:rFonts w:hint="eastAsia"/>
        </w:rPr>
      </w:pPr>
      <w:r>
        <w:rPr>
          <w:rFonts w:hint="eastAsia"/>
          <w:lang w:val="en-US" w:eastAsia="zh-CN"/>
        </w:rPr>
        <w:t xml:space="preserve"> </w:t>
      </w:r>
    </w:p>
    <w:p w14:paraId="43F9A815">
      <w:pPr>
        <w:bidi w:val="0"/>
        <w:rPr>
          <w:rFonts w:hint="eastAsia"/>
        </w:rPr>
      </w:pPr>
      <w:r>
        <w:rPr>
          <w:rFonts w:hint="eastAsia"/>
          <w:lang w:val="en-US" w:eastAsia="zh-CN"/>
        </w:rPr>
        <w:t xml:space="preserve"> </w:t>
      </w:r>
    </w:p>
    <w:p w14:paraId="1297A6B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7A2A2B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F8DDE1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15E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055A8A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75D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EA50FA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部门：许昌市发展和改革委员会</w:t>
            </w:r>
          </w:p>
        </w:tc>
        <w:tc>
          <w:tcPr>
            <w:tcW w:w="2000" w:type="dxa"/>
            <w:noWrap w:val="0"/>
            <w:vAlign w:val="center"/>
          </w:tcPr>
          <w:p w14:paraId="1581FCB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166A8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40B349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F3E0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5B7D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3AC5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411C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0" w:hRule="exact"/>
          <w:jc w:val="center"/>
        </w:trPr>
        <w:tc>
          <w:tcPr>
            <w:tcW w:w="3780" w:type="dxa"/>
            <w:noWrap w:val="0"/>
            <w:vAlign w:val="center"/>
          </w:tcPr>
          <w:p w14:paraId="77FA06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7328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27E1A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7E0F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F26D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53E7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1048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C01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05A6FF8">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8E6C6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76262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A8D2D0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A70B9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A66A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5BC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F88F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D5575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4,734.05</w:t>
            </w:r>
          </w:p>
        </w:tc>
        <w:tc>
          <w:tcPr>
            <w:tcW w:w="3780" w:type="dxa"/>
            <w:noWrap w:val="0"/>
            <w:vAlign w:val="center"/>
          </w:tcPr>
          <w:p w14:paraId="158EE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4107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75673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3,688.90</w:t>
            </w:r>
          </w:p>
        </w:tc>
      </w:tr>
      <w:tr w14:paraId="2D747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D72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3B92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ABA8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405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111D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85FA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31A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8EC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1AC9E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F662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B31A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FD2F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71CA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017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221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E4C9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CCC5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CB3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9E6B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E819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514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20A9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41BA4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7B13AF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685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E63BB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22DC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662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FA58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F5F19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E97B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659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10187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2121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2C6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27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EC9E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ED46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0612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027AB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E0D9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262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56F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CF45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4694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41747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01E8A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B01F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748.25</w:t>
            </w:r>
          </w:p>
        </w:tc>
      </w:tr>
      <w:tr w14:paraId="60654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7AF8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65FA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A06F4E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EFF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82A1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7E01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118.09</w:t>
            </w:r>
          </w:p>
        </w:tc>
      </w:tr>
      <w:tr w14:paraId="2A47FB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DA1E6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968E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6F03D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B17C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608E2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77F1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1EC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CF5E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A0633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9EC9B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F23F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D8F8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5D5F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2A6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EDCF1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D9B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D134C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D43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AF78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ACB7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4.34</w:t>
            </w:r>
          </w:p>
        </w:tc>
      </w:tr>
      <w:tr w14:paraId="2000B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7090B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8AAC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71667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A0CE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F895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DB93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63B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BC2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300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4A9C44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A03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8F0C1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CF97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002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411A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3FC5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D0B28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BDB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665DC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5763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1F4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7C6D1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991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734E0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DD8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2D1CD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57F2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3DF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FB84B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CD5C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B243D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BEA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4190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1F77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656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A395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4F2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C4D755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2997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98FE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E8B4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6CB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EE93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6B3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ACD434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41D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0EC78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FE1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174.47</w:t>
            </w:r>
          </w:p>
        </w:tc>
      </w:tr>
      <w:tr w14:paraId="5AC5E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253A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F4A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05358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1C02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9A9FC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AB92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3A4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4E24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FC8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31136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2F5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18418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D703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498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65BA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6BF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ABF78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6C7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CBAC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AA86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83D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8981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5EF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88B5A7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669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7B105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9482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3CA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A06AD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5A7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EA505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0D5B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2AB2D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CBC78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874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584A1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CCD99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9958C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AF7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09738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3FEC0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7DAF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A752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CB7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F7E5B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664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7533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5681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3E5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70D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3F67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7B99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4,734.06</w:t>
            </w:r>
          </w:p>
        </w:tc>
        <w:tc>
          <w:tcPr>
            <w:tcW w:w="3780" w:type="dxa"/>
            <w:noWrap w:val="0"/>
            <w:vAlign w:val="center"/>
          </w:tcPr>
          <w:p w14:paraId="439112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EE78A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A3F5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4,734.05</w:t>
            </w:r>
          </w:p>
        </w:tc>
      </w:tr>
      <w:tr w14:paraId="43DA0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D16B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3E49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3157B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35AA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2F6DC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7249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036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132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181390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3577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0.50</w:t>
            </w:r>
          </w:p>
        </w:tc>
        <w:tc>
          <w:tcPr>
            <w:tcW w:w="3780" w:type="dxa"/>
            <w:noWrap w:val="0"/>
            <w:vAlign w:val="center"/>
          </w:tcPr>
          <w:p w14:paraId="003652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E2A88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EEBB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0.50</w:t>
            </w:r>
          </w:p>
        </w:tc>
      </w:tr>
      <w:tr w14:paraId="393ED7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425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D37F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1A3A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4,734.56</w:t>
            </w:r>
          </w:p>
        </w:tc>
        <w:tc>
          <w:tcPr>
            <w:tcW w:w="3780" w:type="dxa"/>
            <w:noWrap w:val="0"/>
            <w:vAlign w:val="center"/>
          </w:tcPr>
          <w:p w14:paraId="5D3C1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B2D2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63F8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4,734.56</w:t>
            </w:r>
          </w:p>
        </w:tc>
      </w:tr>
      <w:tr w14:paraId="1D9F8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5C12B7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2ADC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65092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AE0A4C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103A4A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50EB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AFEE92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5898A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64BC9E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部门：许昌市发展和改革委员会</w:t>
            </w:r>
          </w:p>
        </w:tc>
        <w:tc>
          <w:tcPr>
            <w:tcW w:w="2000" w:type="dxa"/>
            <w:noWrap w:val="0"/>
            <w:vAlign w:val="center"/>
          </w:tcPr>
          <w:p w14:paraId="05B2327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769007B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8456A4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4F4FC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CAF2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8050D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A1D5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492B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1C66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7357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87B3C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082F1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6DC3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1E89DC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054EC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D0F0E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050F5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F192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2416F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6E05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9264A2">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C00CCA7">
            <w:pPr>
              <w:widowControl w:val="0"/>
              <w:jc w:val="both"/>
              <w:rPr>
                <w:rFonts w:ascii="Calibri" w:hAnsi="Calibri" w:eastAsia="仿宋_GB2312" w:cs="Arial"/>
                <w:kern w:val="2"/>
                <w:sz w:val="32"/>
                <w:szCs w:val="24"/>
                <w:lang w:val="en-US" w:eastAsia="zh-CN" w:bidi="ar-SA"/>
              </w:rPr>
            </w:pPr>
          </w:p>
        </w:tc>
      </w:tr>
      <w:tr w14:paraId="25263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F130B2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1C50B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B1EE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110A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5BD9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03B2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C571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00F4D4">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89C63DA">
            <w:pPr>
              <w:widowControl w:val="0"/>
              <w:jc w:val="both"/>
              <w:rPr>
                <w:rFonts w:ascii="Calibri" w:hAnsi="Calibri" w:eastAsia="仿宋_GB2312" w:cs="Arial"/>
                <w:kern w:val="2"/>
                <w:sz w:val="32"/>
                <w:szCs w:val="24"/>
                <w:lang w:val="en-US" w:eastAsia="zh-CN" w:bidi="ar-SA"/>
              </w:rPr>
            </w:pPr>
          </w:p>
        </w:tc>
      </w:tr>
      <w:tr w14:paraId="13B62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91F388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4A280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A6E5E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0BDA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42E9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32607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2317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9FD90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0B91AC1">
            <w:pPr>
              <w:widowControl w:val="0"/>
              <w:jc w:val="both"/>
              <w:rPr>
                <w:rFonts w:ascii="Calibri" w:hAnsi="Calibri" w:eastAsia="仿宋_GB2312" w:cs="Arial"/>
                <w:kern w:val="2"/>
                <w:sz w:val="32"/>
                <w:szCs w:val="24"/>
                <w:lang w:val="en-US" w:eastAsia="zh-CN" w:bidi="ar-SA"/>
              </w:rPr>
            </w:pPr>
          </w:p>
        </w:tc>
      </w:tr>
      <w:tr w14:paraId="64D2F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198C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5522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C58A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D723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4F4C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3E957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8038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0837B0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2EEB4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48D38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86C17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4,734.06</w:t>
            </w:r>
          </w:p>
        </w:tc>
        <w:tc>
          <w:tcPr>
            <w:tcW w:w="880" w:type="dxa"/>
            <w:noWrap w:val="0"/>
            <w:vAlign w:val="center"/>
          </w:tcPr>
          <w:p w14:paraId="6EDCC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4,734.05</w:t>
            </w:r>
          </w:p>
        </w:tc>
        <w:tc>
          <w:tcPr>
            <w:tcW w:w="880" w:type="dxa"/>
            <w:noWrap w:val="0"/>
            <w:vAlign w:val="center"/>
          </w:tcPr>
          <w:p w14:paraId="074B5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2C0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F88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1D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256C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053A3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BCF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5D76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8BE8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3,688.91</w:t>
            </w:r>
          </w:p>
        </w:tc>
        <w:tc>
          <w:tcPr>
            <w:tcW w:w="880" w:type="dxa"/>
            <w:noWrap w:val="0"/>
            <w:vAlign w:val="center"/>
          </w:tcPr>
          <w:p w14:paraId="5DEC9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3,688.90</w:t>
            </w:r>
          </w:p>
        </w:tc>
        <w:tc>
          <w:tcPr>
            <w:tcW w:w="880" w:type="dxa"/>
            <w:noWrap w:val="0"/>
            <w:vAlign w:val="center"/>
          </w:tcPr>
          <w:p w14:paraId="7AB66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018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7B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344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D2FF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73917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2C486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w:t>
            </w:r>
          </w:p>
        </w:tc>
        <w:tc>
          <w:tcPr>
            <w:tcW w:w="2080" w:type="dxa"/>
            <w:noWrap w:val="0"/>
            <w:vAlign w:val="center"/>
          </w:tcPr>
          <w:p w14:paraId="4ECB4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发展与改革事务</w:t>
            </w:r>
          </w:p>
        </w:tc>
        <w:tc>
          <w:tcPr>
            <w:tcW w:w="880" w:type="dxa"/>
            <w:noWrap w:val="0"/>
            <w:vAlign w:val="center"/>
          </w:tcPr>
          <w:p w14:paraId="7D053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3,679.32</w:t>
            </w:r>
          </w:p>
        </w:tc>
        <w:tc>
          <w:tcPr>
            <w:tcW w:w="880" w:type="dxa"/>
            <w:noWrap w:val="0"/>
            <w:vAlign w:val="center"/>
          </w:tcPr>
          <w:p w14:paraId="50FB4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3,679.31</w:t>
            </w:r>
          </w:p>
        </w:tc>
        <w:tc>
          <w:tcPr>
            <w:tcW w:w="880" w:type="dxa"/>
            <w:noWrap w:val="0"/>
            <w:vAlign w:val="center"/>
          </w:tcPr>
          <w:p w14:paraId="2B9E6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F6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4BE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2B0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3B8F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42B1B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7D8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2010401</w:t>
            </w:r>
          </w:p>
        </w:tc>
        <w:tc>
          <w:tcPr>
            <w:tcW w:w="2080" w:type="dxa"/>
            <w:noWrap w:val="0"/>
            <w:vAlign w:val="center"/>
          </w:tcPr>
          <w:p w14:paraId="0453F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328CC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1,328.19</w:t>
            </w:r>
          </w:p>
        </w:tc>
        <w:tc>
          <w:tcPr>
            <w:tcW w:w="880" w:type="dxa"/>
            <w:noWrap w:val="0"/>
            <w:vAlign w:val="center"/>
          </w:tcPr>
          <w:p w14:paraId="57791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1,328.19</w:t>
            </w:r>
          </w:p>
        </w:tc>
        <w:tc>
          <w:tcPr>
            <w:tcW w:w="880" w:type="dxa"/>
            <w:noWrap w:val="0"/>
            <w:vAlign w:val="center"/>
          </w:tcPr>
          <w:p w14:paraId="234933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5C6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0CC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23D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DE05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3B87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3DE6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2010402</w:t>
            </w:r>
          </w:p>
        </w:tc>
        <w:tc>
          <w:tcPr>
            <w:tcW w:w="2080" w:type="dxa"/>
            <w:noWrap w:val="0"/>
            <w:vAlign w:val="center"/>
          </w:tcPr>
          <w:p w14:paraId="7B00F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7DD124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1,383.58</w:t>
            </w:r>
          </w:p>
        </w:tc>
        <w:tc>
          <w:tcPr>
            <w:tcW w:w="880" w:type="dxa"/>
            <w:noWrap w:val="0"/>
            <w:vAlign w:val="center"/>
          </w:tcPr>
          <w:p w14:paraId="070E9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1,383.58</w:t>
            </w:r>
          </w:p>
        </w:tc>
        <w:tc>
          <w:tcPr>
            <w:tcW w:w="880" w:type="dxa"/>
            <w:noWrap w:val="0"/>
            <w:vAlign w:val="center"/>
          </w:tcPr>
          <w:p w14:paraId="6E9DC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627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14C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51F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8293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B4E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ECA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2010408</w:t>
            </w:r>
          </w:p>
        </w:tc>
        <w:tc>
          <w:tcPr>
            <w:tcW w:w="2080" w:type="dxa"/>
            <w:noWrap w:val="0"/>
            <w:vAlign w:val="center"/>
          </w:tcPr>
          <w:p w14:paraId="6926C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物价管理</w:t>
            </w:r>
          </w:p>
        </w:tc>
        <w:tc>
          <w:tcPr>
            <w:tcW w:w="880" w:type="dxa"/>
            <w:noWrap w:val="0"/>
            <w:vAlign w:val="center"/>
          </w:tcPr>
          <w:p w14:paraId="404A4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18.20</w:t>
            </w:r>
          </w:p>
        </w:tc>
        <w:tc>
          <w:tcPr>
            <w:tcW w:w="880" w:type="dxa"/>
            <w:noWrap w:val="0"/>
            <w:vAlign w:val="center"/>
          </w:tcPr>
          <w:p w14:paraId="04B94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18.20</w:t>
            </w:r>
          </w:p>
        </w:tc>
        <w:tc>
          <w:tcPr>
            <w:tcW w:w="880" w:type="dxa"/>
            <w:noWrap w:val="0"/>
            <w:vAlign w:val="center"/>
          </w:tcPr>
          <w:p w14:paraId="071D3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09D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A6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A5B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9D7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39DF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9AD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2010450</w:t>
            </w:r>
          </w:p>
        </w:tc>
        <w:tc>
          <w:tcPr>
            <w:tcW w:w="2080" w:type="dxa"/>
            <w:noWrap w:val="0"/>
            <w:vAlign w:val="center"/>
          </w:tcPr>
          <w:p w14:paraId="5FBB2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5AF5C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949.34</w:t>
            </w:r>
          </w:p>
        </w:tc>
        <w:tc>
          <w:tcPr>
            <w:tcW w:w="880" w:type="dxa"/>
            <w:noWrap w:val="0"/>
            <w:vAlign w:val="center"/>
          </w:tcPr>
          <w:p w14:paraId="31D9E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949.34</w:t>
            </w:r>
          </w:p>
        </w:tc>
        <w:tc>
          <w:tcPr>
            <w:tcW w:w="880" w:type="dxa"/>
            <w:noWrap w:val="0"/>
            <w:vAlign w:val="center"/>
          </w:tcPr>
          <w:p w14:paraId="27761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4BE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FE7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001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DB3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2FC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A04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2CD60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3EE76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1C0AB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7EF49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B84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5410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6DA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A6F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6627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5AE5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12625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45769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775EC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w:t>
            </w:r>
          </w:p>
        </w:tc>
        <w:tc>
          <w:tcPr>
            <w:tcW w:w="880" w:type="dxa"/>
            <w:noWrap w:val="0"/>
            <w:vAlign w:val="center"/>
          </w:tcPr>
          <w:p w14:paraId="7A967E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C1B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0E2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C6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BF2D5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9757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6FB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E330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E7C4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748.25</w:t>
            </w:r>
          </w:p>
        </w:tc>
        <w:tc>
          <w:tcPr>
            <w:tcW w:w="880" w:type="dxa"/>
            <w:noWrap w:val="0"/>
            <w:vAlign w:val="center"/>
          </w:tcPr>
          <w:p w14:paraId="4CD77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748.25</w:t>
            </w:r>
          </w:p>
        </w:tc>
        <w:tc>
          <w:tcPr>
            <w:tcW w:w="880" w:type="dxa"/>
            <w:noWrap w:val="0"/>
            <w:vAlign w:val="center"/>
          </w:tcPr>
          <w:p w14:paraId="4970D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1A4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6C6A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927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AB02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A4F3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CF03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29351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4436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676.97</w:t>
            </w:r>
          </w:p>
        </w:tc>
        <w:tc>
          <w:tcPr>
            <w:tcW w:w="880" w:type="dxa"/>
            <w:noWrap w:val="0"/>
            <w:vAlign w:val="center"/>
          </w:tcPr>
          <w:p w14:paraId="2E8CE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676.97</w:t>
            </w:r>
          </w:p>
        </w:tc>
        <w:tc>
          <w:tcPr>
            <w:tcW w:w="880" w:type="dxa"/>
            <w:noWrap w:val="0"/>
            <w:vAlign w:val="center"/>
          </w:tcPr>
          <w:p w14:paraId="20817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A6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77B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89B3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5DE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8D7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068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2C2D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B07D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482.94</w:t>
            </w:r>
          </w:p>
        </w:tc>
        <w:tc>
          <w:tcPr>
            <w:tcW w:w="880" w:type="dxa"/>
            <w:noWrap w:val="0"/>
            <w:vAlign w:val="center"/>
          </w:tcPr>
          <w:p w14:paraId="2DE34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482.94</w:t>
            </w:r>
          </w:p>
        </w:tc>
        <w:tc>
          <w:tcPr>
            <w:tcW w:w="880" w:type="dxa"/>
            <w:noWrap w:val="0"/>
            <w:vAlign w:val="center"/>
          </w:tcPr>
          <w:p w14:paraId="0C56C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C05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5C9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3DF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7EF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B426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3BF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E302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4B1E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194.03</w:t>
            </w:r>
          </w:p>
        </w:tc>
        <w:tc>
          <w:tcPr>
            <w:tcW w:w="880" w:type="dxa"/>
            <w:noWrap w:val="0"/>
            <w:vAlign w:val="center"/>
          </w:tcPr>
          <w:p w14:paraId="049B44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194.03</w:t>
            </w:r>
          </w:p>
        </w:tc>
        <w:tc>
          <w:tcPr>
            <w:tcW w:w="880" w:type="dxa"/>
            <w:noWrap w:val="0"/>
            <w:vAlign w:val="center"/>
          </w:tcPr>
          <w:p w14:paraId="277DB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A23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75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65B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5DB2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110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C63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2CBA8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179B6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5DE4F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2295E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892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F3E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5AC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8EB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4299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B04D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130B70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008B8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70A700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23.24</w:t>
            </w:r>
          </w:p>
        </w:tc>
        <w:tc>
          <w:tcPr>
            <w:tcW w:w="880" w:type="dxa"/>
            <w:noWrap w:val="0"/>
            <w:vAlign w:val="center"/>
          </w:tcPr>
          <w:p w14:paraId="36B7B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7D9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EB3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08E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587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170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AF1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E2C8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33700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6B666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4591E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15A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F86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17B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ADC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2E6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7EDA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F76A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18037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5032E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48.04</w:t>
            </w:r>
          </w:p>
        </w:tc>
        <w:tc>
          <w:tcPr>
            <w:tcW w:w="880" w:type="dxa"/>
            <w:noWrap w:val="0"/>
            <w:vAlign w:val="center"/>
          </w:tcPr>
          <w:p w14:paraId="108871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4EE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456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05A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ADD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E63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1A7FD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D248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5D69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118.09</w:t>
            </w:r>
          </w:p>
        </w:tc>
        <w:tc>
          <w:tcPr>
            <w:tcW w:w="880" w:type="dxa"/>
            <w:noWrap w:val="0"/>
            <w:vAlign w:val="center"/>
          </w:tcPr>
          <w:p w14:paraId="64B7F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118.09</w:t>
            </w:r>
          </w:p>
        </w:tc>
        <w:tc>
          <w:tcPr>
            <w:tcW w:w="880" w:type="dxa"/>
            <w:noWrap w:val="0"/>
            <w:vAlign w:val="center"/>
          </w:tcPr>
          <w:p w14:paraId="041426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232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761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839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000E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C58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04F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6340A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71BB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118.09</w:t>
            </w:r>
          </w:p>
        </w:tc>
        <w:tc>
          <w:tcPr>
            <w:tcW w:w="880" w:type="dxa"/>
            <w:noWrap w:val="0"/>
            <w:vAlign w:val="center"/>
          </w:tcPr>
          <w:p w14:paraId="1CA41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118.09</w:t>
            </w:r>
          </w:p>
        </w:tc>
        <w:tc>
          <w:tcPr>
            <w:tcW w:w="880" w:type="dxa"/>
            <w:noWrap w:val="0"/>
            <w:vAlign w:val="center"/>
          </w:tcPr>
          <w:p w14:paraId="23697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96F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CE3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B0F6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D2F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BA8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8BA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689DA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26644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38.81</w:t>
            </w:r>
          </w:p>
        </w:tc>
        <w:tc>
          <w:tcPr>
            <w:tcW w:w="880" w:type="dxa"/>
            <w:noWrap w:val="0"/>
            <w:vAlign w:val="center"/>
          </w:tcPr>
          <w:p w14:paraId="129E5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38.81</w:t>
            </w:r>
          </w:p>
        </w:tc>
        <w:tc>
          <w:tcPr>
            <w:tcW w:w="880" w:type="dxa"/>
            <w:noWrap w:val="0"/>
            <w:vAlign w:val="center"/>
          </w:tcPr>
          <w:p w14:paraId="30125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86D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734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730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41D3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D2FA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787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4A212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36DA2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30.96</w:t>
            </w:r>
          </w:p>
        </w:tc>
        <w:tc>
          <w:tcPr>
            <w:tcW w:w="880" w:type="dxa"/>
            <w:noWrap w:val="0"/>
            <w:vAlign w:val="center"/>
          </w:tcPr>
          <w:p w14:paraId="28DCFD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30.96</w:t>
            </w:r>
          </w:p>
        </w:tc>
        <w:tc>
          <w:tcPr>
            <w:tcW w:w="880" w:type="dxa"/>
            <w:noWrap w:val="0"/>
            <w:vAlign w:val="center"/>
          </w:tcPr>
          <w:p w14:paraId="7B290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FA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193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AE9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6B7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7509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0D458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132E3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D47D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41.80</w:t>
            </w:r>
          </w:p>
        </w:tc>
        <w:tc>
          <w:tcPr>
            <w:tcW w:w="880" w:type="dxa"/>
            <w:noWrap w:val="0"/>
            <w:vAlign w:val="center"/>
          </w:tcPr>
          <w:p w14:paraId="699C3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41.80</w:t>
            </w:r>
          </w:p>
        </w:tc>
        <w:tc>
          <w:tcPr>
            <w:tcW w:w="880" w:type="dxa"/>
            <w:noWrap w:val="0"/>
            <w:vAlign w:val="center"/>
          </w:tcPr>
          <w:p w14:paraId="570E1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E64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EDA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575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33F0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7D7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0F86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6769A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EC8C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06995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6.52</w:t>
            </w:r>
          </w:p>
        </w:tc>
        <w:tc>
          <w:tcPr>
            <w:tcW w:w="880" w:type="dxa"/>
            <w:noWrap w:val="0"/>
            <w:vAlign w:val="center"/>
          </w:tcPr>
          <w:p w14:paraId="7F43B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8FA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2FE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3A7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FE2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F25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48CD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5CA44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4B3C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w:t>
            </w:r>
          </w:p>
        </w:tc>
        <w:tc>
          <w:tcPr>
            <w:tcW w:w="880" w:type="dxa"/>
            <w:noWrap w:val="0"/>
            <w:vAlign w:val="center"/>
          </w:tcPr>
          <w:p w14:paraId="53D1A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w:t>
            </w:r>
          </w:p>
        </w:tc>
        <w:tc>
          <w:tcPr>
            <w:tcW w:w="880" w:type="dxa"/>
            <w:noWrap w:val="0"/>
            <w:vAlign w:val="center"/>
          </w:tcPr>
          <w:p w14:paraId="77329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E6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19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17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BD1D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620D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BA2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4A87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BDEA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w:t>
            </w:r>
          </w:p>
        </w:tc>
        <w:tc>
          <w:tcPr>
            <w:tcW w:w="880" w:type="dxa"/>
            <w:noWrap w:val="0"/>
            <w:vAlign w:val="center"/>
          </w:tcPr>
          <w:p w14:paraId="7C97A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w:t>
            </w:r>
          </w:p>
        </w:tc>
        <w:tc>
          <w:tcPr>
            <w:tcW w:w="880" w:type="dxa"/>
            <w:noWrap w:val="0"/>
            <w:vAlign w:val="center"/>
          </w:tcPr>
          <w:p w14:paraId="41BF8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96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718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259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258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725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5530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7EC5C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71D7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w:t>
            </w:r>
          </w:p>
        </w:tc>
        <w:tc>
          <w:tcPr>
            <w:tcW w:w="880" w:type="dxa"/>
            <w:noWrap w:val="0"/>
            <w:vAlign w:val="center"/>
          </w:tcPr>
          <w:p w14:paraId="143A0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4.34</w:t>
            </w:r>
          </w:p>
        </w:tc>
        <w:tc>
          <w:tcPr>
            <w:tcW w:w="880" w:type="dxa"/>
            <w:noWrap w:val="0"/>
            <w:vAlign w:val="center"/>
          </w:tcPr>
          <w:p w14:paraId="65E90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68A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41A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AAA4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B81B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4D4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CEDF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8CE2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D0C3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174.47</w:t>
            </w:r>
          </w:p>
        </w:tc>
        <w:tc>
          <w:tcPr>
            <w:tcW w:w="880" w:type="dxa"/>
            <w:noWrap w:val="0"/>
            <w:vAlign w:val="center"/>
          </w:tcPr>
          <w:p w14:paraId="01659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174.47</w:t>
            </w:r>
          </w:p>
        </w:tc>
        <w:tc>
          <w:tcPr>
            <w:tcW w:w="880" w:type="dxa"/>
            <w:noWrap w:val="0"/>
            <w:vAlign w:val="center"/>
          </w:tcPr>
          <w:p w14:paraId="77DE0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AF5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B71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6FC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5A9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E926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4CC85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CC24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70DD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174.47</w:t>
            </w:r>
          </w:p>
        </w:tc>
        <w:tc>
          <w:tcPr>
            <w:tcW w:w="880" w:type="dxa"/>
            <w:noWrap w:val="0"/>
            <w:vAlign w:val="center"/>
          </w:tcPr>
          <w:p w14:paraId="32CBF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174.47</w:t>
            </w:r>
          </w:p>
        </w:tc>
        <w:tc>
          <w:tcPr>
            <w:tcW w:w="880" w:type="dxa"/>
            <w:noWrap w:val="0"/>
            <w:vAlign w:val="center"/>
          </w:tcPr>
          <w:p w14:paraId="51100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231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47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401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FF8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8F3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2D6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17E3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B4C3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174.47</w:t>
            </w:r>
          </w:p>
        </w:tc>
        <w:tc>
          <w:tcPr>
            <w:tcW w:w="880" w:type="dxa"/>
            <w:noWrap w:val="0"/>
            <w:vAlign w:val="center"/>
          </w:tcPr>
          <w:p w14:paraId="26C43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174.47</w:t>
            </w:r>
          </w:p>
        </w:tc>
        <w:tc>
          <w:tcPr>
            <w:tcW w:w="880" w:type="dxa"/>
            <w:noWrap w:val="0"/>
            <w:vAlign w:val="center"/>
          </w:tcPr>
          <w:p w14:paraId="444D7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1F0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DD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A4C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654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41B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43C58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1E827E8">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548BCF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603F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22BFA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1E9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B7082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部门：许昌市发展和改革委员会</w:t>
            </w:r>
          </w:p>
        </w:tc>
        <w:tc>
          <w:tcPr>
            <w:tcW w:w="2000" w:type="dxa"/>
            <w:noWrap w:val="0"/>
            <w:vAlign w:val="center"/>
          </w:tcPr>
          <w:p w14:paraId="502642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03332E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94FEFB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A06D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3082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B0DDF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711B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D85B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9BE1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9A7C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146473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8BCC0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34F3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F31F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14DA1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8B7C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9AA6B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41E5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A41A86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538CDF2">
            <w:pPr>
              <w:widowControl w:val="0"/>
              <w:jc w:val="both"/>
              <w:rPr>
                <w:rFonts w:ascii="Calibri" w:hAnsi="Calibri" w:eastAsia="仿宋_GB2312" w:cs="Arial"/>
                <w:kern w:val="2"/>
                <w:sz w:val="32"/>
                <w:szCs w:val="24"/>
                <w:lang w:val="en-US" w:eastAsia="zh-CN" w:bidi="ar-SA"/>
              </w:rPr>
            </w:pPr>
          </w:p>
        </w:tc>
      </w:tr>
      <w:tr w14:paraId="0A035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0BBD83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490A6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5C84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4F63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08772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32AF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DB32DC">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5172989">
            <w:pPr>
              <w:widowControl w:val="0"/>
              <w:jc w:val="both"/>
              <w:rPr>
                <w:rFonts w:ascii="Calibri" w:hAnsi="Calibri" w:eastAsia="仿宋_GB2312" w:cs="Arial"/>
                <w:kern w:val="2"/>
                <w:sz w:val="32"/>
                <w:szCs w:val="24"/>
                <w:lang w:val="en-US" w:eastAsia="zh-CN" w:bidi="ar-SA"/>
              </w:rPr>
            </w:pPr>
          </w:p>
        </w:tc>
      </w:tr>
      <w:tr w14:paraId="1EFA1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8A35AD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579648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9FE07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E39500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10EA8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F33E2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8ADF7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2DB492">
            <w:pPr>
              <w:widowControl w:val="0"/>
              <w:jc w:val="both"/>
              <w:rPr>
                <w:rFonts w:ascii="Calibri" w:hAnsi="Calibri" w:eastAsia="仿宋_GB2312" w:cs="Arial"/>
                <w:kern w:val="2"/>
                <w:sz w:val="32"/>
                <w:szCs w:val="24"/>
                <w:lang w:val="en-US" w:eastAsia="zh-CN" w:bidi="ar-SA"/>
              </w:rPr>
            </w:pPr>
          </w:p>
        </w:tc>
      </w:tr>
      <w:tr w14:paraId="6C356E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63B9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E57C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1A07C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413C4C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EFE31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30EC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55A7F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0464FA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E6890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567A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4,734.05</w:t>
            </w:r>
          </w:p>
        </w:tc>
        <w:tc>
          <w:tcPr>
            <w:tcW w:w="960" w:type="dxa"/>
            <w:noWrap w:val="0"/>
            <w:vAlign w:val="center"/>
          </w:tcPr>
          <w:p w14:paraId="07516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3,257.34</w:t>
            </w:r>
          </w:p>
        </w:tc>
        <w:tc>
          <w:tcPr>
            <w:tcW w:w="960" w:type="dxa"/>
            <w:noWrap w:val="0"/>
            <w:vAlign w:val="center"/>
          </w:tcPr>
          <w:p w14:paraId="51101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1,476.71</w:t>
            </w:r>
          </w:p>
        </w:tc>
        <w:tc>
          <w:tcPr>
            <w:tcW w:w="960" w:type="dxa"/>
            <w:noWrap w:val="0"/>
            <w:vAlign w:val="center"/>
          </w:tcPr>
          <w:p w14:paraId="0AF0E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EB6A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0A36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7DCBD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BFE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05FC27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5DA3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3,688.90</w:t>
            </w:r>
          </w:p>
        </w:tc>
        <w:tc>
          <w:tcPr>
            <w:tcW w:w="960" w:type="dxa"/>
            <w:noWrap w:val="0"/>
            <w:vAlign w:val="center"/>
          </w:tcPr>
          <w:p w14:paraId="6197D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2,244.33</w:t>
            </w:r>
          </w:p>
        </w:tc>
        <w:tc>
          <w:tcPr>
            <w:tcW w:w="960" w:type="dxa"/>
            <w:noWrap w:val="0"/>
            <w:vAlign w:val="center"/>
          </w:tcPr>
          <w:p w14:paraId="3642D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1,444.58</w:t>
            </w:r>
          </w:p>
        </w:tc>
        <w:tc>
          <w:tcPr>
            <w:tcW w:w="960" w:type="dxa"/>
            <w:noWrap w:val="0"/>
            <w:vAlign w:val="center"/>
          </w:tcPr>
          <w:p w14:paraId="3250D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633F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011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CBA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793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w:t>
            </w:r>
          </w:p>
        </w:tc>
        <w:tc>
          <w:tcPr>
            <w:tcW w:w="2340" w:type="dxa"/>
            <w:noWrap w:val="0"/>
            <w:vAlign w:val="center"/>
          </w:tcPr>
          <w:p w14:paraId="7E13F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发展与改革事务</w:t>
            </w:r>
          </w:p>
        </w:tc>
        <w:tc>
          <w:tcPr>
            <w:tcW w:w="960" w:type="dxa"/>
            <w:noWrap w:val="0"/>
            <w:vAlign w:val="center"/>
          </w:tcPr>
          <w:p w14:paraId="424A7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3,679.31</w:t>
            </w:r>
          </w:p>
        </w:tc>
        <w:tc>
          <w:tcPr>
            <w:tcW w:w="960" w:type="dxa"/>
            <w:noWrap w:val="0"/>
            <w:vAlign w:val="center"/>
          </w:tcPr>
          <w:p w14:paraId="05ECE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2,244.33</w:t>
            </w:r>
          </w:p>
        </w:tc>
        <w:tc>
          <w:tcPr>
            <w:tcW w:w="960" w:type="dxa"/>
            <w:noWrap w:val="0"/>
            <w:vAlign w:val="center"/>
          </w:tcPr>
          <w:p w14:paraId="0B49F2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1,434.98</w:t>
            </w:r>
          </w:p>
        </w:tc>
        <w:tc>
          <w:tcPr>
            <w:tcW w:w="960" w:type="dxa"/>
            <w:noWrap w:val="0"/>
            <w:vAlign w:val="center"/>
          </w:tcPr>
          <w:p w14:paraId="5DE27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CCA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AB2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201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DBE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2010401</w:t>
            </w:r>
          </w:p>
        </w:tc>
        <w:tc>
          <w:tcPr>
            <w:tcW w:w="2340" w:type="dxa"/>
            <w:noWrap w:val="0"/>
            <w:vAlign w:val="center"/>
          </w:tcPr>
          <w:p w14:paraId="769FD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2BB6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1,328.19</w:t>
            </w:r>
          </w:p>
        </w:tc>
        <w:tc>
          <w:tcPr>
            <w:tcW w:w="960" w:type="dxa"/>
            <w:noWrap w:val="0"/>
            <w:vAlign w:val="center"/>
          </w:tcPr>
          <w:p w14:paraId="06F3E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1,328.19</w:t>
            </w:r>
          </w:p>
        </w:tc>
        <w:tc>
          <w:tcPr>
            <w:tcW w:w="960" w:type="dxa"/>
            <w:noWrap w:val="0"/>
            <w:vAlign w:val="center"/>
          </w:tcPr>
          <w:p w14:paraId="09C8F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453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0EA1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108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871A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EB3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2010402</w:t>
            </w:r>
          </w:p>
        </w:tc>
        <w:tc>
          <w:tcPr>
            <w:tcW w:w="2340" w:type="dxa"/>
            <w:noWrap w:val="0"/>
            <w:vAlign w:val="center"/>
          </w:tcPr>
          <w:p w14:paraId="67DB42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5C08D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1,383.58</w:t>
            </w:r>
          </w:p>
        </w:tc>
        <w:tc>
          <w:tcPr>
            <w:tcW w:w="960" w:type="dxa"/>
            <w:noWrap w:val="0"/>
            <w:vAlign w:val="center"/>
          </w:tcPr>
          <w:p w14:paraId="42146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C2B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1,383.58</w:t>
            </w:r>
          </w:p>
        </w:tc>
        <w:tc>
          <w:tcPr>
            <w:tcW w:w="960" w:type="dxa"/>
            <w:noWrap w:val="0"/>
            <w:vAlign w:val="center"/>
          </w:tcPr>
          <w:p w14:paraId="16B52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57E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9BB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DEA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5F3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2010408</w:t>
            </w:r>
          </w:p>
        </w:tc>
        <w:tc>
          <w:tcPr>
            <w:tcW w:w="2340" w:type="dxa"/>
            <w:noWrap w:val="0"/>
            <w:vAlign w:val="center"/>
          </w:tcPr>
          <w:p w14:paraId="3AD90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物价管理</w:t>
            </w:r>
          </w:p>
        </w:tc>
        <w:tc>
          <w:tcPr>
            <w:tcW w:w="960" w:type="dxa"/>
            <w:noWrap w:val="0"/>
            <w:vAlign w:val="center"/>
          </w:tcPr>
          <w:p w14:paraId="214A56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18.20</w:t>
            </w:r>
          </w:p>
        </w:tc>
        <w:tc>
          <w:tcPr>
            <w:tcW w:w="960" w:type="dxa"/>
            <w:noWrap w:val="0"/>
            <w:vAlign w:val="center"/>
          </w:tcPr>
          <w:p w14:paraId="5EEB5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B6D9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18.20</w:t>
            </w:r>
          </w:p>
        </w:tc>
        <w:tc>
          <w:tcPr>
            <w:tcW w:w="960" w:type="dxa"/>
            <w:noWrap w:val="0"/>
            <w:vAlign w:val="center"/>
          </w:tcPr>
          <w:p w14:paraId="50ECA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60B2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D4D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58CA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17B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2010450</w:t>
            </w:r>
          </w:p>
        </w:tc>
        <w:tc>
          <w:tcPr>
            <w:tcW w:w="2340" w:type="dxa"/>
            <w:noWrap w:val="0"/>
            <w:vAlign w:val="center"/>
          </w:tcPr>
          <w:p w14:paraId="58237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08EDD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949.34</w:t>
            </w:r>
          </w:p>
        </w:tc>
        <w:tc>
          <w:tcPr>
            <w:tcW w:w="960" w:type="dxa"/>
            <w:noWrap w:val="0"/>
            <w:vAlign w:val="center"/>
          </w:tcPr>
          <w:p w14:paraId="1C27F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916.13</w:t>
            </w:r>
          </w:p>
        </w:tc>
        <w:tc>
          <w:tcPr>
            <w:tcW w:w="960" w:type="dxa"/>
            <w:noWrap w:val="0"/>
            <w:vAlign w:val="center"/>
          </w:tcPr>
          <w:p w14:paraId="4CD10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33.21</w:t>
            </w:r>
          </w:p>
        </w:tc>
        <w:tc>
          <w:tcPr>
            <w:tcW w:w="960" w:type="dxa"/>
            <w:noWrap w:val="0"/>
            <w:vAlign w:val="center"/>
          </w:tcPr>
          <w:p w14:paraId="05DB6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5B71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5D25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A1F3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C5C5F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5B7C5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0882E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1B6F6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0CF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11FBB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2DA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F9A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B66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0DA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1BECEF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17DD6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62FE5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28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w:t>
            </w:r>
          </w:p>
        </w:tc>
        <w:tc>
          <w:tcPr>
            <w:tcW w:w="960" w:type="dxa"/>
            <w:noWrap w:val="0"/>
            <w:vAlign w:val="center"/>
          </w:tcPr>
          <w:p w14:paraId="01703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6A9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0A4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5CE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EC6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BEC2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DD56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748.25</w:t>
            </w:r>
          </w:p>
        </w:tc>
        <w:tc>
          <w:tcPr>
            <w:tcW w:w="960" w:type="dxa"/>
            <w:noWrap w:val="0"/>
            <w:vAlign w:val="center"/>
          </w:tcPr>
          <w:p w14:paraId="6166B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725.01</w:t>
            </w:r>
          </w:p>
        </w:tc>
        <w:tc>
          <w:tcPr>
            <w:tcW w:w="960" w:type="dxa"/>
            <w:noWrap w:val="0"/>
            <w:vAlign w:val="center"/>
          </w:tcPr>
          <w:p w14:paraId="0A203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49D63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7ED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F00A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1C5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8EB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C3B12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77709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676.97</w:t>
            </w:r>
          </w:p>
        </w:tc>
        <w:tc>
          <w:tcPr>
            <w:tcW w:w="960" w:type="dxa"/>
            <w:noWrap w:val="0"/>
            <w:vAlign w:val="center"/>
          </w:tcPr>
          <w:p w14:paraId="2B29B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676.97</w:t>
            </w:r>
          </w:p>
        </w:tc>
        <w:tc>
          <w:tcPr>
            <w:tcW w:w="960" w:type="dxa"/>
            <w:noWrap w:val="0"/>
            <w:vAlign w:val="center"/>
          </w:tcPr>
          <w:p w14:paraId="55870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4E9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49E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38D2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CBB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0B9C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0EA7F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5A3FD4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482.94</w:t>
            </w:r>
          </w:p>
        </w:tc>
        <w:tc>
          <w:tcPr>
            <w:tcW w:w="960" w:type="dxa"/>
            <w:noWrap w:val="0"/>
            <w:vAlign w:val="center"/>
          </w:tcPr>
          <w:p w14:paraId="5FDAC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482.94</w:t>
            </w:r>
          </w:p>
        </w:tc>
        <w:tc>
          <w:tcPr>
            <w:tcW w:w="960" w:type="dxa"/>
            <w:noWrap w:val="0"/>
            <w:vAlign w:val="center"/>
          </w:tcPr>
          <w:p w14:paraId="29AC7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421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393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B22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61C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00F3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7C1E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A045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194.03</w:t>
            </w:r>
          </w:p>
        </w:tc>
        <w:tc>
          <w:tcPr>
            <w:tcW w:w="960" w:type="dxa"/>
            <w:noWrap w:val="0"/>
            <w:vAlign w:val="center"/>
          </w:tcPr>
          <w:p w14:paraId="72ED9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194.03</w:t>
            </w:r>
          </w:p>
        </w:tc>
        <w:tc>
          <w:tcPr>
            <w:tcW w:w="960" w:type="dxa"/>
            <w:noWrap w:val="0"/>
            <w:vAlign w:val="center"/>
          </w:tcPr>
          <w:p w14:paraId="7D17A0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CB2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CF8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687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9C697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CF9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25223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6E898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7E83C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81F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34049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B7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AD5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E6A80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3E9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14DE7D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693DF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4BFD56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97E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23.24</w:t>
            </w:r>
          </w:p>
        </w:tc>
        <w:tc>
          <w:tcPr>
            <w:tcW w:w="960" w:type="dxa"/>
            <w:noWrap w:val="0"/>
            <w:vAlign w:val="center"/>
          </w:tcPr>
          <w:p w14:paraId="64504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0F5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72F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F9D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07A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1EF54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2B41B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5C564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2EE84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F52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A0B0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FFE6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DFD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0933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20CC04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797D7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07EBB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48.04</w:t>
            </w:r>
          </w:p>
        </w:tc>
        <w:tc>
          <w:tcPr>
            <w:tcW w:w="960" w:type="dxa"/>
            <w:noWrap w:val="0"/>
            <w:vAlign w:val="center"/>
          </w:tcPr>
          <w:p w14:paraId="2636B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235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B78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DD6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CA6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16E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2241AD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DEC98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118.09</w:t>
            </w:r>
          </w:p>
        </w:tc>
        <w:tc>
          <w:tcPr>
            <w:tcW w:w="960" w:type="dxa"/>
            <w:noWrap w:val="0"/>
            <w:vAlign w:val="center"/>
          </w:tcPr>
          <w:p w14:paraId="7C836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111.57</w:t>
            </w:r>
          </w:p>
        </w:tc>
        <w:tc>
          <w:tcPr>
            <w:tcW w:w="960" w:type="dxa"/>
            <w:noWrap w:val="0"/>
            <w:vAlign w:val="center"/>
          </w:tcPr>
          <w:p w14:paraId="3C601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0B0E9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688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984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ADF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2FE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9237E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5FA9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118.09</w:t>
            </w:r>
          </w:p>
        </w:tc>
        <w:tc>
          <w:tcPr>
            <w:tcW w:w="960" w:type="dxa"/>
            <w:noWrap w:val="0"/>
            <w:vAlign w:val="center"/>
          </w:tcPr>
          <w:p w14:paraId="6BA04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111.57</w:t>
            </w:r>
          </w:p>
        </w:tc>
        <w:tc>
          <w:tcPr>
            <w:tcW w:w="960" w:type="dxa"/>
            <w:noWrap w:val="0"/>
            <w:vAlign w:val="center"/>
          </w:tcPr>
          <w:p w14:paraId="20E8B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47B15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6E9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114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5EE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01B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D3EF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064C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38.81</w:t>
            </w:r>
          </w:p>
        </w:tc>
        <w:tc>
          <w:tcPr>
            <w:tcW w:w="960" w:type="dxa"/>
            <w:noWrap w:val="0"/>
            <w:vAlign w:val="center"/>
          </w:tcPr>
          <w:p w14:paraId="158E2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38.81</w:t>
            </w:r>
          </w:p>
        </w:tc>
        <w:tc>
          <w:tcPr>
            <w:tcW w:w="960" w:type="dxa"/>
            <w:noWrap w:val="0"/>
            <w:vAlign w:val="center"/>
          </w:tcPr>
          <w:p w14:paraId="1CC08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183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8E0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ADD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A782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33D6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BC86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9459B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30.96</w:t>
            </w:r>
          </w:p>
        </w:tc>
        <w:tc>
          <w:tcPr>
            <w:tcW w:w="960" w:type="dxa"/>
            <w:noWrap w:val="0"/>
            <w:vAlign w:val="center"/>
          </w:tcPr>
          <w:p w14:paraId="3FF73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30.96</w:t>
            </w:r>
          </w:p>
        </w:tc>
        <w:tc>
          <w:tcPr>
            <w:tcW w:w="960" w:type="dxa"/>
            <w:noWrap w:val="0"/>
            <w:vAlign w:val="center"/>
          </w:tcPr>
          <w:p w14:paraId="26CED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825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EB9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423F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C603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5B6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11307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2F5B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41.80</w:t>
            </w:r>
          </w:p>
        </w:tc>
        <w:tc>
          <w:tcPr>
            <w:tcW w:w="960" w:type="dxa"/>
            <w:noWrap w:val="0"/>
            <w:vAlign w:val="center"/>
          </w:tcPr>
          <w:p w14:paraId="29162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41.80</w:t>
            </w:r>
          </w:p>
        </w:tc>
        <w:tc>
          <w:tcPr>
            <w:tcW w:w="960" w:type="dxa"/>
            <w:noWrap w:val="0"/>
            <w:vAlign w:val="center"/>
          </w:tcPr>
          <w:p w14:paraId="39E88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A4E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BC2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688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4596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AAB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C858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6893B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0B7F0B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246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6.52</w:t>
            </w:r>
          </w:p>
        </w:tc>
        <w:tc>
          <w:tcPr>
            <w:tcW w:w="960" w:type="dxa"/>
            <w:noWrap w:val="0"/>
            <w:vAlign w:val="center"/>
          </w:tcPr>
          <w:p w14:paraId="06209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8C8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A3F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95C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0122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17E5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5C1F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w:t>
            </w:r>
          </w:p>
        </w:tc>
        <w:tc>
          <w:tcPr>
            <w:tcW w:w="960" w:type="dxa"/>
            <w:noWrap w:val="0"/>
            <w:vAlign w:val="center"/>
          </w:tcPr>
          <w:p w14:paraId="4390F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0A9E8F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71459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9D56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E5C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AD7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3C8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7566A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5A13D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w:t>
            </w:r>
          </w:p>
        </w:tc>
        <w:tc>
          <w:tcPr>
            <w:tcW w:w="960" w:type="dxa"/>
            <w:noWrap w:val="0"/>
            <w:vAlign w:val="center"/>
          </w:tcPr>
          <w:p w14:paraId="66CF3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65B53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060FE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E57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8E9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CA5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6DC2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A7E3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8E138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4.34</w:t>
            </w:r>
          </w:p>
        </w:tc>
        <w:tc>
          <w:tcPr>
            <w:tcW w:w="960" w:type="dxa"/>
            <w:noWrap w:val="0"/>
            <w:vAlign w:val="center"/>
          </w:tcPr>
          <w:p w14:paraId="5B6B1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1.97</w:t>
            </w:r>
          </w:p>
        </w:tc>
        <w:tc>
          <w:tcPr>
            <w:tcW w:w="960" w:type="dxa"/>
            <w:noWrap w:val="0"/>
            <w:vAlign w:val="center"/>
          </w:tcPr>
          <w:p w14:paraId="68048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2.38</w:t>
            </w:r>
          </w:p>
        </w:tc>
        <w:tc>
          <w:tcPr>
            <w:tcW w:w="960" w:type="dxa"/>
            <w:noWrap w:val="0"/>
            <w:vAlign w:val="center"/>
          </w:tcPr>
          <w:p w14:paraId="1CC52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94C7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99F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7E8A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EAC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93FAC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53EF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174.47</w:t>
            </w:r>
          </w:p>
        </w:tc>
        <w:tc>
          <w:tcPr>
            <w:tcW w:w="960" w:type="dxa"/>
            <w:noWrap w:val="0"/>
            <w:vAlign w:val="center"/>
          </w:tcPr>
          <w:p w14:paraId="6AF78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174.47</w:t>
            </w:r>
          </w:p>
        </w:tc>
        <w:tc>
          <w:tcPr>
            <w:tcW w:w="960" w:type="dxa"/>
            <w:noWrap w:val="0"/>
            <w:vAlign w:val="center"/>
          </w:tcPr>
          <w:p w14:paraId="709E9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0A1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AE3B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7344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671E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B53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6D212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BD5B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174.47</w:t>
            </w:r>
          </w:p>
        </w:tc>
        <w:tc>
          <w:tcPr>
            <w:tcW w:w="960" w:type="dxa"/>
            <w:noWrap w:val="0"/>
            <w:vAlign w:val="center"/>
          </w:tcPr>
          <w:p w14:paraId="4566B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174.47</w:t>
            </w:r>
          </w:p>
        </w:tc>
        <w:tc>
          <w:tcPr>
            <w:tcW w:w="960" w:type="dxa"/>
            <w:noWrap w:val="0"/>
            <w:vAlign w:val="center"/>
          </w:tcPr>
          <w:p w14:paraId="206A5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EAD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3BF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4A7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CB2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883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0054D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3980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174.47</w:t>
            </w:r>
          </w:p>
        </w:tc>
        <w:tc>
          <w:tcPr>
            <w:tcW w:w="960" w:type="dxa"/>
            <w:noWrap w:val="0"/>
            <w:vAlign w:val="center"/>
          </w:tcPr>
          <w:p w14:paraId="140162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174.47</w:t>
            </w:r>
          </w:p>
        </w:tc>
        <w:tc>
          <w:tcPr>
            <w:tcW w:w="960" w:type="dxa"/>
            <w:noWrap w:val="0"/>
            <w:vAlign w:val="center"/>
          </w:tcPr>
          <w:p w14:paraId="6FC4C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A69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3E1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C20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E071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D2D2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E7D3F8E">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DDAF6D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06F5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7A005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198D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90B6D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部门：许昌市发展和改革委员会</w:t>
            </w:r>
          </w:p>
        </w:tc>
        <w:tc>
          <w:tcPr>
            <w:tcW w:w="2000" w:type="dxa"/>
            <w:noWrap w:val="0"/>
            <w:vAlign w:val="center"/>
          </w:tcPr>
          <w:p w14:paraId="1C1C10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F6BB7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DE5C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DEE0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7C9A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8224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4515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91E25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06776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E9AC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896E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0603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F33B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828C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57C7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A6F4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BE80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6B2E7B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BB4289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85D17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B9508B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ABC24B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AAABD5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D0DC7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EFF1B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906453E">
            <w:pPr>
              <w:widowControl w:val="0"/>
              <w:jc w:val="both"/>
              <w:rPr>
                <w:rFonts w:ascii="Calibri" w:hAnsi="Calibri" w:eastAsia="仿宋_GB2312" w:cs="Arial"/>
                <w:kern w:val="2"/>
                <w:sz w:val="32"/>
                <w:szCs w:val="24"/>
                <w:lang w:val="en-US" w:eastAsia="zh-CN" w:bidi="ar-SA"/>
              </w:rPr>
            </w:pPr>
          </w:p>
        </w:tc>
      </w:tr>
      <w:tr w14:paraId="7463C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E2B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7F6296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55C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4FEE1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6528706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498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159BF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E462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7D48A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28D72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BD5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6771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3CE0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4,734.05</w:t>
            </w:r>
          </w:p>
        </w:tc>
        <w:tc>
          <w:tcPr>
            <w:tcW w:w="2800" w:type="dxa"/>
            <w:noWrap w:val="0"/>
            <w:vAlign w:val="center"/>
          </w:tcPr>
          <w:p w14:paraId="77E89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12E7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B81E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3,688.90</w:t>
            </w:r>
          </w:p>
        </w:tc>
        <w:tc>
          <w:tcPr>
            <w:tcW w:w="1280" w:type="dxa"/>
            <w:noWrap w:val="0"/>
            <w:vAlign w:val="center"/>
          </w:tcPr>
          <w:p w14:paraId="3B960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3,688.90</w:t>
            </w:r>
          </w:p>
        </w:tc>
        <w:tc>
          <w:tcPr>
            <w:tcW w:w="1280" w:type="dxa"/>
            <w:noWrap w:val="0"/>
            <w:vAlign w:val="center"/>
          </w:tcPr>
          <w:p w14:paraId="56041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2CD6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59A93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6A7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8A66F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78B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88DB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027D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9EED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6B47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BFE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E4D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751D9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879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516B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0D2F1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B9B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D444C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DA23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4E7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190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09B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933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51AA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6A3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57C0D2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4265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34DF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4A2E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113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EADB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4D6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FA5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2BC2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6E2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AF336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AC4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34FF0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6CC65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98A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D2BB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BCD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060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7A0E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264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D5C56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F58A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49DA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E3B7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DE1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6D6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B38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EBA1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2D31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891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1386F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84A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1862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3125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F0BD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3BE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191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D95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FCD0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378B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1D92A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DFE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1403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AF2A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748.25</w:t>
            </w:r>
          </w:p>
        </w:tc>
        <w:tc>
          <w:tcPr>
            <w:tcW w:w="1280" w:type="dxa"/>
            <w:noWrap w:val="0"/>
            <w:vAlign w:val="center"/>
          </w:tcPr>
          <w:p w14:paraId="4BC3F7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748.25</w:t>
            </w:r>
          </w:p>
        </w:tc>
        <w:tc>
          <w:tcPr>
            <w:tcW w:w="1280" w:type="dxa"/>
            <w:noWrap w:val="0"/>
            <w:vAlign w:val="center"/>
          </w:tcPr>
          <w:p w14:paraId="1AC45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074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0E4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A8FC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4B5F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BBBF4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545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1BA0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463F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118.09</w:t>
            </w:r>
          </w:p>
        </w:tc>
        <w:tc>
          <w:tcPr>
            <w:tcW w:w="1280" w:type="dxa"/>
            <w:noWrap w:val="0"/>
            <w:vAlign w:val="center"/>
          </w:tcPr>
          <w:p w14:paraId="046FB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118.09</w:t>
            </w:r>
          </w:p>
        </w:tc>
        <w:tc>
          <w:tcPr>
            <w:tcW w:w="1280" w:type="dxa"/>
            <w:noWrap w:val="0"/>
            <w:vAlign w:val="center"/>
          </w:tcPr>
          <w:p w14:paraId="1CC1C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4C5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2738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DDBAA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2353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8FC47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9DD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C0ABB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6EA9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3CE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D3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781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BA9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E264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FA9A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49110E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0501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99AEA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ACF4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AC2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D55C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4F1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320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2A38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095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1CAEE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97BA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A3A9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1ABD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4.34</w:t>
            </w:r>
          </w:p>
        </w:tc>
        <w:tc>
          <w:tcPr>
            <w:tcW w:w="1280" w:type="dxa"/>
            <w:noWrap w:val="0"/>
            <w:vAlign w:val="center"/>
          </w:tcPr>
          <w:p w14:paraId="2543B2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4.34</w:t>
            </w:r>
          </w:p>
        </w:tc>
        <w:tc>
          <w:tcPr>
            <w:tcW w:w="1280" w:type="dxa"/>
            <w:noWrap w:val="0"/>
            <w:vAlign w:val="center"/>
          </w:tcPr>
          <w:p w14:paraId="5DD07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A3BC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AC72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EAD5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B32A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4EFC17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E99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ADF13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3AC0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EDE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FE8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C0D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3E5A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49A1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61DD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AE197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C5A3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1B89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5A7BC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4D2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8A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93A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0C5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4B1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586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0F825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185D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3E5E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2AED7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788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848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DA8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313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D5F52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38A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0FFDF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822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88BE9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0FDF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654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3AC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9A3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C53B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B550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397B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B917C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D8682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495A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C405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72D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4B5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670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6DC6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1621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FB1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DF387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961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208A7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2375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51D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F5A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B53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664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A36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119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132F9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6982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9D3E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C963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174.47</w:t>
            </w:r>
          </w:p>
        </w:tc>
        <w:tc>
          <w:tcPr>
            <w:tcW w:w="1280" w:type="dxa"/>
            <w:noWrap w:val="0"/>
            <w:vAlign w:val="center"/>
          </w:tcPr>
          <w:p w14:paraId="27921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174.47</w:t>
            </w:r>
          </w:p>
        </w:tc>
        <w:tc>
          <w:tcPr>
            <w:tcW w:w="1280" w:type="dxa"/>
            <w:noWrap w:val="0"/>
            <w:vAlign w:val="center"/>
          </w:tcPr>
          <w:p w14:paraId="24CA2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FB2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8D7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98495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C844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DFFA6E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D91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9459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2202A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44B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A19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F51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020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5ADE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99B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E8FA7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F53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0EA8B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B1FC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1AE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0FE9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5CD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F144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79CF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1A23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1A727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A89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C0907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7FF9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A35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898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D94A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712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69A5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5D3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A77B87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0A7E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A39A8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FD5D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499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D67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9B5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D854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19A9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E83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B2145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6A7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AC0B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374A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2F5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A82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8BA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C5F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EE969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F0F5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27815F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1D29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2450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6D20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120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92B0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5DE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CAF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1C0C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7FC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A57980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6EEC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F6F85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62CF2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80D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16A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E3D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D98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7B5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1FBC78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FD14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4,734.05</w:t>
            </w:r>
          </w:p>
        </w:tc>
        <w:tc>
          <w:tcPr>
            <w:tcW w:w="2800" w:type="dxa"/>
            <w:noWrap w:val="0"/>
            <w:vAlign w:val="center"/>
          </w:tcPr>
          <w:p w14:paraId="565F49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1F977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431F69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4,734.05</w:t>
            </w:r>
          </w:p>
        </w:tc>
        <w:tc>
          <w:tcPr>
            <w:tcW w:w="1280" w:type="dxa"/>
            <w:noWrap w:val="0"/>
            <w:vAlign w:val="center"/>
          </w:tcPr>
          <w:p w14:paraId="11C61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4,734.05</w:t>
            </w:r>
          </w:p>
        </w:tc>
        <w:tc>
          <w:tcPr>
            <w:tcW w:w="1280" w:type="dxa"/>
            <w:noWrap w:val="0"/>
            <w:vAlign w:val="center"/>
          </w:tcPr>
          <w:p w14:paraId="096A8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90B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CD0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0F2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5AC0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806A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E932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1086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1943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BA2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C5B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347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AE56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756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C4762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E5F0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24118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918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59EC21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FE0C8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F62AD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5D6D135">
            <w:pPr>
              <w:widowControl w:val="0"/>
              <w:jc w:val="both"/>
              <w:rPr>
                <w:rFonts w:ascii="Calibri" w:hAnsi="Calibri" w:eastAsia="仿宋_GB2312" w:cs="Arial"/>
                <w:kern w:val="2"/>
                <w:sz w:val="32"/>
                <w:szCs w:val="24"/>
                <w:lang w:val="en-US" w:eastAsia="zh-CN" w:bidi="ar-SA"/>
              </w:rPr>
            </w:pPr>
          </w:p>
        </w:tc>
      </w:tr>
      <w:tr w14:paraId="25602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468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7638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4E88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97058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A165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23383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C006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AD6A4C4">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BF6F54A">
            <w:pPr>
              <w:widowControl w:val="0"/>
              <w:jc w:val="both"/>
              <w:rPr>
                <w:rFonts w:ascii="Calibri" w:hAnsi="Calibri" w:eastAsia="仿宋_GB2312" w:cs="Arial"/>
                <w:kern w:val="2"/>
                <w:sz w:val="32"/>
                <w:szCs w:val="24"/>
                <w:lang w:val="en-US" w:eastAsia="zh-CN" w:bidi="ar-SA"/>
              </w:rPr>
            </w:pPr>
          </w:p>
        </w:tc>
      </w:tr>
      <w:tr w14:paraId="48351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9F0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76439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9699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F377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D8C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3F2991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4CE4F8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E3B860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FD3ED8">
            <w:pPr>
              <w:widowControl w:val="0"/>
              <w:jc w:val="both"/>
              <w:rPr>
                <w:rFonts w:ascii="Calibri" w:hAnsi="Calibri" w:eastAsia="仿宋_GB2312" w:cs="Arial"/>
                <w:kern w:val="2"/>
                <w:sz w:val="32"/>
                <w:szCs w:val="24"/>
                <w:lang w:val="en-US" w:eastAsia="zh-CN" w:bidi="ar-SA"/>
              </w:rPr>
            </w:pPr>
          </w:p>
        </w:tc>
      </w:tr>
      <w:tr w14:paraId="5370C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F34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C54F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52DA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4,734.05</w:t>
            </w:r>
          </w:p>
        </w:tc>
        <w:tc>
          <w:tcPr>
            <w:tcW w:w="2800" w:type="dxa"/>
            <w:noWrap w:val="0"/>
            <w:vAlign w:val="center"/>
          </w:tcPr>
          <w:p w14:paraId="7511E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4A262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DA30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4,734.05</w:t>
            </w:r>
          </w:p>
        </w:tc>
        <w:tc>
          <w:tcPr>
            <w:tcW w:w="1280" w:type="dxa"/>
            <w:noWrap w:val="0"/>
            <w:vAlign w:val="center"/>
          </w:tcPr>
          <w:p w14:paraId="3F8FAD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4,734.05</w:t>
            </w:r>
          </w:p>
        </w:tc>
        <w:tc>
          <w:tcPr>
            <w:tcW w:w="1280" w:type="dxa"/>
            <w:noWrap w:val="0"/>
            <w:vAlign w:val="center"/>
          </w:tcPr>
          <w:p w14:paraId="4F05A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047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E27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3538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EE76F69">
            <w:pPr>
              <w:widowControl w:val="0"/>
              <w:jc w:val="both"/>
              <w:rPr>
                <w:rFonts w:ascii="Calibri" w:hAnsi="Calibri" w:eastAsia="仿宋_GB2312" w:cs="Arial"/>
                <w:kern w:val="2"/>
                <w:sz w:val="32"/>
                <w:szCs w:val="24"/>
                <w:lang w:val="en-US" w:eastAsia="zh-CN" w:bidi="ar-SA"/>
              </w:rPr>
            </w:pPr>
          </w:p>
        </w:tc>
      </w:tr>
    </w:tbl>
    <w:p w14:paraId="72ED2F38">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0EFF0C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3A2A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7BFAC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00A6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8FB0E9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部门：许昌市发展和改革委员会</w:t>
            </w:r>
          </w:p>
        </w:tc>
        <w:tc>
          <w:tcPr>
            <w:tcW w:w="2000" w:type="dxa"/>
            <w:noWrap w:val="0"/>
            <w:vAlign w:val="center"/>
          </w:tcPr>
          <w:p w14:paraId="5F6249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86CD6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7BC70CF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DEAD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11C92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10F8D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335555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31570C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1688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AC9AA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1045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54CC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58E0E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7DEDF6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CFD66A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3D8F37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BF4EAE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60DAD7C">
            <w:pPr>
              <w:widowControl w:val="0"/>
              <w:jc w:val="both"/>
              <w:rPr>
                <w:rFonts w:ascii="Calibri" w:hAnsi="Calibri" w:eastAsia="仿宋_GB2312" w:cs="Arial"/>
                <w:kern w:val="2"/>
                <w:sz w:val="32"/>
                <w:szCs w:val="24"/>
                <w:lang w:val="en-US" w:eastAsia="zh-CN" w:bidi="ar-SA"/>
              </w:rPr>
            </w:pPr>
          </w:p>
        </w:tc>
      </w:tr>
      <w:tr w14:paraId="420F9B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84196C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78079B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E48B8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23E9CD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6605547">
            <w:pPr>
              <w:widowControl w:val="0"/>
              <w:jc w:val="both"/>
              <w:rPr>
                <w:rFonts w:ascii="Calibri" w:hAnsi="Calibri" w:eastAsia="仿宋_GB2312" w:cs="Arial"/>
                <w:kern w:val="2"/>
                <w:sz w:val="32"/>
                <w:szCs w:val="24"/>
                <w:lang w:val="en-US" w:eastAsia="zh-CN" w:bidi="ar-SA"/>
              </w:rPr>
            </w:pPr>
          </w:p>
        </w:tc>
      </w:tr>
      <w:tr w14:paraId="21541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1155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12F7B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E65A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5B1B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E2D0F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1367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2CD80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4,734.05</w:t>
            </w:r>
          </w:p>
        </w:tc>
        <w:tc>
          <w:tcPr>
            <w:tcW w:w="1400" w:type="dxa"/>
            <w:noWrap w:val="0"/>
            <w:vAlign w:val="center"/>
          </w:tcPr>
          <w:p w14:paraId="5ECCA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3,257.34</w:t>
            </w:r>
          </w:p>
        </w:tc>
        <w:tc>
          <w:tcPr>
            <w:tcW w:w="1386" w:type="dxa"/>
            <w:noWrap w:val="0"/>
            <w:vAlign w:val="center"/>
          </w:tcPr>
          <w:p w14:paraId="0722F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1,476.71</w:t>
            </w:r>
          </w:p>
        </w:tc>
      </w:tr>
      <w:tr w14:paraId="28665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C69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EA03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B5DB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3,688.90</w:t>
            </w:r>
          </w:p>
        </w:tc>
        <w:tc>
          <w:tcPr>
            <w:tcW w:w="1400" w:type="dxa"/>
            <w:noWrap w:val="0"/>
            <w:vAlign w:val="center"/>
          </w:tcPr>
          <w:p w14:paraId="54717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2,244.33</w:t>
            </w:r>
          </w:p>
        </w:tc>
        <w:tc>
          <w:tcPr>
            <w:tcW w:w="1386" w:type="dxa"/>
            <w:noWrap w:val="0"/>
            <w:vAlign w:val="center"/>
          </w:tcPr>
          <w:p w14:paraId="68D0E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1,444.58</w:t>
            </w:r>
          </w:p>
        </w:tc>
      </w:tr>
      <w:tr w14:paraId="51200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D212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w:t>
            </w:r>
          </w:p>
        </w:tc>
        <w:tc>
          <w:tcPr>
            <w:tcW w:w="3040" w:type="dxa"/>
            <w:noWrap w:val="0"/>
            <w:vAlign w:val="center"/>
          </w:tcPr>
          <w:p w14:paraId="29971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发展与改革事务</w:t>
            </w:r>
          </w:p>
        </w:tc>
        <w:tc>
          <w:tcPr>
            <w:tcW w:w="1400" w:type="dxa"/>
            <w:noWrap w:val="0"/>
            <w:vAlign w:val="center"/>
          </w:tcPr>
          <w:p w14:paraId="42664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3,679.31</w:t>
            </w:r>
          </w:p>
        </w:tc>
        <w:tc>
          <w:tcPr>
            <w:tcW w:w="1400" w:type="dxa"/>
            <w:noWrap w:val="0"/>
            <w:vAlign w:val="center"/>
          </w:tcPr>
          <w:p w14:paraId="3FF9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2,244.33</w:t>
            </w:r>
          </w:p>
        </w:tc>
        <w:tc>
          <w:tcPr>
            <w:tcW w:w="1386" w:type="dxa"/>
            <w:noWrap w:val="0"/>
            <w:vAlign w:val="center"/>
          </w:tcPr>
          <w:p w14:paraId="6A149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1,434.98</w:t>
            </w:r>
          </w:p>
        </w:tc>
      </w:tr>
      <w:tr w14:paraId="2678F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D27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2010401</w:t>
            </w:r>
          </w:p>
        </w:tc>
        <w:tc>
          <w:tcPr>
            <w:tcW w:w="3040" w:type="dxa"/>
            <w:noWrap w:val="0"/>
            <w:vAlign w:val="center"/>
          </w:tcPr>
          <w:p w14:paraId="7E47B7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24152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1,328.19</w:t>
            </w:r>
          </w:p>
        </w:tc>
        <w:tc>
          <w:tcPr>
            <w:tcW w:w="1400" w:type="dxa"/>
            <w:noWrap w:val="0"/>
            <w:vAlign w:val="center"/>
          </w:tcPr>
          <w:p w14:paraId="2C7C5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1,328.19</w:t>
            </w:r>
          </w:p>
        </w:tc>
        <w:tc>
          <w:tcPr>
            <w:tcW w:w="1386" w:type="dxa"/>
            <w:noWrap w:val="0"/>
            <w:vAlign w:val="center"/>
          </w:tcPr>
          <w:p w14:paraId="263F2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BFE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972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2010402</w:t>
            </w:r>
          </w:p>
        </w:tc>
        <w:tc>
          <w:tcPr>
            <w:tcW w:w="3040" w:type="dxa"/>
            <w:noWrap w:val="0"/>
            <w:vAlign w:val="center"/>
          </w:tcPr>
          <w:p w14:paraId="20D7DD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73F82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1,383.58</w:t>
            </w:r>
          </w:p>
        </w:tc>
        <w:tc>
          <w:tcPr>
            <w:tcW w:w="1400" w:type="dxa"/>
            <w:noWrap w:val="0"/>
            <w:vAlign w:val="center"/>
          </w:tcPr>
          <w:p w14:paraId="1DC6C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076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1,383.58</w:t>
            </w:r>
          </w:p>
        </w:tc>
      </w:tr>
      <w:tr w14:paraId="17B35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769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2010408</w:t>
            </w:r>
          </w:p>
        </w:tc>
        <w:tc>
          <w:tcPr>
            <w:tcW w:w="3040" w:type="dxa"/>
            <w:noWrap w:val="0"/>
            <w:vAlign w:val="center"/>
          </w:tcPr>
          <w:p w14:paraId="16821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物价管理</w:t>
            </w:r>
          </w:p>
        </w:tc>
        <w:tc>
          <w:tcPr>
            <w:tcW w:w="1400" w:type="dxa"/>
            <w:noWrap w:val="0"/>
            <w:vAlign w:val="center"/>
          </w:tcPr>
          <w:p w14:paraId="0BCE2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18.20</w:t>
            </w:r>
          </w:p>
        </w:tc>
        <w:tc>
          <w:tcPr>
            <w:tcW w:w="1400" w:type="dxa"/>
            <w:noWrap w:val="0"/>
            <w:vAlign w:val="center"/>
          </w:tcPr>
          <w:p w14:paraId="0D526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164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18.20</w:t>
            </w:r>
          </w:p>
        </w:tc>
      </w:tr>
      <w:tr w14:paraId="05E8C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44E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2010450</w:t>
            </w:r>
          </w:p>
        </w:tc>
        <w:tc>
          <w:tcPr>
            <w:tcW w:w="3040" w:type="dxa"/>
            <w:noWrap w:val="0"/>
            <w:vAlign w:val="center"/>
          </w:tcPr>
          <w:p w14:paraId="65FD2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54F4E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949.34</w:t>
            </w:r>
          </w:p>
        </w:tc>
        <w:tc>
          <w:tcPr>
            <w:tcW w:w="1400" w:type="dxa"/>
            <w:noWrap w:val="0"/>
            <w:vAlign w:val="center"/>
          </w:tcPr>
          <w:p w14:paraId="6A8FA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916.13</w:t>
            </w:r>
          </w:p>
        </w:tc>
        <w:tc>
          <w:tcPr>
            <w:tcW w:w="1386" w:type="dxa"/>
            <w:noWrap w:val="0"/>
            <w:vAlign w:val="center"/>
          </w:tcPr>
          <w:p w14:paraId="29ABD9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33.21</w:t>
            </w:r>
          </w:p>
        </w:tc>
      </w:tr>
      <w:tr w14:paraId="56D399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AF5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19284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8DB4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1CCA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3891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A5A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7DD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9FB5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BF06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209C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3AD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16A7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9BC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4112C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476D3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c>
          <w:tcPr>
            <w:tcW w:w="1400" w:type="dxa"/>
            <w:noWrap w:val="0"/>
            <w:vAlign w:val="center"/>
          </w:tcPr>
          <w:p w14:paraId="5DBFD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864A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r>
      <w:tr w14:paraId="2F0F2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9D70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5B9D3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53EA5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c>
          <w:tcPr>
            <w:tcW w:w="1400" w:type="dxa"/>
            <w:noWrap w:val="0"/>
            <w:vAlign w:val="center"/>
          </w:tcPr>
          <w:p w14:paraId="1A2D9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A4E8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w:t>
            </w:r>
          </w:p>
        </w:tc>
      </w:tr>
      <w:tr w14:paraId="48311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793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923D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0E183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748.25</w:t>
            </w:r>
          </w:p>
        </w:tc>
        <w:tc>
          <w:tcPr>
            <w:tcW w:w="1400" w:type="dxa"/>
            <w:noWrap w:val="0"/>
            <w:vAlign w:val="center"/>
          </w:tcPr>
          <w:p w14:paraId="4F712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725.01</w:t>
            </w:r>
          </w:p>
        </w:tc>
        <w:tc>
          <w:tcPr>
            <w:tcW w:w="1386" w:type="dxa"/>
            <w:noWrap w:val="0"/>
            <w:vAlign w:val="center"/>
          </w:tcPr>
          <w:p w14:paraId="6FA12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r>
      <w:tr w14:paraId="2E9CB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BCF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55E1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2977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676.97</w:t>
            </w:r>
          </w:p>
        </w:tc>
        <w:tc>
          <w:tcPr>
            <w:tcW w:w="1400" w:type="dxa"/>
            <w:noWrap w:val="0"/>
            <w:vAlign w:val="center"/>
          </w:tcPr>
          <w:p w14:paraId="10ECD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676.97</w:t>
            </w:r>
          </w:p>
        </w:tc>
        <w:tc>
          <w:tcPr>
            <w:tcW w:w="1386" w:type="dxa"/>
            <w:noWrap w:val="0"/>
            <w:vAlign w:val="center"/>
          </w:tcPr>
          <w:p w14:paraId="33222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506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E5C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9270D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3D56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482.94</w:t>
            </w:r>
          </w:p>
        </w:tc>
        <w:tc>
          <w:tcPr>
            <w:tcW w:w="1400" w:type="dxa"/>
            <w:noWrap w:val="0"/>
            <w:vAlign w:val="center"/>
          </w:tcPr>
          <w:p w14:paraId="26028E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482.94</w:t>
            </w:r>
          </w:p>
        </w:tc>
        <w:tc>
          <w:tcPr>
            <w:tcW w:w="1386" w:type="dxa"/>
            <w:noWrap w:val="0"/>
            <w:vAlign w:val="center"/>
          </w:tcPr>
          <w:p w14:paraId="78493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5939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ABF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D82E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094F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194.03</w:t>
            </w:r>
          </w:p>
        </w:tc>
        <w:tc>
          <w:tcPr>
            <w:tcW w:w="1400" w:type="dxa"/>
            <w:noWrap w:val="0"/>
            <w:vAlign w:val="center"/>
          </w:tcPr>
          <w:p w14:paraId="00A5F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194.03</w:t>
            </w:r>
          </w:p>
        </w:tc>
        <w:tc>
          <w:tcPr>
            <w:tcW w:w="1386" w:type="dxa"/>
            <w:noWrap w:val="0"/>
            <w:vAlign w:val="center"/>
          </w:tcPr>
          <w:p w14:paraId="301B6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5E2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01C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46407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1EB14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c>
          <w:tcPr>
            <w:tcW w:w="1400" w:type="dxa"/>
            <w:noWrap w:val="0"/>
            <w:vAlign w:val="center"/>
          </w:tcPr>
          <w:p w14:paraId="3B915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259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r>
      <w:tr w14:paraId="4B5BA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11A1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4174B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25F6B7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c>
          <w:tcPr>
            <w:tcW w:w="1400" w:type="dxa"/>
            <w:noWrap w:val="0"/>
            <w:vAlign w:val="center"/>
          </w:tcPr>
          <w:p w14:paraId="6F421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54F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23.24</w:t>
            </w:r>
          </w:p>
        </w:tc>
      </w:tr>
      <w:tr w14:paraId="0CED36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222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57FB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9B4A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400" w:type="dxa"/>
            <w:noWrap w:val="0"/>
            <w:vAlign w:val="center"/>
          </w:tcPr>
          <w:p w14:paraId="65895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386" w:type="dxa"/>
            <w:noWrap w:val="0"/>
            <w:vAlign w:val="center"/>
          </w:tcPr>
          <w:p w14:paraId="4FE8B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929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DFD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305B8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6FDA2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400" w:type="dxa"/>
            <w:noWrap w:val="0"/>
            <w:vAlign w:val="center"/>
          </w:tcPr>
          <w:p w14:paraId="37E04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48.04</w:t>
            </w:r>
          </w:p>
        </w:tc>
        <w:tc>
          <w:tcPr>
            <w:tcW w:w="1386" w:type="dxa"/>
            <w:noWrap w:val="0"/>
            <w:vAlign w:val="center"/>
          </w:tcPr>
          <w:p w14:paraId="02392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B66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CC3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A6AD2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B9694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118.09</w:t>
            </w:r>
          </w:p>
        </w:tc>
        <w:tc>
          <w:tcPr>
            <w:tcW w:w="1400" w:type="dxa"/>
            <w:noWrap w:val="0"/>
            <w:vAlign w:val="center"/>
          </w:tcPr>
          <w:p w14:paraId="3D74A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111.57</w:t>
            </w:r>
          </w:p>
        </w:tc>
        <w:tc>
          <w:tcPr>
            <w:tcW w:w="1386" w:type="dxa"/>
            <w:noWrap w:val="0"/>
            <w:vAlign w:val="center"/>
          </w:tcPr>
          <w:p w14:paraId="525F4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r>
      <w:tr w14:paraId="4BC78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AFE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6FB9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5F5E21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118.09</w:t>
            </w:r>
          </w:p>
        </w:tc>
        <w:tc>
          <w:tcPr>
            <w:tcW w:w="1400" w:type="dxa"/>
            <w:noWrap w:val="0"/>
            <w:vAlign w:val="center"/>
          </w:tcPr>
          <w:p w14:paraId="22639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111.57</w:t>
            </w:r>
          </w:p>
        </w:tc>
        <w:tc>
          <w:tcPr>
            <w:tcW w:w="1386" w:type="dxa"/>
            <w:noWrap w:val="0"/>
            <w:vAlign w:val="center"/>
          </w:tcPr>
          <w:p w14:paraId="36B20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r>
      <w:tr w14:paraId="5A7FF8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A95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5AB4B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45CC6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38.81</w:t>
            </w:r>
          </w:p>
        </w:tc>
        <w:tc>
          <w:tcPr>
            <w:tcW w:w="1400" w:type="dxa"/>
            <w:noWrap w:val="0"/>
            <w:vAlign w:val="center"/>
          </w:tcPr>
          <w:p w14:paraId="11E83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38.81</w:t>
            </w:r>
          </w:p>
        </w:tc>
        <w:tc>
          <w:tcPr>
            <w:tcW w:w="1386" w:type="dxa"/>
            <w:noWrap w:val="0"/>
            <w:vAlign w:val="center"/>
          </w:tcPr>
          <w:p w14:paraId="76645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BF2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BD3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4DBA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2ECAD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30.96</w:t>
            </w:r>
          </w:p>
        </w:tc>
        <w:tc>
          <w:tcPr>
            <w:tcW w:w="1400" w:type="dxa"/>
            <w:noWrap w:val="0"/>
            <w:vAlign w:val="center"/>
          </w:tcPr>
          <w:p w14:paraId="4A6AC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30.96</w:t>
            </w:r>
          </w:p>
        </w:tc>
        <w:tc>
          <w:tcPr>
            <w:tcW w:w="1386" w:type="dxa"/>
            <w:noWrap w:val="0"/>
            <w:vAlign w:val="center"/>
          </w:tcPr>
          <w:p w14:paraId="01298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22C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3D7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F8FA7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4FE6B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41.80</w:t>
            </w:r>
          </w:p>
        </w:tc>
        <w:tc>
          <w:tcPr>
            <w:tcW w:w="1400" w:type="dxa"/>
            <w:noWrap w:val="0"/>
            <w:vAlign w:val="center"/>
          </w:tcPr>
          <w:p w14:paraId="4FE81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41.80</w:t>
            </w:r>
          </w:p>
        </w:tc>
        <w:tc>
          <w:tcPr>
            <w:tcW w:w="1386" w:type="dxa"/>
            <w:noWrap w:val="0"/>
            <w:vAlign w:val="center"/>
          </w:tcPr>
          <w:p w14:paraId="1F152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742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FB2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33D0C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27EAF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c>
          <w:tcPr>
            <w:tcW w:w="1400" w:type="dxa"/>
            <w:noWrap w:val="0"/>
            <w:vAlign w:val="center"/>
          </w:tcPr>
          <w:p w14:paraId="742D5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AAE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6.52</w:t>
            </w:r>
          </w:p>
        </w:tc>
      </w:tr>
      <w:tr w14:paraId="15324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34B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12CFA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E4DD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w:t>
            </w:r>
          </w:p>
        </w:tc>
        <w:tc>
          <w:tcPr>
            <w:tcW w:w="1400" w:type="dxa"/>
            <w:noWrap w:val="0"/>
            <w:vAlign w:val="center"/>
          </w:tcPr>
          <w:p w14:paraId="7484E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386" w:type="dxa"/>
            <w:noWrap w:val="0"/>
            <w:vAlign w:val="center"/>
          </w:tcPr>
          <w:p w14:paraId="417B0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r>
      <w:tr w14:paraId="11509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D08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4E7DA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07CCF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w:t>
            </w:r>
          </w:p>
        </w:tc>
        <w:tc>
          <w:tcPr>
            <w:tcW w:w="1400" w:type="dxa"/>
            <w:noWrap w:val="0"/>
            <w:vAlign w:val="center"/>
          </w:tcPr>
          <w:p w14:paraId="79AD1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386" w:type="dxa"/>
            <w:noWrap w:val="0"/>
            <w:vAlign w:val="center"/>
          </w:tcPr>
          <w:p w14:paraId="46F96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r>
      <w:tr w14:paraId="5B007C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377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D770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7DF1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4.34</w:t>
            </w:r>
          </w:p>
        </w:tc>
        <w:tc>
          <w:tcPr>
            <w:tcW w:w="1400" w:type="dxa"/>
            <w:noWrap w:val="0"/>
            <w:vAlign w:val="center"/>
          </w:tcPr>
          <w:p w14:paraId="02E50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1.97</w:t>
            </w:r>
          </w:p>
        </w:tc>
        <w:tc>
          <w:tcPr>
            <w:tcW w:w="1386" w:type="dxa"/>
            <w:noWrap w:val="0"/>
            <w:vAlign w:val="center"/>
          </w:tcPr>
          <w:p w14:paraId="1407C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2.38</w:t>
            </w:r>
          </w:p>
        </w:tc>
      </w:tr>
      <w:tr w14:paraId="6A0D9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894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83431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6E37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174.47</w:t>
            </w:r>
          </w:p>
        </w:tc>
        <w:tc>
          <w:tcPr>
            <w:tcW w:w="1400" w:type="dxa"/>
            <w:noWrap w:val="0"/>
            <w:vAlign w:val="center"/>
          </w:tcPr>
          <w:p w14:paraId="30BA3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174.47</w:t>
            </w:r>
          </w:p>
        </w:tc>
        <w:tc>
          <w:tcPr>
            <w:tcW w:w="1386" w:type="dxa"/>
            <w:noWrap w:val="0"/>
            <w:vAlign w:val="center"/>
          </w:tcPr>
          <w:p w14:paraId="670714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258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3B3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53A66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9BFE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174.47</w:t>
            </w:r>
          </w:p>
        </w:tc>
        <w:tc>
          <w:tcPr>
            <w:tcW w:w="1400" w:type="dxa"/>
            <w:noWrap w:val="0"/>
            <w:vAlign w:val="center"/>
          </w:tcPr>
          <w:p w14:paraId="4A4A5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174.47</w:t>
            </w:r>
          </w:p>
        </w:tc>
        <w:tc>
          <w:tcPr>
            <w:tcW w:w="1386" w:type="dxa"/>
            <w:noWrap w:val="0"/>
            <w:vAlign w:val="center"/>
          </w:tcPr>
          <w:p w14:paraId="4BEAEE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28DD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A41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18F6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D29C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174.47</w:t>
            </w:r>
          </w:p>
        </w:tc>
        <w:tc>
          <w:tcPr>
            <w:tcW w:w="1400" w:type="dxa"/>
            <w:noWrap w:val="0"/>
            <w:vAlign w:val="center"/>
          </w:tcPr>
          <w:p w14:paraId="706EE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174.47</w:t>
            </w:r>
          </w:p>
        </w:tc>
        <w:tc>
          <w:tcPr>
            <w:tcW w:w="1386" w:type="dxa"/>
            <w:noWrap w:val="0"/>
            <w:vAlign w:val="center"/>
          </w:tcPr>
          <w:p w14:paraId="23653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DE2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1DF3C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68D3BAC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7332D05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DA03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7010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87B4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2D67F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部门：许昌市发展和改革委员会</w:t>
            </w:r>
          </w:p>
        </w:tc>
        <w:tc>
          <w:tcPr>
            <w:tcW w:w="2000" w:type="dxa"/>
            <w:noWrap w:val="0"/>
            <w:vAlign w:val="center"/>
          </w:tcPr>
          <w:p w14:paraId="701EF0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85E74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388D74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3626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2CC7C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48F1C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B4F6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1978F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D16F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FC21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B28D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8031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42CB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11A50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F71E28A">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FF649B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735DA1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AB2BA5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075B4C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94F0A35">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18B9E3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74A044BE">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6D0392E7">
            <w:pPr>
              <w:widowControl w:val="0"/>
              <w:jc w:val="both"/>
              <w:rPr>
                <w:rFonts w:ascii="Calibri" w:hAnsi="Calibri" w:eastAsia="仿宋_GB2312" w:cs="Arial"/>
                <w:kern w:val="2"/>
                <w:sz w:val="32"/>
                <w:szCs w:val="24"/>
                <w:lang w:val="en-US" w:eastAsia="zh-CN" w:bidi="ar-SA"/>
              </w:rPr>
            </w:pPr>
          </w:p>
        </w:tc>
      </w:tr>
      <w:tr w14:paraId="59DC8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589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78AF8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3B67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2,458.69</w:t>
            </w:r>
          </w:p>
        </w:tc>
        <w:tc>
          <w:tcPr>
            <w:tcW w:w="740" w:type="dxa"/>
            <w:noWrap w:val="0"/>
            <w:vAlign w:val="center"/>
          </w:tcPr>
          <w:p w14:paraId="24903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652C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507A1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255.29</w:t>
            </w:r>
          </w:p>
        </w:tc>
        <w:tc>
          <w:tcPr>
            <w:tcW w:w="740" w:type="dxa"/>
            <w:noWrap w:val="0"/>
            <w:vAlign w:val="center"/>
          </w:tcPr>
          <w:p w14:paraId="3A6029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724AE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38AF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232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81BA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1E961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9658E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564.01</w:t>
            </w:r>
          </w:p>
        </w:tc>
        <w:tc>
          <w:tcPr>
            <w:tcW w:w="740" w:type="dxa"/>
            <w:noWrap w:val="0"/>
            <w:vAlign w:val="center"/>
          </w:tcPr>
          <w:p w14:paraId="3E92E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B74A1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C2BD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71.67</w:t>
            </w:r>
          </w:p>
        </w:tc>
        <w:tc>
          <w:tcPr>
            <w:tcW w:w="740" w:type="dxa"/>
            <w:noWrap w:val="0"/>
            <w:vAlign w:val="center"/>
          </w:tcPr>
          <w:p w14:paraId="3AA87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A7C7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D84F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64E3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8AB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1445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25C4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671.35</w:t>
            </w:r>
          </w:p>
        </w:tc>
        <w:tc>
          <w:tcPr>
            <w:tcW w:w="740" w:type="dxa"/>
            <w:noWrap w:val="0"/>
            <w:vAlign w:val="center"/>
          </w:tcPr>
          <w:p w14:paraId="71965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D9E66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BDB3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9.10</w:t>
            </w:r>
          </w:p>
        </w:tc>
        <w:tc>
          <w:tcPr>
            <w:tcW w:w="740" w:type="dxa"/>
            <w:noWrap w:val="0"/>
            <w:vAlign w:val="center"/>
          </w:tcPr>
          <w:p w14:paraId="66D57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03013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42A12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866B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FBD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68C4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958B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524.81</w:t>
            </w:r>
          </w:p>
        </w:tc>
        <w:tc>
          <w:tcPr>
            <w:tcW w:w="740" w:type="dxa"/>
            <w:noWrap w:val="0"/>
            <w:vAlign w:val="center"/>
          </w:tcPr>
          <w:p w14:paraId="1A61C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919C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D5A5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F487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2DB5A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4F80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5.48</w:t>
            </w:r>
          </w:p>
        </w:tc>
      </w:tr>
      <w:tr w14:paraId="760626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7CD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8D48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9B8A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A39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BA71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79CA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964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77BE0D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1B408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933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8C7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1558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B50C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133.59</w:t>
            </w:r>
          </w:p>
        </w:tc>
        <w:tc>
          <w:tcPr>
            <w:tcW w:w="740" w:type="dxa"/>
            <w:noWrap w:val="0"/>
            <w:vAlign w:val="center"/>
          </w:tcPr>
          <w:p w14:paraId="2F959A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5958F9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8105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5F2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3CE4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A4B0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5.48</w:t>
            </w:r>
          </w:p>
        </w:tc>
      </w:tr>
      <w:tr w14:paraId="43E10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B8C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1CF7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40A7F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233.12</w:t>
            </w:r>
          </w:p>
        </w:tc>
        <w:tc>
          <w:tcPr>
            <w:tcW w:w="740" w:type="dxa"/>
            <w:noWrap w:val="0"/>
            <w:vAlign w:val="center"/>
          </w:tcPr>
          <w:p w14:paraId="39FE6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AE4D3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99AA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5.69</w:t>
            </w:r>
          </w:p>
        </w:tc>
        <w:tc>
          <w:tcPr>
            <w:tcW w:w="740" w:type="dxa"/>
            <w:noWrap w:val="0"/>
            <w:vAlign w:val="center"/>
          </w:tcPr>
          <w:p w14:paraId="59C2F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5B03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E072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9FFD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3AA6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748C6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C9E8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5.90</w:t>
            </w:r>
          </w:p>
        </w:tc>
        <w:tc>
          <w:tcPr>
            <w:tcW w:w="740" w:type="dxa"/>
            <w:noWrap w:val="0"/>
            <w:vAlign w:val="center"/>
          </w:tcPr>
          <w:p w14:paraId="259474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47570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736A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5A1C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F3F8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08AB5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E6E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C035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8B51B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F0CF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79.33</w:t>
            </w:r>
          </w:p>
        </w:tc>
        <w:tc>
          <w:tcPr>
            <w:tcW w:w="740" w:type="dxa"/>
            <w:noWrap w:val="0"/>
            <w:vAlign w:val="center"/>
          </w:tcPr>
          <w:p w14:paraId="72319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BBE7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A7FB2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w:t>
            </w:r>
          </w:p>
        </w:tc>
        <w:tc>
          <w:tcPr>
            <w:tcW w:w="740" w:type="dxa"/>
            <w:noWrap w:val="0"/>
            <w:vAlign w:val="center"/>
          </w:tcPr>
          <w:p w14:paraId="32A50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1737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293A7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8EE4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FBD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270E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DBD9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41.80</w:t>
            </w:r>
          </w:p>
        </w:tc>
        <w:tc>
          <w:tcPr>
            <w:tcW w:w="740" w:type="dxa"/>
            <w:noWrap w:val="0"/>
            <w:vAlign w:val="center"/>
          </w:tcPr>
          <w:p w14:paraId="07D5C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142AF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AE34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28.17</w:t>
            </w:r>
          </w:p>
        </w:tc>
        <w:tc>
          <w:tcPr>
            <w:tcW w:w="740" w:type="dxa"/>
            <w:noWrap w:val="0"/>
            <w:vAlign w:val="center"/>
          </w:tcPr>
          <w:p w14:paraId="781B7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9A94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81F4F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51D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3D1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55DE7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FC56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6.42</w:t>
            </w:r>
          </w:p>
        </w:tc>
        <w:tc>
          <w:tcPr>
            <w:tcW w:w="740" w:type="dxa"/>
            <w:noWrap w:val="0"/>
            <w:vAlign w:val="center"/>
          </w:tcPr>
          <w:p w14:paraId="64B9E4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6F9CD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A681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E9E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28A9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A69D2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8A6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15D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0EEFE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5284B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195.47</w:t>
            </w:r>
          </w:p>
        </w:tc>
        <w:tc>
          <w:tcPr>
            <w:tcW w:w="740" w:type="dxa"/>
            <w:noWrap w:val="0"/>
            <w:vAlign w:val="center"/>
          </w:tcPr>
          <w:p w14:paraId="59BA2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4EFE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D7C15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7AC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6AFC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373E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D40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36D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28A4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FB4E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60F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6AA8D2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50DE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905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ED05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BDDB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C4B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556B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480F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8073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2.89</w:t>
            </w:r>
          </w:p>
        </w:tc>
        <w:tc>
          <w:tcPr>
            <w:tcW w:w="740" w:type="dxa"/>
            <w:noWrap w:val="0"/>
            <w:vAlign w:val="center"/>
          </w:tcPr>
          <w:p w14:paraId="213674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5A26B1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56A8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6.42</w:t>
            </w:r>
          </w:p>
        </w:tc>
        <w:tc>
          <w:tcPr>
            <w:tcW w:w="740" w:type="dxa"/>
            <w:noWrap w:val="0"/>
            <w:vAlign w:val="center"/>
          </w:tcPr>
          <w:p w14:paraId="0ADF1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44E61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1E1F0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233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7B5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A98B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E644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537.88</w:t>
            </w:r>
          </w:p>
        </w:tc>
        <w:tc>
          <w:tcPr>
            <w:tcW w:w="740" w:type="dxa"/>
            <w:noWrap w:val="0"/>
            <w:vAlign w:val="center"/>
          </w:tcPr>
          <w:p w14:paraId="721B5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CA66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8E7F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4.20</w:t>
            </w:r>
          </w:p>
        </w:tc>
        <w:tc>
          <w:tcPr>
            <w:tcW w:w="740" w:type="dxa"/>
            <w:noWrap w:val="0"/>
            <w:vAlign w:val="center"/>
          </w:tcPr>
          <w:p w14:paraId="27690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AE1F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7F76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037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5F0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0C7D7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02FC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44.06</w:t>
            </w:r>
          </w:p>
        </w:tc>
        <w:tc>
          <w:tcPr>
            <w:tcW w:w="740" w:type="dxa"/>
            <w:noWrap w:val="0"/>
            <w:vAlign w:val="center"/>
          </w:tcPr>
          <w:p w14:paraId="490E8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6A856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5775F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3.33</w:t>
            </w:r>
          </w:p>
        </w:tc>
        <w:tc>
          <w:tcPr>
            <w:tcW w:w="740" w:type="dxa"/>
            <w:noWrap w:val="0"/>
            <w:vAlign w:val="center"/>
          </w:tcPr>
          <w:p w14:paraId="6C503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E139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B2C5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0CA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A12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90C1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8BF5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438.88</w:t>
            </w:r>
          </w:p>
        </w:tc>
        <w:tc>
          <w:tcPr>
            <w:tcW w:w="740" w:type="dxa"/>
            <w:noWrap w:val="0"/>
            <w:vAlign w:val="center"/>
          </w:tcPr>
          <w:p w14:paraId="6AAE9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46428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54FC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CD5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098A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E3A3C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6D53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A85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03ECD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CD13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D9D1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6896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3975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FD7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E321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F1B9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BAF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66C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F169B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51B9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48.04</w:t>
            </w:r>
          </w:p>
        </w:tc>
        <w:tc>
          <w:tcPr>
            <w:tcW w:w="740" w:type="dxa"/>
            <w:noWrap w:val="0"/>
            <w:vAlign w:val="center"/>
          </w:tcPr>
          <w:p w14:paraId="4F43B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559A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904E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F5A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8A50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3F20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99A4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EC9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1F8C2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80E64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6.91</w:t>
            </w:r>
          </w:p>
        </w:tc>
        <w:tc>
          <w:tcPr>
            <w:tcW w:w="740" w:type="dxa"/>
            <w:noWrap w:val="0"/>
            <w:vAlign w:val="center"/>
          </w:tcPr>
          <w:p w14:paraId="421AD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4A9A4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6FA6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3.60</w:t>
            </w:r>
          </w:p>
        </w:tc>
        <w:tc>
          <w:tcPr>
            <w:tcW w:w="740" w:type="dxa"/>
            <w:noWrap w:val="0"/>
            <w:vAlign w:val="center"/>
          </w:tcPr>
          <w:p w14:paraId="29670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937BE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C0B4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E27D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293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DD2CC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62B2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17A1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913D2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B993B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0.40</w:t>
            </w:r>
          </w:p>
        </w:tc>
        <w:tc>
          <w:tcPr>
            <w:tcW w:w="740" w:type="dxa"/>
            <w:noWrap w:val="0"/>
            <w:vAlign w:val="center"/>
          </w:tcPr>
          <w:p w14:paraId="0CF46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E578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1CAC4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2E56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5515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A804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B591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EB3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B716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B7A8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12.09</w:t>
            </w:r>
          </w:p>
        </w:tc>
        <w:tc>
          <w:tcPr>
            <w:tcW w:w="740" w:type="dxa"/>
            <w:noWrap w:val="0"/>
            <w:vAlign w:val="center"/>
          </w:tcPr>
          <w:p w14:paraId="3AAFD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299D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DBB8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97D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7090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8C9F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3DE0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FE8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70A43A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0633F1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20.29</w:t>
            </w:r>
          </w:p>
        </w:tc>
        <w:tc>
          <w:tcPr>
            <w:tcW w:w="740" w:type="dxa"/>
            <w:noWrap w:val="0"/>
            <w:vAlign w:val="center"/>
          </w:tcPr>
          <w:p w14:paraId="19F77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6B27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9815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7A5F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1F3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BE57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51D1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D0F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4699C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660BF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11.32</w:t>
            </w:r>
          </w:p>
        </w:tc>
        <w:tc>
          <w:tcPr>
            <w:tcW w:w="740" w:type="dxa"/>
            <w:noWrap w:val="0"/>
            <w:vAlign w:val="center"/>
          </w:tcPr>
          <w:p w14:paraId="562927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47B5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47B31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D84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CD9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3DF9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46F39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8A8B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16A6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C0F6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71.79</w:t>
            </w:r>
          </w:p>
        </w:tc>
        <w:tc>
          <w:tcPr>
            <w:tcW w:w="740" w:type="dxa"/>
            <w:noWrap w:val="0"/>
            <w:vAlign w:val="center"/>
          </w:tcPr>
          <w:p w14:paraId="4638F4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6D1DE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7783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DF3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5C8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5B36A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0C81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9E4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8A0D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E492A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6AC25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E4CC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2A42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CF2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12D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5313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1341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887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57A8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EA60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4.59</w:t>
            </w:r>
          </w:p>
        </w:tc>
        <w:tc>
          <w:tcPr>
            <w:tcW w:w="740" w:type="dxa"/>
            <w:noWrap w:val="0"/>
            <w:vAlign w:val="center"/>
          </w:tcPr>
          <w:p w14:paraId="169DE4F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859E55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6A1BCE0">
            <w:pPr>
              <w:widowControl w:val="0"/>
              <w:jc w:val="both"/>
              <w:rPr>
                <w:rFonts w:ascii="Calibri" w:hAnsi="Calibri" w:eastAsia="仿宋_GB2312" w:cs="Arial"/>
                <w:kern w:val="2"/>
                <w:sz w:val="32"/>
                <w:szCs w:val="24"/>
                <w:lang w:val="en-US" w:eastAsia="zh-CN" w:bidi="ar-SA"/>
              </w:rPr>
            </w:pPr>
          </w:p>
        </w:tc>
      </w:tr>
      <w:tr w14:paraId="00E55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42345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5EE9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2,996.57</w:t>
            </w:r>
          </w:p>
        </w:tc>
        <w:tc>
          <w:tcPr>
            <w:tcW w:w="7440" w:type="dxa"/>
            <w:gridSpan w:val="5"/>
            <w:noWrap w:val="0"/>
            <w:vAlign w:val="center"/>
          </w:tcPr>
          <w:p w14:paraId="4B3A8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01CB8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260.77</w:t>
            </w:r>
          </w:p>
        </w:tc>
      </w:tr>
      <w:tr w14:paraId="28981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A34D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33F97BF">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635489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AD6E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3A9B69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2AD8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A90E6A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部门：许昌市发展和改革委员会</w:t>
            </w:r>
          </w:p>
        </w:tc>
        <w:tc>
          <w:tcPr>
            <w:tcW w:w="2000" w:type="dxa"/>
            <w:noWrap w:val="0"/>
            <w:vAlign w:val="center"/>
          </w:tcPr>
          <w:p w14:paraId="2F3441F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D7E3AF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DA6DDF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E2FDD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1D99A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1E91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6AB96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8490C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66DD9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BE11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BD82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0BFF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192D1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9A601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4584D0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B5C3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12947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530DF97">
            <w:pPr>
              <w:widowControl w:val="0"/>
              <w:jc w:val="both"/>
              <w:rPr>
                <w:rFonts w:ascii="Calibri" w:hAnsi="Calibri" w:eastAsia="仿宋_GB2312" w:cs="Arial"/>
                <w:kern w:val="2"/>
                <w:sz w:val="32"/>
                <w:szCs w:val="24"/>
                <w:lang w:val="en-US" w:eastAsia="zh-CN" w:bidi="ar-SA"/>
              </w:rPr>
            </w:pPr>
          </w:p>
        </w:tc>
      </w:tr>
      <w:tr w14:paraId="43696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BF59A8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25CE0A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ECD723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1858B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4ED14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BC54F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A74E7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D5544F">
            <w:pPr>
              <w:widowControl w:val="0"/>
              <w:jc w:val="both"/>
              <w:rPr>
                <w:rFonts w:ascii="Calibri" w:hAnsi="Calibri" w:eastAsia="仿宋_GB2312" w:cs="Arial"/>
                <w:kern w:val="2"/>
                <w:sz w:val="32"/>
                <w:szCs w:val="24"/>
                <w:lang w:val="en-US" w:eastAsia="zh-CN" w:bidi="ar-SA"/>
              </w:rPr>
            </w:pPr>
          </w:p>
        </w:tc>
      </w:tr>
      <w:tr w14:paraId="579FB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376ADB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FFDE78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62D294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B8441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C5D1A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E3E27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CC14D4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D3DFE77">
            <w:pPr>
              <w:widowControl w:val="0"/>
              <w:jc w:val="both"/>
              <w:rPr>
                <w:rFonts w:ascii="Calibri" w:hAnsi="Calibri" w:eastAsia="仿宋_GB2312" w:cs="Arial"/>
                <w:kern w:val="2"/>
                <w:sz w:val="32"/>
                <w:szCs w:val="24"/>
                <w:lang w:val="en-US" w:eastAsia="zh-CN" w:bidi="ar-SA"/>
              </w:rPr>
            </w:pPr>
          </w:p>
        </w:tc>
      </w:tr>
      <w:tr w14:paraId="6217E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FBF5A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42D94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FCEC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6BF6E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F5E41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5AA5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6FFC7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9A41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CC8C1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B3B902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5A483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D874B4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A3D456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3024BD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C8895B5">
            <w:pPr>
              <w:widowControl w:val="0"/>
              <w:jc w:val="both"/>
              <w:rPr>
                <w:rFonts w:ascii="Calibri" w:hAnsi="Calibri" w:eastAsia="仿宋_GB2312" w:cs="Arial"/>
                <w:kern w:val="2"/>
                <w:sz w:val="32"/>
                <w:szCs w:val="24"/>
                <w:lang w:val="en-US" w:eastAsia="zh-CN" w:bidi="ar-SA"/>
              </w:rPr>
            </w:pPr>
          </w:p>
        </w:tc>
      </w:tr>
      <w:tr w14:paraId="4BD84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FB3246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A85FA6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33987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C5B97C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01523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078D0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0B46C73">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3FA9D46">
            <w:pPr>
              <w:widowControl w:val="0"/>
              <w:jc w:val="both"/>
              <w:rPr>
                <w:rFonts w:ascii="Calibri" w:hAnsi="Calibri" w:eastAsia="仿宋_GB2312" w:cs="Arial"/>
                <w:kern w:val="2"/>
                <w:sz w:val="32"/>
                <w:szCs w:val="24"/>
                <w:lang w:val="en-US" w:eastAsia="zh-CN" w:bidi="ar-SA"/>
              </w:rPr>
            </w:pPr>
          </w:p>
        </w:tc>
      </w:tr>
      <w:tr w14:paraId="6E2279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0573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E50C56D">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2ADA563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54BB9BF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CB00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7CC02C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5979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60559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部门：许昌市发展和改革委员会</w:t>
            </w:r>
          </w:p>
        </w:tc>
        <w:tc>
          <w:tcPr>
            <w:tcW w:w="2000" w:type="dxa"/>
            <w:noWrap w:val="0"/>
            <w:vAlign w:val="center"/>
          </w:tcPr>
          <w:p w14:paraId="1005B3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9825A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8E95A5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9FBF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E36E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CF19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7CD6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9D2F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EAEC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676B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5B6487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7395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033B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EE30A5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79A3C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3C4E55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2C0355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CE59188">
            <w:pPr>
              <w:widowControl w:val="0"/>
              <w:jc w:val="both"/>
              <w:rPr>
                <w:rFonts w:ascii="Calibri" w:hAnsi="Calibri" w:eastAsia="仿宋_GB2312" w:cs="Arial"/>
                <w:kern w:val="2"/>
                <w:sz w:val="32"/>
                <w:szCs w:val="24"/>
                <w:lang w:val="en-US" w:eastAsia="zh-CN" w:bidi="ar-SA"/>
              </w:rPr>
            </w:pPr>
          </w:p>
        </w:tc>
      </w:tr>
      <w:tr w14:paraId="036E3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E263BE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8FCF7F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4FAC0B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94C0D5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32AC658">
            <w:pPr>
              <w:widowControl w:val="0"/>
              <w:jc w:val="both"/>
              <w:rPr>
                <w:rFonts w:ascii="Calibri" w:hAnsi="Calibri" w:eastAsia="仿宋_GB2312" w:cs="Arial"/>
                <w:kern w:val="2"/>
                <w:sz w:val="32"/>
                <w:szCs w:val="24"/>
                <w:lang w:val="en-US" w:eastAsia="zh-CN" w:bidi="ar-SA"/>
              </w:rPr>
            </w:pPr>
          </w:p>
        </w:tc>
      </w:tr>
      <w:tr w14:paraId="17BEC9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4555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44338E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610D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0C4E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4508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72ADC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9612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584A2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B40E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D667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4EA823A">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1D45858F">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567944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3E59D26">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8C74C4E">
            <w:pPr>
              <w:widowControl w:val="0"/>
              <w:jc w:val="both"/>
              <w:rPr>
                <w:rFonts w:ascii="Calibri" w:hAnsi="Calibri" w:eastAsia="仿宋_GB2312" w:cs="Arial"/>
                <w:kern w:val="2"/>
                <w:sz w:val="32"/>
                <w:szCs w:val="24"/>
                <w:lang w:val="en-US" w:eastAsia="zh-CN" w:bidi="ar-SA"/>
              </w:rPr>
            </w:pPr>
          </w:p>
        </w:tc>
      </w:tr>
      <w:tr w14:paraId="399BF8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F043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54B4748">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330A141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152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FDE35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80D3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8FC061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部门：许昌市发展和改革委员会</w:t>
            </w:r>
          </w:p>
        </w:tc>
        <w:tc>
          <w:tcPr>
            <w:tcW w:w="2000" w:type="dxa"/>
            <w:noWrap w:val="0"/>
            <w:vAlign w:val="center"/>
          </w:tcPr>
          <w:p w14:paraId="2949735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AC9BF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ADEE9F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4F465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6D35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1869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226B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555DF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FAD5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5F1D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58B98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4EF0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66C6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EA7B9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678D9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18C6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00BF5B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FA215B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A4A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5FB9C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ABB6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987484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DB4882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04E06BE">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B2AA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5135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F809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0961079">
            <w:pPr>
              <w:widowControl w:val="0"/>
              <w:jc w:val="both"/>
              <w:rPr>
                <w:rFonts w:ascii="Calibri" w:hAnsi="Calibri" w:eastAsia="仿宋_GB2312" w:cs="Arial"/>
                <w:kern w:val="2"/>
                <w:sz w:val="32"/>
                <w:szCs w:val="24"/>
                <w:lang w:val="en-US" w:eastAsia="zh-CN" w:bidi="ar-SA"/>
              </w:rPr>
            </w:pPr>
          </w:p>
        </w:tc>
      </w:tr>
      <w:tr w14:paraId="6159C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B168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5F28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C0655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1D4E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EE56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8ED9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1C33A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BF22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26BB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B8C2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9FC9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5370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83106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08EC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21.98</w:t>
            </w:r>
          </w:p>
        </w:tc>
        <w:tc>
          <w:tcPr>
            <w:tcW w:w="1160" w:type="dxa"/>
            <w:noWrap w:val="0"/>
            <w:vAlign w:val="center"/>
          </w:tcPr>
          <w:p w14:paraId="6125B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254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165F7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895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16.00</w:t>
            </w:r>
          </w:p>
        </w:tc>
        <w:tc>
          <w:tcPr>
            <w:tcW w:w="1160" w:type="dxa"/>
            <w:noWrap w:val="0"/>
            <w:vAlign w:val="center"/>
          </w:tcPr>
          <w:p w14:paraId="5E07B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5.98</w:t>
            </w:r>
          </w:p>
        </w:tc>
        <w:tc>
          <w:tcPr>
            <w:tcW w:w="1160" w:type="dxa"/>
            <w:noWrap w:val="0"/>
            <w:vAlign w:val="center"/>
          </w:tcPr>
          <w:p w14:paraId="2F607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14.66</w:t>
            </w:r>
          </w:p>
        </w:tc>
        <w:tc>
          <w:tcPr>
            <w:tcW w:w="1160" w:type="dxa"/>
            <w:noWrap w:val="0"/>
            <w:vAlign w:val="center"/>
          </w:tcPr>
          <w:p w14:paraId="7658A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9417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11.32</w:t>
            </w:r>
          </w:p>
        </w:tc>
        <w:tc>
          <w:tcPr>
            <w:tcW w:w="1160" w:type="dxa"/>
            <w:noWrap w:val="0"/>
            <w:vAlign w:val="center"/>
          </w:tcPr>
          <w:p w14:paraId="6C9F8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B0E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11.32</w:t>
            </w:r>
          </w:p>
        </w:tc>
        <w:tc>
          <w:tcPr>
            <w:tcW w:w="1198" w:type="dxa"/>
            <w:noWrap w:val="0"/>
            <w:vAlign w:val="center"/>
          </w:tcPr>
          <w:p w14:paraId="75C2A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3.33</w:t>
            </w:r>
          </w:p>
        </w:tc>
      </w:tr>
      <w:tr w14:paraId="068ED4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A36F6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3F32018">
      <w:pPr>
        <w:sectPr>
          <w:pgSz w:w="16838" w:h="11906" w:orient="landscape"/>
          <w:pgMar w:top="1800" w:right="1440" w:bottom="1800" w:left="1440" w:header="720" w:footer="720" w:gutter="0"/>
          <w:pgNumType w:fmt="numberInDash"/>
          <w:cols w:space="720" w:num="1"/>
          <w:docGrid w:type="lines" w:linePitch="312" w:charSpace="0"/>
        </w:sectPr>
      </w:pPr>
    </w:p>
    <w:p w14:paraId="7FE107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A7AD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2ABB4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8646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B96D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8803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225D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2CAD1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5C6C2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FEB04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3C6170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723912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4734.56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与上年度相比，收、支总计各减少180.36万元，下降3.67%，主要原因是市发改委2024年进行机构改革，年中有人员调出，2025年公用经费、人员经费等经费收支较上年度减少。</w:t>
      </w:r>
    </w:p>
    <w:p w14:paraId="3044CC2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56BAC354">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rPr>
      </w:pPr>
      <w:r>
        <w:rPr>
          <w:rFonts w:hint="eastAsia" w:ascii="仿宋" w:hAnsi="仿宋" w:eastAsia="仿宋" w:cs="仿宋"/>
          <w:sz w:val="32"/>
          <w:szCs w:val="32"/>
          <w:lang w:val="en-US" w:eastAsia="zh-CN"/>
        </w:rPr>
        <w:t>2025年度收入合计4734.06万元，其中：财政拨款收入4734.05万元，占100.00%;其他收入0.01万元，占0.00%。</w:t>
      </w:r>
    </w:p>
    <w:p w14:paraId="239E546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3B52175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年度支出合计4734.05万元，其中：基本支出3257.34万元，占68.81%;项目支出1476.71万元，占31.19%。</w:t>
      </w:r>
    </w:p>
    <w:p w14:paraId="3316567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25660F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rPr>
      </w:pPr>
      <w:r>
        <w:rPr>
          <w:rFonts w:hint="eastAsia" w:ascii="仿宋" w:hAnsi="仿宋" w:eastAsia="仿宋" w:cs="仿宋"/>
          <w:sz w:val="32"/>
          <w:szCs w:val="32"/>
          <w:lang w:val="en-US" w:eastAsia="zh-CN"/>
        </w:rPr>
        <w:t>2025年度财政拨款收、支总计均为4734.05万元。与上年度相比，财政拨款收、支总计各减少179.45万元，下降3.65%，主要原因是市发改委2024年进行机构改革，年中有人员调出，2025年公用经费、人员经费等经费收支较上年度减少。</w:t>
      </w:r>
    </w:p>
    <w:p w14:paraId="59B781F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31DF4C7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28EBBFD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4734.05万元，占支出合计的100.00%。与上年度相比，一般公共预算财政拨款支出减少179.45万元，下降3.65%，主要原因是市发改委2024年进行机构改革，年中有人员调出，2025年公用经费、人员经费等经费收支较上年度减少。</w:t>
      </w:r>
    </w:p>
    <w:p w14:paraId="314772C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353B562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4734.05万元，主要用于以下方面：一般公共服务（类）支出3688.90万元，占77.92%;社会保障和就业（类）支出748.25万元，占15.81%;卫生健康（类）支出118.09万元，占2.49%;农林水（类）支出4.34万元，占0.09%;住房保障（类）支出174.47万元，占3.69%。</w:t>
      </w:r>
    </w:p>
    <w:p w14:paraId="7757679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1BF0FDD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2025年度一般公共预算财政拨款支出年初预算为5036.81万元，支出决算为4734.05万元，完成年初预算的93.99%。其中：</w:t>
      </w:r>
    </w:p>
    <w:p w14:paraId="4C5C60C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。年初预算为1224.08万元，支出决算为1328.19万元，完成年初预算的108.50%。决算数与年初预算数存在差异的主要原因是年中新进招录公务员，追加相关人员经费。</w:t>
      </w:r>
    </w:p>
    <w:p w14:paraId="2690FFF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。年初预算为1943.23万元，支出决算为1383.58万元，完成年初预算的71.20%。决算数与年初预算数存在差异的主要原因是部分项目资金支付进度较慢，许昌东站至北京西站高铁列车开行奖励补贴支付进度仅达到30%。</w:t>
      </w:r>
    </w:p>
    <w:p w14:paraId="0A94B1D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一般公共服务支出（类）发展与改革事务（款）物价管理（项）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。年初预算为0.00万元，支出决算为18.20万元。决算数与年初预算数存在差异的主要原因是年中追加2025年农产品成本调查经费。</w:t>
      </w:r>
    </w:p>
    <w:p w14:paraId="4770C33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一般公共服务支出（类）发展与改革事务（款）事业运行（项）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。年初预算为898.08万元，支出决算为949.34万元，完成年初预算的105.71%。决算数与年初预算数存在差异的主要原因是2025年新进招录事业人员，并有实习期人员转正，年中追加人员经费。</w:t>
      </w:r>
    </w:p>
    <w:p w14:paraId="380D14B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。年初预算为万元，支出决算为0.00万元。决算数与年初预算数不存在差异。</w:t>
      </w:r>
    </w:p>
    <w:p w14:paraId="017F443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。年初预算为0.00万元，支出决算为9.59万元。决算数与年初预算数存在差异的主要原因是年中获得月讲评奖励资金，并用于支付机关日常运行经费。</w:t>
      </w:r>
    </w:p>
    <w:p w14:paraId="34024F6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。年初预算为477.87万元，支出决算为482.94万元，完成年初预算的101.06%。决算数与年初预算数存在差异的主要原因是2025年年中退休人员增加，导致退休人员经费增加。</w:t>
      </w:r>
    </w:p>
    <w:p w14:paraId="71E85FD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。年初预算为199.89万元，支出决算为194.03万元，完成年初预算的97.07%。决算数与年初预算数存在差异的主要原因是2025年年中在职转退休人员增加，养老保险经费支付减少。</w:t>
      </w:r>
    </w:p>
    <w:p w14:paraId="0F3E43A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。年初预算为0.00万元，支出决算为23.24万元。决算数与年初预算数存在差异的主要原因是年中追加公益性岗位补贴和社保支出。</w:t>
      </w:r>
    </w:p>
    <w:p w14:paraId="005A375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。年初预算为0.00万元，支出决算为48.04万元。决算数与年初预算数存在差异的主要原因是年中追加去世离退休人员抚恤金。</w:t>
      </w:r>
    </w:p>
    <w:p w14:paraId="114044D9">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。年初预算为40.65万元，支出决算为38.81万元，完成年初预算的95.49%。决算数与年初预算数存在差异的主要原因是2025年年中在职转退休人员增加，医疗保险经费支付减少。</w:t>
      </w:r>
    </w:p>
    <w:p w14:paraId="7599D91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。年初预算为30.59万元，支出决算为30.96万元，完成年初预算的101.21%。决算数与年初预算数存在差异的主要原因是2025年年中新进事业人员转正，由于分段计算基数，医疗保险基数实际缴纳数比预算数低。</w:t>
      </w:r>
    </w:p>
    <w:p w14:paraId="0AEEC37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。年初预算为43.78万元，支出决算为41.80万元，完成年初预算的95.49%。决算数与年初预算数存在差异的主要原因是2025年年中在职转退休人员增加，公务员医疗补助经费支付减少。</w:t>
      </w:r>
    </w:p>
    <w:p w14:paraId="18C14311">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。年初预算为0.00万元，支出决算为6.52万元。决算数与年初预算数存在差异的主要原因是年中追加离休干部医药费。</w:t>
      </w:r>
    </w:p>
    <w:p w14:paraId="15F9991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。年初预算为0.00万元，支出决算为4.34万元。决算数与年初预算数存在差异的主要原因是年中追加派驻第一书记补助经费。</w:t>
      </w:r>
    </w:p>
    <w:p w14:paraId="6D4F647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。年初预算为178.65万元，支出决算为174.47万元，完成年初预算的97.67%。决算数与年初预算数存在差异的主要原因是2025年年中在职转退休人员增加，住房公积金经费支付减少。</w:t>
      </w:r>
    </w:p>
    <w:p w14:paraId="3912B7F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545C4C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年度一般公共预算财政拨款基本支出3257.34万元。其中：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2996.57万元，主要包括：基本工资、奖金、津贴补贴、绩效工资、机关事业单位基本养老保险缴费、职业年金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260.77万元，主要包括：办公费、印刷费、电费、取暖费、物业管理费、租赁费、会议费、培训费、专用燃料费、劳务费、委托业务费、工会经费、福利费、公务用车运行维护费、其他交通费用、税金及附加费用、办公设备购置。</w:t>
      </w:r>
    </w:p>
    <w:p w14:paraId="232052B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5241E53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04C99F8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64D003C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3ECE205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7700626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2DACAAE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21.98万元，支出决算为14.66万元，完成预算的66.68%。2025年度一般公共预算财政拨款“三公”经费支出决算数与预算数存在差异的主要原因是我单位厉行节约，贯彻过紧日子要求，进一步压减“三公经费”支出。</w:t>
      </w:r>
    </w:p>
    <w:p w14:paraId="233988F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5C6BCE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2025年度一般公共预算财政拨款“三公”经费支出决算中，因公出国（境）费支出决算0.00万元，完成预算的0.00%，占0.00%；公务用车购置及运行费支出决算11.32万元，完成预算</w:t>
      </w:r>
    </w:p>
    <w:p w14:paraId="416069B4">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的70.77%，占77.26%；公务接待费支出决算3.33万元，完成预算的55.73%，占22.74%。具体情况如下：</w:t>
      </w:r>
    </w:p>
    <w:p w14:paraId="110E00FC">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5112668">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预算为16.00万元，支出决算为11.32万元，完成预算的70.77%。决算数与预算数存在差异的主要原因是我单位厉行节约，进一步压减公务用车购置及运行费支出。其中：</w:t>
      </w:r>
    </w:p>
    <w:p w14:paraId="46C1C3CB">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40F61C3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11.32万元。主要用于公务用车维修、加油、购买保险、车船税费等。2025年期末，部门开支财政拨款的公务用车保有量为4辆。</w:t>
      </w:r>
    </w:p>
    <w:p w14:paraId="6C7533D3">
      <w:pPr>
        <w:pStyle w:val="2"/>
        <w:keepNext w:val="0"/>
        <w:keepLines w:val="0"/>
        <w:pageBreakBefore w:val="0"/>
        <w:kinsoku/>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预算为5.98万元，支出决算为3.33万元，完成预算的55.73%。决算数与预算数存在差异的主要原因是我单位厉行节约，进一步压减公务接待费支出。其中：</w:t>
      </w:r>
    </w:p>
    <w:p w14:paraId="78192481">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05C98B6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其他国内公务接待支出3.33万元。主要用于来访人员产生的工作餐费。2025年共接待国内来访团组39个、来宾228人次（不包括陪同人员）。</w:t>
      </w:r>
    </w:p>
    <w:p w14:paraId="078FA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4A80364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2025年度机关运行经费支出212.20万元，比2024年减少21.59万元，下降9.23%。主要原因是市发改委2024年进行机构改革，年中有人员调出，2025年公用经费支出较上年度减少。</w:t>
      </w:r>
    </w:p>
    <w:p w14:paraId="6ECF7D9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159D4B9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151.00万元，其中：政府采购货物支出0.00万元、政府采购工程支出0.00万元、政府采购服务支出151.00万元。授予中小企业合同金额0.00万元，占政府采购支出总额的0.00%，其中：授予小微企业合同金额0.00万元，占授予中小企业合同金额的0.00%。</w:t>
      </w:r>
    </w:p>
    <w:p w14:paraId="391025F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31008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4辆，其中：省级领导干部用车0辆、主要领导干部用车0辆、机要通信用车2辆、应急保障车0辆、执法执勤用车0辆、特种专业技术用车0辆、离退休干部用车2辆、其他用车0辆；单位价值100万元（含）以上设备（不含车辆）0台（套）。</w:t>
      </w:r>
    </w:p>
    <w:p w14:paraId="11D0DD1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7F91E2E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1A8AF86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根据预算绩效管理要求，本部门全面开展2025年度预算项目支出绩效自评，涉及项目19个，预算支出1436.34万元。</w:t>
      </w:r>
    </w:p>
    <w:p w14:paraId="77AA50A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组织对项目评审及重点工作经费等19个项目开展部门评价，涉及预算支出1436.34万元。从评价情况来看，我部门2025年整体支出绩效自评97.77分，自评结果为“优”。我部门整体支出能够按照年初设定目标进行支付，财政资金支付合规、及时，能较好的达到单位总体履职目标，实现政府部门职责。</w:t>
      </w:r>
    </w:p>
    <w:p w14:paraId="7EC0DB8D">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hint="eastAsia" w:ascii="楷体_GB2312" w:hAnsi="Times New Roman" w:eastAsia="楷体_GB2312" w:cs="楷体_GB2312"/>
          <w:b/>
          <w:bCs/>
          <w:kern w:val="2"/>
          <w:sz w:val="32"/>
          <w:szCs w:val="32"/>
          <w:rtl w:val="0"/>
          <w:lang w:val="en-US" w:eastAsia="zh-CN"/>
        </w:rPr>
        <w:t>（二）项目绩效自评结果。</w:t>
      </w:r>
    </w:p>
    <w:p w14:paraId="21E5A81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结合工作实际，我部门在2025年度部门决算中反映项目评审及重点工作经费等19个项目的绩效自评结果。1.【统筹本级】许昌东站至北京西站高铁列车开行奖励补贴，用于许昌东站至北京西站高铁列车（G554次）每年开行奖励补贴，保障我市市民到北京政务、商务、就医、求学、务工等刚性出行需求，提升地方政府良好形象。项目预算执行率100%，执行率得分10分，资金管理情况得分20分，成本指标得分10分，产出指标得分30分，效益指标得分25分，满意度指标得分5分，自评得分100分。该项目当年已全部执行完毕，完成绩效目标。</w:t>
      </w:r>
    </w:p>
    <w:p w14:paraId="2B59891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专项资金】《许港产业带发展规划（2025-2035年）》编制费，用于编制高标准、可操作的《许港产业带发展规划（2025—2035年）》文本，为加快许港产业带建设提供规划指引。项目预算执行率48.42%，执行率得分4.84分，资金管理情况得分20分，成本指标得分10分，产出指标得分30分，效益指标得分25分，满意度指标得分5分，自评得分94.84分。扣分的主要原因是该项目部分款项尚未达到合同约定的支付节点，需要结转到下年支付。</w:t>
      </w:r>
    </w:p>
    <w:p w14:paraId="5A9A252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统筹本级】许昌市热力生产企业及中心城区热力经营企业生产（运营）成本及经营状况咨询服务项目经费，用于核算热力生产及热力经营企业运营成本，制定科学合理的补贴机制。项目预算执行率100%，执行率得分10分，资金管理情况得分20分，成本指标得分10分，产出指标得分30分，效益指标得分25分，满意度指标得分5分，自评得分100分。该项目当年已全部执行完毕，完成绩效目标。</w:t>
      </w:r>
    </w:p>
    <w:p w14:paraId="6362C9A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上级当年-市级】2025年农产品成本调查经费，用于全市（含各县区）认真开展59种商品周监测及节假日价格监测工作，保障价格监测质量，及时发现价格异动，为政府宏观调控提供政策依据。项目预算执行率100.00%，执行率得分10分，资金管理情况得分20分，成本指标得分10分，产出指标得分30分，效益指标得分25分，满意度指标得分5分，自评得分100分。该项目当年已全部执行完毕，完成绩效目标。</w:t>
      </w:r>
    </w:p>
    <w:p w14:paraId="4A64614D">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上级当年-县级】2025年农产品成本调查经费，用于建安区农产品成本调查工作，实现保障农本数据及时准确上报，为科学制定农业政策提供重要支撑。项目预算执行率100.00%，执行率得分10分，资金管理情况得分20分，成本指标得分10分，产出指标得分30分，效益指标得分25分，满意度指标得分5分，自评得分100分。该项目当年已全部执行完毕，完成绩效目标。</w:t>
      </w:r>
    </w:p>
    <w:p w14:paraId="19B252C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特定工作】项目评审及重点工作经费，主要用于提高我市项目投资决策的科学性和民主性，规范投资决策过程中的咨询评估工作，保障咨询评估的质量，高效完成初步设计评审和可行性研究、节能报告评审等重点评审工作。项目预算执行率84.75%，执行率得分8.48分，资金管理情况得分20分，成本指标得分10分，产出指标得分30分，效益指标得分25分，满意度指标得分5分，自评得分98.48分。扣分的主要原因是部分项目尚未达到支付节点，需要结转到下年支付。</w:t>
      </w:r>
    </w:p>
    <w:p w14:paraId="24944540">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市级出台】许昌东站至北京西站高铁列车开行奖励补贴，许昌东站至北京西站高铁列车开行奖励补贴，用于许昌东站至北京西站高铁列车（G554次）每年开行奖励补贴，保障我市市民到北京政务、商务、就医、求学、务工等刚性出行需求，提升地方政府良好形象。项目预算执行率30%，执行率得分3分，资金管理情况得分20分，成本指标得分10分，产出指标得分30分，效益指标得分25分，满意度指标得分5分，自评得分93分。扣分的主要原因在于执行率偏差，合同约定金额正在修改，款项尚未达到支付节点，结转到下年支付。</w:t>
      </w:r>
    </w:p>
    <w:p w14:paraId="71D3148B">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专项资金】《许昌市国民经济和社会发展第十五个五年规划纲要》编制费，用于编制“十五五”规划《纲要》，结合许昌实际，提出“十五五”时期许昌经济社会发展的总体要求、总体思路、主要目标、主要指标设置建议以及重大改革举措、重大战略任务、重大工程项目。项目预算执行率70%，执行率得分7分，资金管理情况得分20分，成本指标得分10分，产出指标得分30分，效益指标得分25分，满意度指标得分5分，自评得分97分。扣分的主要原因是该项目部分款项尚未达到合同约定的支付节点，需要结转到下年支付.</w:t>
      </w:r>
    </w:p>
    <w:p w14:paraId="536224FC">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市级出台】天然气储气保障项目，主要用于完成中心城区区域城燃企业储气任务，完成辖区内天然气储气调峰民生保障责任，提升储气能力。项目预算执行率100%，执行率得分10分，资金管理情况得分20分，成本指标得分10分，产出指标得分30分，效益指标得分25分，满意度指标得分5分，自评得分100分。该项目当年已全部执行完毕，完成绩效目标。</w:t>
      </w:r>
    </w:p>
    <w:p w14:paraId="1DCC24E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专项资金】《许昌枢纽经济先行区建设方案》编制项目，用于《许昌枢纽经济先行区建设方案》项目编制费用，形成《许昌枢纽经济先行区建设方案》文本，为推动消费性枢纽发展提供指引。项目预算执行率100%，执行率得分10分，资金管理情况得分20分，成本指标得分10分，产出指标得分30分，效益指标得分25分，满意度指标得分5分，自评得分100分。该项目当年已全部执行完毕，完成绩效目标。</w:t>
      </w:r>
    </w:p>
    <w:p w14:paraId="1B9BEA4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统筹本级】项目评审及重点工作经费，主要用于提高我市项目投资决策的科学性和民主性，规范投资决策过程中的咨询评估工作，保障咨询评估的质量，高效完成初步设计评审和可行性研究、节能报告评审等重点评审工作。项目预算执行率100.00%，执行率得分10分，资金管理情况得分20分，成本指标得分10分，产出指标得分26分，效益指标得分25分，满意度指标得分5分，自评得分96分。该项目当年已全部执行完毕，完成绩效目标。扣分的主要原因在于完成评审项目数量比预算要多。</w:t>
      </w:r>
    </w:p>
    <w:p w14:paraId="696DC70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市级出台】许昌东站标杆车列车停站开行奖励，用于标杆列车开行奖励补贴，方便许昌人民群众出行，保障我市市民到北京政务、商务、就医、求学等刚需出行，提升地方政府良好形象。项目预算执行率100%，执行率得分10分，资金管理情况得分20分，成本指标得分10分，产出指标得分30分，效益指标得分25分，满意度指标得分5分，自评得分100分。该项目当年已全部执行完毕，完成绩效目标。</w:t>
      </w:r>
    </w:p>
    <w:p w14:paraId="0194D90E">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特定工作】2025年许昌市推动城乡融合共同富裕先行试验区建设专题研讨培训班专项经费，用于举办城乡融合共同富裕先行试验区建设专题研讨培训班，提升我市各级干部做好城乡融合共同富裕的政策水平和专业化能力。项目预算执行率0.00%，执行率得分0分，资金管理情况得分20分，成本指标得分0分，产出指标得分5分，效益指标得分0分，满意度指标得分0分，自评得分25分。扣分的主要原因是市委市政府工作重点发生变化，城乡融合共同富裕先行试验区不再作为重点工作，经与市委组织部对接，培训班不再举办。</w:t>
      </w:r>
    </w:p>
    <w:p w14:paraId="04ED8CC7">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重点事项】涉案财务价格认定工作专项经费，市成本局为保障纪检监察、司法和行政工作的顺利进行，对于需要由专业人员进行价格认定的工作，聘请第三方开展定价费用，从而提高案件办理的真实性、客观性、有效性。项目预算执行率53.33%，执行率得分5.33分，资金管理情况得分20分，成本指标得分10分，产出指标得分29.52分，效益指标得分25分，满意度指标得分5分，自评得分94.85分。扣分的主要原因为预算执行率不高，该项目具有较强突发性、临时性和不可预见性，难以在上报预算阶段对本年度支出频次、支出金额等进行精准测算。</w:t>
      </w:r>
    </w:p>
    <w:p w14:paraId="5EEBAC5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15.【上级当年+市级】2025年农产品成本调查经费，主要用于市成本局开展好农产品成本调查工作,保障我市有农产品成本调查任务的县 (市、区)成本调查机构农本数据及时准确上报,精准反映农业生产情况、农村生活情况,为科学制定农业政策提供重要支撑,为农业生产经营决策提供重要依据。项目预算执行率96.86%，执行率得分9.69分，资金管理情况得分20分，成本指标得分10分，产出指标得分26.92分，效益指标得分25分，满意度指标得分5分，自评得分96.61分。扣分的主要原因在于2025年度根据省成本局统一安排，生猪周报由3次变为1次，所以调查次数相应减少较多，费用支出减少。</w:t>
      </w:r>
    </w:p>
    <w:p w14:paraId="613E329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特定工作】魏清污泥处置有限公司成本监审服务项目专项经费,主要用于聘请第三方事务所对2022-2024年许昌魏清污泥处置有限公司进行成本监审，核算污泥处置相关经营成本。项目预算执行率100%，执行率得分10分，资金管理情况得分20分，成本指标得分10分，产出指标得分30分，效益指标得分25分，满意度指标得分5分，自评得分100分。该项目当年已全部执行完毕，完成绩效目标。</w:t>
      </w:r>
    </w:p>
    <w:p w14:paraId="33F74E9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特定工作】优化营商环境专项培训经费，主要用于通过专项培训，加快我市营商环境和社会信用体系建设，推动经济社会高质量发展。项目预算执行率0%，执行率得分0分，资金管理情况得分20分，成本指标得分0分，产出指标得分30分，效益指标得分25分，满意度指标得分5分，自评得分80分。扣分的主要原因根据“严禁安排非必要的出省培训”的相关要求，经单位研究决定，取消原计划举办的出省专题研究班，联合市委组织部，和省发改委合并举办营商环境业务培训班，未产生相关费用。</w:t>
      </w:r>
    </w:p>
    <w:p w14:paraId="7B5B983F">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特定工作】营商环境优化提升咨询服务，主要用于聘请营商环境专家团队对我市营商环境各个领域进行深入研究指导，帮助指标单位查漏补缺，结合最新政策导向和我市现状，明确2025年需重点整改提升的事项，提出有针对性的优化建议。项目预算执行率86.11%，执行率得分8.61分，资金管理情况得分20分，成本指标得分10分，产出指标得分30分，效益指标得分25分，满意度指标得分5分，自评得分98.61分。该项目当年已全部执行完毕，完成绩效目标。</w:t>
      </w:r>
    </w:p>
    <w:p w14:paraId="463531C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基本运转】重点项目建设服务保障工作经费，主要用于市重点项目中心有效及时发现重点项目建设中遇到的困难和问题，保证问题及时化解到位，大力实施扩大有效投资计划。项目预算执行率39.36%，执行率得分3.94分，资金管理情况得分20分，成本指标得分10分，产出指标得分28.38分，效益指标得分24.57分，满意度指标得分5分，自评得分91.89分。扣分的主要原因在于预算执行率不高，项目支出坚持“按需支出、厉行节约”原则，部分计划活动通过资源整合压减了支出规模，同时培训频次由两次调整为一次，相应减少了经费开支。</w:t>
      </w:r>
      <w:bookmarkStart w:id="0" w:name="_GoBack"/>
      <w:bookmarkEnd w:id="0"/>
    </w:p>
    <w:p w14:paraId="5285F786">
      <w:pPr>
        <w:keepNext w:val="0"/>
        <w:keepLines w:val="0"/>
        <w:pageBreakBefore w:val="0"/>
        <w:widowControl/>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Times New Roman" w:eastAsia="楷体_GB2312" w:cs="楷体_GB2312"/>
          <w:b/>
          <w:bCs/>
          <w:kern w:val="2"/>
          <w:sz w:val="32"/>
          <w:szCs w:val="32"/>
          <w:rtl w:val="0"/>
          <w:lang w:val="en-US" w:eastAsia="zh-CN"/>
        </w:rPr>
      </w:pPr>
      <w:r>
        <w:rPr>
          <w:rFonts w:hint="eastAsia" w:ascii="楷体_GB2312" w:hAnsi="Times New Roman" w:eastAsia="楷体_GB2312" w:cs="楷体_GB2312"/>
          <w:b/>
          <w:bCs/>
          <w:kern w:val="2"/>
          <w:sz w:val="32"/>
          <w:szCs w:val="32"/>
          <w:rtl w:val="0"/>
          <w:lang w:val="en-US" w:eastAsia="zh-CN"/>
        </w:rPr>
        <w:t>（三）部门评价结果。</w:t>
      </w:r>
    </w:p>
    <w:p w14:paraId="56B3D8B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《项目绩效评价报告》见附件。</w:t>
      </w:r>
    </w:p>
    <w:p w14:paraId="2E934ED3">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sectPr>
          <w:pgSz w:w="11906" w:h="16838"/>
          <w:pgMar w:top="2098" w:right="1474" w:bottom="1984" w:left="1587" w:header="720" w:footer="720" w:gutter="0"/>
          <w:pgNumType w:fmt="numberInDash"/>
          <w:cols w:space="720" w:num="1"/>
          <w:docGrid w:type="lines" w:linePitch="312" w:charSpace="0"/>
        </w:sectPr>
      </w:pPr>
    </w:p>
    <w:p w14:paraId="59EB949D">
      <w:pPr>
        <w:keepNext w:val="0"/>
        <w:keepLines w:val="0"/>
        <w:pageBreakBefore w:val="0"/>
        <w:kinsoku/>
        <w:overflowPunct/>
        <w:topLinePunct w:val="0"/>
        <w:autoSpaceDE/>
        <w:autoSpaceDN/>
        <w:bidi w:val="0"/>
        <w:adjustRightInd/>
        <w:snapToGrid/>
        <w:spacing w:line="560" w:lineRule="exact"/>
        <w:textAlignment w:val="auto"/>
        <w:rPr>
          <w:rFonts w:hint="eastAsia"/>
        </w:rPr>
      </w:pPr>
      <w:r>
        <w:rPr>
          <w:rFonts w:hint="eastAsia" w:ascii="黑体" w:hAnsi="宋体" w:eastAsia="黑体" w:cs="宋体"/>
          <w:kern w:val="0"/>
          <w:sz w:val="28"/>
          <w:szCs w:val="28"/>
          <w:lang w:eastAsia="zh-CN"/>
        </w:rPr>
        <w:tab/>
      </w:r>
      <w:r>
        <w:rPr>
          <w:rFonts w:hint="eastAsia"/>
          <w:lang w:eastAsia="zh-CN"/>
        </w:rPr>
        <w:tab/>
      </w:r>
    </w:p>
    <w:p w14:paraId="340C5EE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1168B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810C1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A2238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555F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0040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46C48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5D7A9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28E58C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6C8C8A2">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09DE0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BE00FC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87250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B134F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0D037B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86E60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7E8BF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307C4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6F2C0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38ADCD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7354E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84CF6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F6100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AD986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BDE77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3D6F5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AAC401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77E117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47CCFE">
      <w:pPr>
        <w:pStyle w:val="2"/>
        <w:rPr>
          <w:rFonts w:hint="eastAsia" w:ascii="仿宋" w:hAnsi="仿宋" w:eastAsia="仿宋" w:cs="仿宋"/>
          <w:kern w:val="2"/>
          <w:sz w:val="32"/>
          <w:szCs w:val="32"/>
          <w:lang w:val="en-US" w:eastAsia="zh-CN"/>
        </w:rPr>
      </w:pPr>
    </w:p>
    <w:p w14:paraId="4937647A">
      <w:pPr>
        <w:pStyle w:val="2"/>
        <w:rPr>
          <w:rFonts w:hint="eastAsia" w:ascii="仿宋" w:hAnsi="仿宋" w:eastAsia="仿宋" w:cs="仿宋"/>
          <w:kern w:val="2"/>
          <w:sz w:val="32"/>
          <w:szCs w:val="32"/>
          <w:lang w:val="en-US" w:eastAsia="zh-CN"/>
        </w:rPr>
      </w:pPr>
    </w:p>
    <w:p w14:paraId="5294A747">
      <w:pPr>
        <w:pStyle w:val="2"/>
        <w:rPr>
          <w:rFonts w:hint="eastAsia" w:ascii="仿宋" w:hAnsi="仿宋" w:eastAsia="仿宋" w:cs="仿宋"/>
          <w:kern w:val="2"/>
          <w:sz w:val="32"/>
          <w:szCs w:val="32"/>
          <w:lang w:val="en-US" w:eastAsia="zh-CN"/>
        </w:rPr>
      </w:pPr>
    </w:p>
    <w:p w14:paraId="181F58E5">
      <w:pPr>
        <w:pStyle w:val="2"/>
        <w:rPr>
          <w:rFonts w:hint="eastAsia" w:ascii="仿宋" w:hAnsi="仿宋" w:eastAsia="仿宋" w:cs="仿宋"/>
          <w:kern w:val="2"/>
          <w:sz w:val="32"/>
          <w:szCs w:val="32"/>
          <w:lang w:val="en-US" w:eastAsia="zh-CN"/>
        </w:rPr>
      </w:pPr>
    </w:p>
    <w:p w14:paraId="0CBD0563">
      <w:pPr>
        <w:pStyle w:val="2"/>
        <w:rPr>
          <w:rFonts w:hint="eastAsia" w:ascii="仿宋" w:hAnsi="仿宋" w:eastAsia="仿宋" w:cs="仿宋"/>
          <w:kern w:val="2"/>
          <w:sz w:val="32"/>
          <w:szCs w:val="32"/>
          <w:lang w:val="en-US" w:eastAsia="zh-CN"/>
        </w:rPr>
      </w:pPr>
    </w:p>
    <w:p w14:paraId="71DB40D7">
      <w:pPr>
        <w:pStyle w:val="2"/>
        <w:rPr>
          <w:rFonts w:hint="eastAsia" w:ascii="仿宋" w:hAnsi="仿宋" w:eastAsia="仿宋" w:cs="仿宋"/>
          <w:kern w:val="2"/>
          <w:sz w:val="32"/>
          <w:szCs w:val="32"/>
          <w:lang w:val="en-US" w:eastAsia="zh-CN"/>
        </w:rPr>
      </w:pPr>
    </w:p>
    <w:p w14:paraId="3A354AA7">
      <w:pPr>
        <w:pStyle w:val="2"/>
        <w:rPr>
          <w:rFonts w:hint="eastAsia" w:ascii="仿宋" w:hAnsi="仿宋" w:eastAsia="仿宋" w:cs="仿宋"/>
          <w:kern w:val="2"/>
          <w:sz w:val="32"/>
          <w:szCs w:val="32"/>
          <w:lang w:val="en-US" w:eastAsia="zh-CN"/>
        </w:rPr>
      </w:pPr>
    </w:p>
    <w:p w14:paraId="62CF0895">
      <w:pPr>
        <w:pStyle w:val="2"/>
        <w:rPr>
          <w:rFonts w:hint="eastAsia" w:ascii="仿宋" w:hAnsi="仿宋" w:eastAsia="仿宋" w:cs="仿宋"/>
          <w:kern w:val="2"/>
          <w:sz w:val="32"/>
          <w:szCs w:val="32"/>
          <w:lang w:val="en-US" w:eastAsia="zh-CN"/>
        </w:rPr>
      </w:pPr>
    </w:p>
    <w:p w14:paraId="2EDCF0A8">
      <w:pPr>
        <w:pStyle w:val="2"/>
        <w:rPr>
          <w:rFonts w:hint="eastAsia" w:ascii="仿宋" w:hAnsi="仿宋" w:eastAsia="仿宋" w:cs="仿宋"/>
          <w:kern w:val="2"/>
          <w:sz w:val="32"/>
          <w:szCs w:val="32"/>
          <w:lang w:val="en-US" w:eastAsia="zh-CN"/>
        </w:rPr>
      </w:pPr>
    </w:p>
    <w:p w14:paraId="5E9B3915">
      <w:pPr>
        <w:pStyle w:val="2"/>
        <w:rPr>
          <w:rFonts w:hint="eastAsia" w:ascii="仿宋" w:hAnsi="仿宋" w:eastAsia="仿宋" w:cs="仿宋"/>
          <w:kern w:val="2"/>
          <w:sz w:val="32"/>
          <w:szCs w:val="32"/>
          <w:lang w:val="en-US" w:eastAsia="zh-CN"/>
        </w:rPr>
      </w:pPr>
    </w:p>
    <w:p w14:paraId="088B44F4">
      <w:pPr>
        <w:pStyle w:val="2"/>
        <w:rPr>
          <w:rFonts w:hint="eastAsia" w:ascii="仿宋" w:hAnsi="仿宋" w:eastAsia="仿宋" w:cs="仿宋"/>
          <w:kern w:val="2"/>
          <w:sz w:val="32"/>
          <w:szCs w:val="32"/>
          <w:lang w:val="en-US" w:eastAsia="zh-CN"/>
        </w:rPr>
      </w:pPr>
    </w:p>
    <w:p w14:paraId="1309874B">
      <w:pPr>
        <w:pStyle w:val="2"/>
        <w:rPr>
          <w:rFonts w:hint="eastAsia" w:ascii="仿宋" w:hAnsi="仿宋" w:eastAsia="仿宋" w:cs="仿宋"/>
          <w:kern w:val="2"/>
          <w:sz w:val="32"/>
          <w:szCs w:val="32"/>
          <w:lang w:val="en-US" w:eastAsia="zh-CN"/>
        </w:rPr>
      </w:pPr>
    </w:p>
    <w:p w14:paraId="58550D9D">
      <w:pPr>
        <w:pStyle w:val="2"/>
        <w:rPr>
          <w:rFonts w:hint="eastAsia" w:ascii="仿宋" w:hAnsi="仿宋" w:eastAsia="仿宋" w:cs="仿宋"/>
          <w:kern w:val="2"/>
          <w:sz w:val="32"/>
          <w:szCs w:val="32"/>
          <w:lang w:val="en-US" w:eastAsia="zh-CN"/>
        </w:rPr>
      </w:pPr>
    </w:p>
    <w:p w14:paraId="0C07E60D">
      <w:pPr>
        <w:pStyle w:val="2"/>
        <w:rPr>
          <w:rFonts w:hint="eastAsia" w:ascii="仿宋" w:hAnsi="仿宋" w:eastAsia="仿宋" w:cs="仿宋"/>
          <w:kern w:val="2"/>
          <w:sz w:val="32"/>
          <w:szCs w:val="32"/>
          <w:lang w:val="en-US" w:eastAsia="zh-CN"/>
        </w:rPr>
      </w:pPr>
    </w:p>
    <w:p w14:paraId="12AC65E3">
      <w:pPr>
        <w:pStyle w:val="2"/>
        <w:rPr>
          <w:rFonts w:hint="eastAsia" w:ascii="仿宋" w:hAnsi="仿宋" w:eastAsia="仿宋" w:cs="仿宋"/>
          <w:kern w:val="2"/>
          <w:sz w:val="32"/>
          <w:szCs w:val="32"/>
          <w:lang w:val="en-US" w:eastAsia="zh-CN"/>
        </w:rPr>
      </w:pPr>
    </w:p>
    <w:p w14:paraId="53E1DBF1">
      <w:pPr>
        <w:pStyle w:val="2"/>
        <w:rPr>
          <w:rFonts w:hint="eastAsia" w:ascii="仿宋" w:hAnsi="仿宋" w:eastAsia="仿宋" w:cs="仿宋"/>
          <w:kern w:val="2"/>
          <w:sz w:val="32"/>
          <w:szCs w:val="32"/>
          <w:lang w:val="en-US" w:eastAsia="zh-CN"/>
        </w:rPr>
      </w:pPr>
    </w:p>
    <w:p w14:paraId="69CAD8C9">
      <w:pPr>
        <w:pStyle w:val="2"/>
        <w:rPr>
          <w:rFonts w:hint="eastAsia" w:ascii="仿宋" w:hAnsi="仿宋" w:eastAsia="仿宋" w:cs="仿宋"/>
          <w:kern w:val="2"/>
          <w:sz w:val="32"/>
          <w:szCs w:val="32"/>
          <w:lang w:val="en-US" w:eastAsia="zh-CN"/>
        </w:rPr>
      </w:pPr>
    </w:p>
    <w:p w14:paraId="1F058D07">
      <w:pPr>
        <w:pStyle w:val="2"/>
        <w:rPr>
          <w:rFonts w:hint="eastAsia" w:ascii="仿宋" w:hAnsi="仿宋" w:eastAsia="仿宋" w:cs="仿宋"/>
          <w:kern w:val="2"/>
          <w:sz w:val="32"/>
          <w:szCs w:val="32"/>
          <w:lang w:val="en-US" w:eastAsia="zh-CN"/>
        </w:rPr>
      </w:pPr>
    </w:p>
    <w:p w14:paraId="18986A22">
      <w:pPr>
        <w:pStyle w:val="2"/>
        <w:rPr>
          <w:rFonts w:hint="eastAsia" w:ascii="仿宋" w:hAnsi="仿宋" w:eastAsia="仿宋" w:cs="仿宋"/>
          <w:kern w:val="2"/>
          <w:sz w:val="32"/>
          <w:szCs w:val="32"/>
          <w:lang w:val="en-US" w:eastAsia="zh-CN"/>
        </w:rPr>
      </w:pPr>
    </w:p>
    <w:p w14:paraId="3A2E88E3">
      <w:pPr>
        <w:pStyle w:val="2"/>
        <w:rPr>
          <w:rFonts w:hint="eastAsia" w:ascii="仿宋" w:hAnsi="仿宋" w:eastAsia="仿宋" w:cs="仿宋"/>
          <w:kern w:val="2"/>
          <w:sz w:val="32"/>
          <w:szCs w:val="32"/>
          <w:lang w:val="en-US" w:eastAsia="zh-CN"/>
        </w:rPr>
      </w:pPr>
    </w:p>
    <w:p w14:paraId="56CB05A6">
      <w:pPr>
        <w:pStyle w:val="2"/>
        <w:rPr>
          <w:rFonts w:hint="eastAsia" w:ascii="仿宋" w:hAnsi="仿宋" w:eastAsia="仿宋" w:cs="仿宋"/>
          <w:kern w:val="2"/>
          <w:sz w:val="32"/>
          <w:szCs w:val="32"/>
          <w:lang w:val="en-US" w:eastAsia="zh-CN"/>
        </w:rPr>
      </w:pPr>
    </w:p>
    <w:p w14:paraId="48272C40">
      <w:pPr>
        <w:pStyle w:val="2"/>
        <w:rPr>
          <w:rFonts w:hint="eastAsia" w:ascii="仿宋" w:hAnsi="仿宋" w:eastAsia="仿宋" w:cs="仿宋"/>
          <w:kern w:val="2"/>
          <w:sz w:val="32"/>
          <w:szCs w:val="32"/>
          <w:lang w:val="en-US" w:eastAsia="zh-CN"/>
        </w:rPr>
      </w:pPr>
    </w:p>
    <w:p w14:paraId="29956FC9">
      <w:pPr>
        <w:pStyle w:val="2"/>
        <w:rPr>
          <w:rFonts w:hint="eastAsia" w:ascii="仿宋" w:hAnsi="仿宋" w:eastAsia="仿宋" w:cs="仿宋"/>
          <w:kern w:val="2"/>
          <w:sz w:val="32"/>
          <w:szCs w:val="32"/>
          <w:lang w:val="en-US" w:eastAsia="zh-CN"/>
        </w:rPr>
      </w:pPr>
    </w:p>
    <w:p w14:paraId="79572613">
      <w:pPr>
        <w:pStyle w:val="2"/>
        <w:rPr>
          <w:rFonts w:hint="eastAsia" w:ascii="仿宋" w:hAnsi="仿宋" w:eastAsia="仿宋" w:cs="仿宋"/>
          <w:kern w:val="2"/>
          <w:sz w:val="32"/>
          <w:szCs w:val="32"/>
          <w:lang w:val="en-US" w:eastAsia="zh-CN"/>
        </w:rPr>
      </w:pPr>
    </w:p>
    <w:p w14:paraId="74224222">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10985"/>
      <w:bookmarkStart w:id="2" w:name="_Toc28713"/>
      <w:bookmarkStart w:id="3" w:name="_Toc23386"/>
      <w:bookmarkStart w:id="4" w:name="_Toc32252"/>
      <w:r>
        <w:rPr>
          <w:rFonts w:hint="eastAsia" w:ascii="黑体" w:hAnsi="黑体" w:eastAsia="黑体" w:cs="黑体"/>
          <w:sz w:val="48"/>
          <w:szCs w:val="48"/>
          <w:lang w:val="en-US" w:eastAsia="zh-CN"/>
        </w:rPr>
        <w:t>第五部分  附件</w:t>
      </w:r>
      <w:bookmarkEnd w:id="1"/>
      <w:bookmarkEnd w:id="2"/>
      <w:bookmarkEnd w:id="3"/>
      <w:bookmarkEnd w:id="4"/>
    </w:p>
    <w:p w14:paraId="799E0325">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ascii="华文中宋" w:hAnsi="华文中宋" w:eastAsia="华文中宋" w:cs="华文中宋"/>
          <w:b/>
          <w:bCs/>
          <w:sz w:val="44"/>
          <w:szCs w:val="44"/>
        </w:rPr>
        <w:t>发改委</w:t>
      </w:r>
      <w:r>
        <w:rPr>
          <w:rFonts w:hint="eastAsia" w:ascii="华文中宋" w:hAnsi="华文中宋" w:eastAsia="华文中宋" w:cs="华文中宋"/>
          <w:b/>
          <w:bCs/>
          <w:sz w:val="44"/>
          <w:szCs w:val="44"/>
          <w:lang w:eastAsia="zh-CN"/>
        </w:rPr>
        <w:t>部门</w:t>
      </w:r>
      <w:r>
        <w:rPr>
          <w:rFonts w:hint="eastAsia" w:ascii="华文中宋" w:hAnsi="华文中宋" w:eastAsia="华文中宋" w:cs="华文中宋"/>
          <w:b/>
          <w:bCs/>
          <w:sz w:val="44"/>
          <w:szCs w:val="44"/>
        </w:rPr>
        <w:t>整体</w:t>
      </w:r>
      <w:r>
        <w:rPr>
          <w:rFonts w:hint="eastAsia" w:ascii="华文中宋" w:hAnsi="华文中宋" w:eastAsia="华文中宋" w:cs="华文中宋"/>
          <w:b/>
          <w:bCs/>
          <w:sz w:val="44"/>
          <w:szCs w:val="44"/>
          <w:lang w:eastAsia="zh-CN"/>
        </w:rPr>
        <w:t>和项目支出绩效</w:t>
      </w:r>
      <w:r>
        <w:rPr>
          <w:rFonts w:hint="eastAsia" w:ascii="华文中宋" w:hAnsi="华文中宋" w:eastAsia="华文中宋" w:cs="华文中宋"/>
          <w:b/>
          <w:bCs/>
          <w:sz w:val="44"/>
          <w:szCs w:val="44"/>
        </w:rPr>
        <w:t>自评报告</w:t>
      </w:r>
    </w:p>
    <w:p w14:paraId="1FAB299B">
      <w:pPr>
        <w:pStyle w:val="11"/>
        <w:ind w:firstLine="640" w:firstLineChars="200"/>
        <w:rPr>
          <w:rFonts w:ascii="黑体" w:hAnsi="黑体" w:eastAsia="黑体" w:cs="黑体"/>
          <w:bCs/>
          <w:sz w:val="32"/>
          <w:szCs w:val="32"/>
        </w:rPr>
      </w:pPr>
      <w:r>
        <w:rPr>
          <w:rFonts w:ascii="黑体" w:hAnsi="黑体" w:eastAsia="黑体" w:cs="黑体"/>
          <w:bCs/>
          <w:sz w:val="32"/>
          <w:szCs w:val="32"/>
        </w:rPr>
        <w:t xml:space="preserve"> </w:t>
      </w:r>
    </w:p>
    <w:p w14:paraId="5B898A30">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rPr>
      </w:pPr>
      <w:r>
        <w:rPr>
          <w:rFonts w:hint="eastAsia" w:ascii="黑体" w:hAnsi="黑体" w:eastAsia="黑体" w:cs="黑体"/>
          <w:bCs/>
          <w:sz w:val="32"/>
          <w:szCs w:val="32"/>
        </w:rPr>
        <w:t>一、基本情况</w:t>
      </w:r>
    </w:p>
    <w:p w14:paraId="249940F3">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rPr>
      </w:pPr>
      <w:r>
        <w:rPr>
          <w:rFonts w:hint="eastAsia" w:ascii="仿宋_GB2312"/>
          <w:color w:val="000000"/>
          <w:sz w:val="32"/>
          <w:szCs w:val="32"/>
          <w:highlight w:val="none"/>
        </w:rPr>
        <w:t>（一）</w:t>
      </w:r>
      <w:r>
        <w:rPr>
          <w:rFonts w:ascii="仿宋_GB2312"/>
          <w:color w:val="000000"/>
          <w:sz w:val="32"/>
          <w:szCs w:val="32"/>
          <w:highlight w:val="none"/>
        </w:rPr>
        <w:t>年度</w:t>
      </w:r>
      <w:r>
        <w:rPr>
          <w:rFonts w:hint="eastAsia" w:ascii="仿宋_GB2312"/>
          <w:color w:val="000000"/>
          <w:sz w:val="32"/>
          <w:szCs w:val="32"/>
          <w:highlight w:val="none"/>
        </w:rPr>
        <w:t>部门</w:t>
      </w:r>
      <w:r>
        <w:rPr>
          <w:rFonts w:ascii="仿宋_GB2312"/>
          <w:color w:val="000000"/>
          <w:sz w:val="32"/>
          <w:szCs w:val="32"/>
          <w:highlight w:val="none"/>
        </w:rPr>
        <w:t>总</w:t>
      </w:r>
      <w:r>
        <w:rPr>
          <w:rFonts w:hint="eastAsia" w:ascii="仿宋_GB2312"/>
          <w:color w:val="000000"/>
          <w:sz w:val="32"/>
          <w:szCs w:val="32"/>
          <w:highlight w:val="none"/>
        </w:rPr>
        <w:t>目标</w:t>
      </w:r>
      <w:r>
        <w:rPr>
          <w:rFonts w:ascii="仿宋_GB2312"/>
          <w:color w:val="000000"/>
          <w:sz w:val="32"/>
          <w:szCs w:val="32"/>
          <w:highlight w:val="none"/>
        </w:rPr>
        <w:t>及</w:t>
      </w:r>
      <w:r>
        <w:rPr>
          <w:rFonts w:hint="eastAsia" w:ascii="仿宋_GB2312"/>
          <w:color w:val="000000"/>
          <w:sz w:val="32"/>
          <w:szCs w:val="32"/>
          <w:highlight w:val="none"/>
        </w:rPr>
        <w:t>主要</w:t>
      </w:r>
      <w:r>
        <w:rPr>
          <w:rFonts w:ascii="仿宋_GB2312"/>
          <w:color w:val="000000"/>
          <w:sz w:val="32"/>
          <w:szCs w:val="32"/>
          <w:highlight w:val="none"/>
        </w:rPr>
        <w:t>任务</w:t>
      </w:r>
      <w:r>
        <w:rPr>
          <w:rFonts w:hint="eastAsia" w:ascii="仿宋_GB2312"/>
          <w:color w:val="000000"/>
          <w:sz w:val="32"/>
          <w:szCs w:val="32"/>
          <w:highlight w:val="none"/>
        </w:rPr>
        <w:t>。</w:t>
      </w:r>
    </w:p>
    <w:p w14:paraId="3DC9ED26">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eastAsia="仿宋_GB2312"/>
          <w:color w:val="000000"/>
          <w:sz w:val="32"/>
          <w:szCs w:val="32"/>
          <w:highlight w:val="none"/>
          <w:lang w:eastAsia="zh-CN"/>
        </w:rPr>
      </w:pPr>
      <w:r>
        <w:rPr>
          <w:rFonts w:hint="eastAsia" w:ascii="仿宋_GB2312"/>
          <w:color w:val="000000"/>
          <w:sz w:val="32"/>
          <w:szCs w:val="32"/>
          <w:highlight w:val="none"/>
        </w:rPr>
        <w:t>2025年是“十四五”的收官之年，在发展目标的制定上，要统筹好年度发展目标与“十四五”预期目标有机衔接。既要努力争取“十四五”最好结果，又要为“十五五”调结构、促转型、可持续高质量发展留有弹性空间，进一步夯实经济稳的发展基础、改善社会预期、提振发展信心。在全国、全省整体谋划中抢抓政策机遇，化解高负债、高利率、高成本，从而减轻发展包袱、争取更多发展主动权。在工作中要统筹把握“稳与进”的关系。在“稳”上，要推动化解房地产、地方债务等领域风险，全力改善社会预期、提振市场信心，努力稳住经济大盘。在“进”上，要以新质生产力为引领，在十大产业集群和16条产业链培育上下功夫，加快发展数字经济，打造一批具有竞争力的战略性新兴产业集群，积蓄“进”的动能</w:t>
      </w:r>
      <w:r>
        <w:rPr>
          <w:rFonts w:hint="eastAsia" w:ascii="仿宋_GB2312"/>
          <w:color w:val="000000"/>
          <w:sz w:val="32"/>
          <w:szCs w:val="32"/>
          <w:highlight w:val="none"/>
          <w:lang w:eastAsia="zh-CN"/>
        </w:rPr>
        <w:t>。抢抓政策机遇，稳住经济大盘；坚持项目为王，扩大有效投资；推动产业转型，培育新质生产力；纵深推进改革，优化营商环境；加快共富建设，促进城乡协调；聚焦急难愁盼，提升人民福祉；加强前瞻谋划，全面开展规划《纲要》编制；提高价格认定工作效率，完成成本调查任务。</w:t>
      </w:r>
    </w:p>
    <w:p w14:paraId="4185CA9B">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rPr>
      </w:pPr>
      <w:r>
        <w:rPr>
          <w:rFonts w:hint="eastAsia" w:ascii="仿宋_GB2312"/>
          <w:color w:val="000000"/>
          <w:sz w:val="32"/>
          <w:szCs w:val="32"/>
          <w:highlight w:val="none"/>
        </w:rPr>
        <w:t>（二）年度部门整体预算绩效目标、绩效指标设定情况。</w:t>
      </w:r>
    </w:p>
    <w:p w14:paraId="3E0074BB">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ascii="仿宋_GB2312" w:eastAsia="仿宋_GB2312"/>
          <w:color w:val="000000"/>
          <w:sz w:val="32"/>
          <w:szCs w:val="32"/>
          <w:highlight w:val="none"/>
          <w:lang w:val="en-US" w:eastAsia="zh-CN"/>
        </w:rPr>
      </w:pPr>
      <w:r>
        <w:rPr>
          <w:rFonts w:ascii="仿宋_GB2312"/>
          <w:color w:val="000000"/>
          <w:sz w:val="32"/>
          <w:szCs w:val="32"/>
          <w:highlight w:val="none"/>
          <w:lang w:eastAsia="zh-CN"/>
        </w:rPr>
        <w:t xml:space="preserve">     </w:t>
      </w:r>
      <w:r>
        <w:rPr>
          <w:rFonts w:hint="eastAsia" w:ascii="仿宋_GB2312"/>
          <w:color w:val="000000"/>
          <w:sz w:val="32"/>
          <w:szCs w:val="32"/>
          <w:highlight w:val="none"/>
          <w:lang w:val="en-US" w:eastAsia="zh-CN"/>
        </w:rPr>
        <w:t>2025年我部门对</w:t>
      </w:r>
      <w:r>
        <w:rPr>
          <w:rFonts w:hint="eastAsia" w:ascii="仿宋_GB2312"/>
          <w:color w:val="000000"/>
          <w:sz w:val="32"/>
          <w:szCs w:val="32"/>
          <w:highlight w:val="none"/>
          <w:lang w:eastAsia="zh-CN"/>
        </w:rPr>
        <w:t>部门</w:t>
      </w:r>
      <w:r>
        <w:rPr>
          <w:rFonts w:hint="eastAsia" w:ascii="仿宋_GB2312"/>
          <w:color w:val="000000"/>
          <w:sz w:val="32"/>
          <w:szCs w:val="32"/>
          <w:highlight w:val="none"/>
          <w:lang w:val="en-US" w:eastAsia="zh-CN"/>
        </w:rPr>
        <w:t>整体预算绩效目标进行填报，通过设置年度履职目标、年度重点项目目标，根据投入管理指标、产出指标、效益指标三大类，工作目标管理、预算和财务管理、绩效管理、重点工作任务完成、履职目标实现、履职效益、满意度七小类，全面反映我部门预算执行情况，同时为下一年度编制预算提供基本依据。</w:t>
      </w:r>
    </w:p>
    <w:p w14:paraId="15AB59C9">
      <w:pPr>
        <w:pStyle w:val="11"/>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本部门年度项目支出的总体预算和执行情况，项目构成情况，绩效目标批复情况等。</w:t>
      </w:r>
    </w:p>
    <w:p w14:paraId="48057C39">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sz w:val="32"/>
          <w:szCs w:val="32"/>
          <w:highlight w:val="none"/>
          <w:lang w:eastAsia="zh-CN"/>
        </w:rPr>
      </w:pPr>
      <w:r>
        <w:rPr>
          <w:rFonts w:ascii="仿宋_GB2312"/>
          <w:color w:val="000000"/>
          <w:sz w:val="32"/>
          <w:szCs w:val="32"/>
          <w:highlight w:val="none"/>
          <w:lang w:eastAsia="zh-CN"/>
        </w:rPr>
        <w:t xml:space="preserve"> </w:t>
      </w:r>
      <w:r>
        <w:rPr>
          <w:rFonts w:hint="eastAsia" w:ascii="仿宋_GB2312"/>
          <w:sz w:val="32"/>
          <w:szCs w:val="32"/>
          <w:highlight w:val="none"/>
          <w:lang w:val="en-US" w:eastAsia="zh-CN"/>
        </w:rPr>
        <w:t>2025年度我部门自评项目19个，其中许昌市发展和改革委员会</w:t>
      </w:r>
      <w:r>
        <w:rPr>
          <w:rFonts w:hint="eastAsia" w:ascii="仿宋_GB2312"/>
          <w:color w:val="000000"/>
          <w:sz w:val="32"/>
          <w:szCs w:val="32"/>
          <w:highlight w:val="none"/>
          <w:lang w:val="en-US" w:eastAsia="zh-CN"/>
        </w:rPr>
        <w:t>机关</w:t>
      </w:r>
      <w:r>
        <w:rPr>
          <w:rFonts w:hint="eastAsia" w:ascii="仿宋_GB2312"/>
          <w:sz w:val="32"/>
          <w:szCs w:val="32"/>
          <w:highlight w:val="none"/>
          <w:lang w:val="en-US" w:eastAsia="zh-CN"/>
        </w:rPr>
        <w:t>自评项目13个，二级机构许昌市重点项目建设服务中心自评项目1个，许昌市价格成本调查监审局自评项目3个，许昌市优化营商环境服务中心自评项目2个。2025年度我部门自评项目19个，</w:t>
      </w:r>
      <w:r>
        <w:rPr>
          <w:rFonts w:ascii="仿宋_GB2312"/>
          <w:sz w:val="32"/>
          <w:szCs w:val="32"/>
          <w:highlight w:val="none"/>
          <w:lang w:eastAsia="zh-CN"/>
        </w:rPr>
        <w:t>年度项目总预算</w:t>
      </w:r>
      <w:r>
        <w:rPr>
          <w:rFonts w:hint="eastAsia" w:ascii="仿宋_GB2312"/>
          <w:sz w:val="32"/>
          <w:szCs w:val="32"/>
          <w:highlight w:val="none"/>
          <w:lang w:val="en-US" w:eastAsia="zh-CN"/>
        </w:rPr>
        <w:t>2307.78</w:t>
      </w:r>
      <w:r>
        <w:rPr>
          <w:rFonts w:ascii="仿宋_GB2312"/>
          <w:sz w:val="32"/>
          <w:szCs w:val="32"/>
          <w:highlight w:val="none"/>
          <w:lang w:eastAsia="zh-CN"/>
        </w:rPr>
        <w:t>万元，实际执行</w:t>
      </w:r>
      <w:r>
        <w:rPr>
          <w:rFonts w:hint="eastAsia" w:ascii="仿宋_GB2312"/>
          <w:sz w:val="32"/>
          <w:szCs w:val="32"/>
          <w:highlight w:val="none"/>
          <w:lang w:val="en-US" w:eastAsia="zh-CN"/>
        </w:rPr>
        <w:t>1436.34</w:t>
      </w:r>
      <w:r>
        <w:rPr>
          <w:rFonts w:ascii="仿宋_GB2312"/>
          <w:sz w:val="32"/>
          <w:szCs w:val="32"/>
          <w:highlight w:val="none"/>
          <w:lang w:eastAsia="zh-CN"/>
        </w:rPr>
        <w:t>万元</w:t>
      </w:r>
      <w:r>
        <w:rPr>
          <w:rFonts w:hint="eastAsia" w:ascii="仿宋_GB2312"/>
          <w:sz w:val="32"/>
          <w:szCs w:val="32"/>
          <w:highlight w:val="none"/>
          <w:lang w:eastAsia="zh-CN"/>
        </w:rPr>
        <w:t>，</w:t>
      </w:r>
      <w:r>
        <w:rPr>
          <w:rFonts w:ascii="仿宋_GB2312"/>
          <w:color w:val="000000"/>
          <w:sz w:val="32"/>
          <w:szCs w:val="32"/>
          <w:highlight w:val="none"/>
          <w:lang w:eastAsia="zh-CN"/>
        </w:rPr>
        <w:t>项目执行率</w:t>
      </w:r>
      <w:r>
        <w:rPr>
          <w:rFonts w:hint="eastAsia" w:ascii="仿宋_GB2312"/>
          <w:color w:val="000000"/>
          <w:sz w:val="32"/>
          <w:szCs w:val="32"/>
          <w:highlight w:val="none"/>
          <w:lang w:val="en-US" w:eastAsia="zh-CN"/>
        </w:rPr>
        <w:t>62.23</w:t>
      </w:r>
      <w:r>
        <w:rPr>
          <w:rFonts w:ascii="仿宋_GB2312"/>
          <w:color w:val="000000"/>
          <w:sz w:val="32"/>
          <w:szCs w:val="32"/>
          <w:highlight w:val="none"/>
          <w:lang w:eastAsia="zh-CN"/>
        </w:rPr>
        <w:t>%，预算执行不高的主要原因是</w:t>
      </w:r>
      <w:r>
        <w:rPr>
          <w:rFonts w:hint="eastAsia" w:ascii="仿宋_GB2312"/>
          <w:color w:val="000000"/>
          <w:sz w:val="32"/>
          <w:szCs w:val="32"/>
          <w:highlight w:val="none"/>
          <w:lang w:eastAsia="zh-CN"/>
        </w:rPr>
        <w:t>个别</w:t>
      </w:r>
      <w:r>
        <w:rPr>
          <w:rFonts w:hint="eastAsia" w:ascii="仿宋_GB2312"/>
          <w:sz w:val="32"/>
          <w:szCs w:val="32"/>
          <w:highlight w:val="none"/>
          <w:lang w:val="en-US" w:eastAsia="zh-CN"/>
        </w:rPr>
        <w:t>项目部分款项尚未达到合同约定的支付节点，需要结转到下年支付。</w:t>
      </w:r>
      <w:r>
        <w:rPr>
          <w:rFonts w:ascii="仿宋_GB2312"/>
          <w:color w:val="000000"/>
          <w:sz w:val="32"/>
          <w:szCs w:val="32"/>
          <w:highlight w:val="none"/>
          <w:lang w:eastAsia="zh-CN"/>
        </w:rPr>
        <w:t>项目年初已全部纳入项目库，并完成绩效目标申报，年中进行了绩效目标监控</w:t>
      </w:r>
      <w:r>
        <w:rPr>
          <w:rFonts w:hint="eastAsia" w:ascii="仿宋_GB2312"/>
          <w:color w:val="000000"/>
          <w:sz w:val="32"/>
          <w:szCs w:val="32"/>
          <w:highlight w:val="none"/>
          <w:lang w:eastAsia="zh-CN"/>
        </w:rPr>
        <w:t>，确保整体项目纳入预算绩效全过程管理</w:t>
      </w:r>
      <w:r>
        <w:rPr>
          <w:rFonts w:ascii="仿宋_GB2312"/>
          <w:color w:val="000000"/>
          <w:sz w:val="32"/>
          <w:szCs w:val="32"/>
          <w:highlight w:val="none"/>
          <w:lang w:eastAsia="zh-CN"/>
        </w:rPr>
        <w:t>。</w:t>
      </w:r>
    </w:p>
    <w:p w14:paraId="79AFC55B">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（四）年度本部门及所属单位整体支出绩效自评得分总结。</w:t>
      </w:r>
    </w:p>
    <w:p w14:paraId="1CEC312A">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ascii="仿宋_GB2312"/>
          <w:color w:val="000000"/>
          <w:sz w:val="32"/>
          <w:szCs w:val="32"/>
          <w:highlight w:val="none"/>
          <w:lang w:val="en-US" w:eastAsia="zh-CN"/>
        </w:rPr>
      </w:pPr>
      <w:r>
        <w:rPr>
          <w:rFonts w:hint="eastAsia" w:ascii="仿宋_GB2312"/>
          <w:color w:val="000000"/>
          <w:sz w:val="32"/>
          <w:szCs w:val="32"/>
          <w:highlight w:val="none"/>
          <w:lang w:val="en-US" w:eastAsia="zh-CN"/>
        </w:rPr>
        <w:t>我部门2025年</w:t>
      </w:r>
      <w:r>
        <w:rPr>
          <w:rFonts w:hint="eastAsia" w:ascii="仿宋_GB2312"/>
          <w:color w:val="000000"/>
          <w:sz w:val="32"/>
          <w:szCs w:val="32"/>
          <w:highlight w:val="none"/>
          <w:lang w:eastAsia="zh-CN"/>
        </w:rPr>
        <w:t>整体支出绩效自评</w:t>
      </w:r>
      <w:r>
        <w:rPr>
          <w:rFonts w:hint="eastAsia" w:ascii="仿宋_GB2312"/>
          <w:color w:val="000000"/>
          <w:sz w:val="32"/>
          <w:szCs w:val="32"/>
          <w:highlight w:val="none"/>
          <w:lang w:val="en-US" w:eastAsia="zh-CN"/>
        </w:rPr>
        <w:t>97.77分，自评结果为“优”。我部门整体支出能够按照年初设定目标进行支付，财政资金支付合规、及时，能较好的达到单位总体履职目标，实现政府部门职责。</w:t>
      </w:r>
    </w:p>
    <w:p w14:paraId="5316E3BC">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3C0A7243">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color w:val="000000"/>
          <w:sz w:val="32"/>
          <w:szCs w:val="32"/>
          <w:highlight w:val="none"/>
        </w:rPr>
      </w:pPr>
      <w:r>
        <w:rPr>
          <w:rFonts w:hint="eastAsia" w:ascii="仿宋_GB2312"/>
          <w:color w:val="000000"/>
          <w:sz w:val="32"/>
          <w:szCs w:val="32"/>
          <w:highlight w:val="none"/>
          <w:lang w:eastAsia="zh-CN"/>
        </w:rPr>
        <w:t>根据绩效评价工作安排，我部门高度重视，迅速研判部署，要求二级机构按照文件要求，及时、准确、客观的进行单位整体及项目支出自评，并出具自评报告。在自评过程中发现问题，及时查找原因，纠正偏差，为下一步工作奠定基础</w:t>
      </w:r>
      <w:r>
        <w:rPr>
          <w:rFonts w:hint="eastAsia" w:ascii="仿宋_GB2312"/>
          <w:color w:val="000000"/>
          <w:sz w:val="32"/>
          <w:szCs w:val="32"/>
          <w:highlight w:val="none"/>
        </w:rPr>
        <w:t>。</w:t>
      </w:r>
    </w:p>
    <w:p w14:paraId="010922D3">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16A32EDC">
      <w:pPr>
        <w:pStyle w:val="11"/>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69AACC66">
      <w:pPr>
        <w:pStyle w:val="11"/>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3EA439E2">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rPr>
      </w:pPr>
      <w:r>
        <w:rPr>
          <w:rFonts w:ascii="仿宋_GB2312"/>
          <w:sz w:val="32"/>
          <w:szCs w:val="32"/>
          <w:highlight w:val="none"/>
          <w:lang w:eastAsia="zh-CN"/>
        </w:rPr>
        <w:t xml:space="preserve"> </w:t>
      </w:r>
      <w:r>
        <w:rPr>
          <w:rFonts w:hint="eastAsia" w:ascii="仿宋_GB2312"/>
          <w:sz w:val="32"/>
          <w:szCs w:val="32"/>
          <w:highlight w:val="none"/>
          <w:lang w:val="en-US" w:eastAsia="zh-CN"/>
        </w:rPr>
        <w:t>2025年根据预算批复，我部门财政资金按计划进行申请，到位比较及时，到位后也及时进行资金拨付，人员经费按照预算严格执行，办公经费经相关领导审批，严格把关支付报销，严格按照财务规定执行</w:t>
      </w:r>
      <w:r>
        <w:rPr>
          <w:rFonts w:hint="eastAsia" w:ascii="仿宋_GB2312"/>
          <w:sz w:val="32"/>
          <w:szCs w:val="32"/>
          <w:highlight w:val="none"/>
        </w:rPr>
        <w:t>。</w:t>
      </w:r>
    </w:p>
    <w:p w14:paraId="2E93D013">
      <w:pPr>
        <w:pStyle w:val="11"/>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）部门绩效指标完成情况分析</w:t>
      </w:r>
    </w:p>
    <w:p w14:paraId="11B8E9D0">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w:t>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709A6297">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sz w:val="32"/>
          <w:szCs w:val="32"/>
          <w:highlight w:val="none"/>
          <w:lang w:val="en-US" w:eastAsia="zh-CN"/>
        </w:rPr>
      </w:pPr>
      <w:r>
        <w:rPr>
          <w:rFonts w:hint="eastAsia" w:ascii="仿宋_GB2312"/>
          <w:sz w:val="32"/>
          <w:szCs w:val="32"/>
          <w:highlight w:val="none"/>
          <w:lang w:val="en-US" w:eastAsia="zh-CN"/>
        </w:rPr>
        <w:t>2025年预算与年度履职目标关联度100%，工作任务安排合理，绩效指标设置合理，均按照要求完成了目标设定值。我单位有部分项目尚未达到合同约定的支付节点，转至下年度进行支付，导致资金结转率较高。</w:t>
      </w:r>
    </w:p>
    <w:p w14:paraId="7B3B2DAB">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rPr>
      </w:pPr>
      <w:r>
        <w:rPr>
          <w:rFonts w:hint="eastAsia" w:ascii="仿宋_GB2312"/>
          <w:sz w:val="32"/>
          <w:szCs w:val="32"/>
          <w:highlight w:val="none"/>
          <w:lang w:val="en-US" w:eastAsia="zh-CN"/>
        </w:rPr>
        <w:t>2.</w:t>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44B65CB4">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lang w:val="en-US" w:eastAsia="zh-CN"/>
        </w:rPr>
      </w:pPr>
      <w:r>
        <w:rPr>
          <w:rFonts w:hint="eastAsia" w:ascii="仿宋_GB2312"/>
          <w:sz w:val="32"/>
          <w:szCs w:val="32"/>
          <w:highlight w:val="none"/>
          <w:lang w:val="en-US" w:eastAsia="zh-CN"/>
        </w:rPr>
        <w:t>2025年按照工作安排及年初设定重点工作目标，所有重点工作已全部完成，履职尽责目标全部实现，产出指标已经实现。</w:t>
      </w:r>
    </w:p>
    <w:p w14:paraId="1F5B751F">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rPr>
      </w:pPr>
      <w:r>
        <w:rPr>
          <w:rFonts w:hint="eastAsia" w:ascii="仿宋_GB2312"/>
          <w:sz w:val="32"/>
          <w:szCs w:val="32"/>
          <w:highlight w:val="none"/>
          <w:lang w:val="en-US" w:eastAsia="zh-CN"/>
        </w:rPr>
        <w:t>3.</w:t>
      </w:r>
      <w:r>
        <w:rPr>
          <w:rFonts w:hint="eastAsia" w:ascii="仿宋_GB2312"/>
          <w:sz w:val="32"/>
          <w:szCs w:val="32"/>
          <w:highlight w:val="none"/>
        </w:rPr>
        <w:t>效益指标完成情况分析</w:t>
      </w:r>
      <w:r>
        <w:rPr>
          <w:rFonts w:hint="eastAsia" w:ascii="仿宋_GB2312"/>
          <w:sz w:val="32"/>
          <w:szCs w:val="32"/>
          <w:highlight w:val="none"/>
          <w:lang w:val="en-US" w:eastAsia="zh-CN"/>
        </w:rPr>
        <w:t>。</w:t>
      </w:r>
    </w:p>
    <w:p w14:paraId="1A99CCCF">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sz w:val="32"/>
          <w:szCs w:val="32"/>
          <w:highlight w:val="none"/>
          <w:lang w:val="en-US" w:eastAsia="zh-CN"/>
        </w:rPr>
      </w:pPr>
      <w:r>
        <w:rPr>
          <w:rFonts w:hint="eastAsia" w:ascii="仿宋_GB2312"/>
          <w:sz w:val="32"/>
          <w:szCs w:val="32"/>
          <w:highlight w:val="none"/>
          <w:lang w:val="en-US" w:eastAsia="zh-CN"/>
        </w:rPr>
        <w:t>2025年市发改委工作完成情况主管部门和群众满意度较高，有效促进许昌经济高质量发展，效益指标已经实现。</w:t>
      </w:r>
    </w:p>
    <w:p w14:paraId="39765B12">
      <w:pPr>
        <w:pStyle w:val="11"/>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59782C05">
      <w:pPr>
        <w:pStyle w:val="11"/>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18CB1676">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sz w:val="32"/>
          <w:szCs w:val="32"/>
          <w:highlight w:val="none"/>
          <w:lang w:val="en-US" w:eastAsia="zh-CN"/>
        </w:rPr>
      </w:pPr>
      <w:r>
        <w:rPr>
          <w:rFonts w:ascii="仿宋_GB2312"/>
          <w:sz w:val="32"/>
          <w:szCs w:val="32"/>
          <w:highlight w:val="none"/>
          <w:lang w:eastAsia="zh-CN"/>
        </w:rPr>
        <w:t xml:space="preserve">     </w:t>
      </w:r>
      <w:r>
        <w:rPr>
          <w:rFonts w:hint="eastAsia" w:ascii="仿宋_GB2312"/>
          <w:sz w:val="32"/>
          <w:szCs w:val="32"/>
          <w:highlight w:val="none"/>
          <w:lang w:val="en-US" w:eastAsia="zh-CN"/>
        </w:rPr>
        <w:t>2025年度我部门自评项目19个，</w:t>
      </w:r>
      <w:r>
        <w:rPr>
          <w:rFonts w:ascii="仿宋_GB2312"/>
          <w:sz w:val="32"/>
          <w:szCs w:val="32"/>
          <w:highlight w:val="none"/>
          <w:lang w:eastAsia="zh-CN"/>
        </w:rPr>
        <w:t>年度项目总预算</w:t>
      </w:r>
      <w:r>
        <w:rPr>
          <w:rFonts w:hint="eastAsia" w:ascii="仿宋_GB2312"/>
          <w:sz w:val="32"/>
          <w:szCs w:val="32"/>
          <w:highlight w:val="none"/>
          <w:lang w:val="en-US" w:eastAsia="zh-CN"/>
        </w:rPr>
        <w:t>2307.78</w:t>
      </w:r>
      <w:r>
        <w:rPr>
          <w:rFonts w:ascii="仿宋_GB2312"/>
          <w:sz w:val="32"/>
          <w:szCs w:val="32"/>
          <w:highlight w:val="none"/>
          <w:lang w:eastAsia="zh-CN"/>
        </w:rPr>
        <w:t>万元，实际执行</w:t>
      </w:r>
      <w:r>
        <w:rPr>
          <w:rFonts w:hint="eastAsia" w:ascii="仿宋_GB2312"/>
          <w:sz w:val="32"/>
          <w:szCs w:val="32"/>
          <w:highlight w:val="none"/>
          <w:lang w:val="en-US" w:eastAsia="zh-CN"/>
        </w:rPr>
        <w:t>1436.34</w:t>
      </w:r>
      <w:r>
        <w:rPr>
          <w:rFonts w:ascii="仿宋_GB2312"/>
          <w:sz w:val="32"/>
          <w:szCs w:val="32"/>
          <w:highlight w:val="none"/>
          <w:lang w:eastAsia="zh-CN"/>
        </w:rPr>
        <w:t>万元。具体明细如下</w:t>
      </w:r>
      <w:r>
        <w:rPr>
          <w:rFonts w:hint="eastAsia" w:ascii="仿宋_GB2312"/>
          <w:sz w:val="32"/>
          <w:szCs w:val="32"/>
          <w:highlight w:val="none"/>
          <w:lang w:val="en-US" w:eastAsia="zh-CN"/>
        </w:rPr>
        <w:t>：</w:t>
      </w:r>
    </w:p>
    <w:p w14:paraId="55E6873E">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统筹本级】许昌东站至北京西站高铁列车开行奖励补贴，用于许昌东站至北京西站高铁列车（G554次）每年开行奖励补贴，保障我市市民到北京政务、商务、就医、求学、务工等刚性出行需求，提升地方政府良好形象。项目预算执行率100%，执行率得分10分，资金管理情况得分20分，成本指标得分10分，产出指标得分30分，效益指标得分25分，满意度指标得分5分，自评得分100分。该项目当年已全部执行完毕，完成绩效目标。</w:t>
      </w:r>
    </w:p>
    <w:p w14:paraId="123C564A">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2.</w:t>
      </w:r>
      <w:r>
        <w:rPr>
          <w:rFonts w:hint="eastAsia"/>
          <w:sz w:val="32"/>
          <w:szCs w:val="32"/>
        </w:rPr>
        <w:t>【专项资金】《许港产业带发展规划（2025-2035年）》编制费</w:t>
      </w:r>
      <w:r>
        <w:rPr>
          <w:rFonts w:hint="eastAsia"/>
          <w:sz w:val="32"/>
          <w:szCs w:val="32"/>
          <w:lang w:eastAsia="zh-CN"/>
        </w:rPr>
        <w:t>，</w:t>
      </w:r>
      <w:r>
        <w:rPr>
          <w:rFonts w:hint="eastAsia"/>
          <w:sz w:val="32"/>
          <w:szCs w:val="32"/>
          <w:lang w:val="en-US" w:eastAsia="zh-CN"/>
        </w:rPr>
        <w:t>用于编制</w:t>
      </w:r>
      <w:r>
        <w:rPr>
          <w:rFonts w:hint="eastAsia"/>
          <w:sz w:val="32"/>
          <w:szCs w:val="32"/>
        </w:rPr>
        <w:t>高标准、可操作的《许港产业带发展规划（2025—2035年）》文本，为加快许港产业带建设提供规划指引</w:t>
      </w:r>
      <w:r>
        <w:rPr>
          <w:rFonts w:hint="eastAsia"/>
          <w:sz w:val="32"/>
          <w:szCs w:val="32"/>
          <w:lang w:eastAsia="zh-CN"/>
        </w:rPr>
        <w:t>。</w:t>
      </w:r>
      <w:r>
        <w:rPr>
          <w:rFonts w:hint="eastAsia" w:ascii="仿宋_GB2312"/>
          <w:sz w:val="32"/>
          <w:szCs w:val="32"/>
          <w:highlight w:val="none"/>
          <w:lang w:val="en-US" w:eastAsia="zh-CN"/>
        </w:rPr>
        <w:t>项目预算执行率48.42%，执行率得分4.84分，资金管理情况得分20分，成本指标得分10分，产出指标得分30分，效益指标得分25分，满意度指标得分5分，自评得分94.84分。扣分的主要原因是该项目部分款项尚未达到合同约定的支付节点，需要结转到下年支付。</w:t>
      </w:r>
    </w:p>
    <w:p w14:paraId="14F02007">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3.</w:t>
      </w:r>
      <w:r>
        <w:rPr>
          <w:rFonts w:hint="eastAsia"/>
          <w:sz w:val="32"/>
          <w:szCs w:val="32"/>
        </w:rPr>
        <w:t>【统筹本级】许昌市热力生产企业及中心城区热力经营企业生产（运营）成本及经营状况咨询服务项目经费</w:t>
      </w:r>
      <w:r>
        <w:rPr>
          <w:rFonts w:hint="eastAsia"/>
          <w:sz w:val="32"/>
          <w:szCs w:val="32"/>
          <w:lang w:eastAsia="zh-CN"/>
        </w:rPr>
        <w:t>，</w:t>
      </w:r>
      <w:r>
        <w:rPr>
          <w:rFonts w:hint="eastAsia" w:ascii="仿宋_GB2312"/>
          <w:sz w:val="32"/>
          <w:szCs w:val="32"/>
          <w:highlight w:val="none"/>
          <w:lang w:val="en-US" w:eastAsia="zh-CN"/>
        </w:rPr>
        <w:t>用于核算热力生产及热力经营企业运营成本，制定科学合理的补贴机制。项目预算执行率100%，执行率得分10分，资金管理情况得分20分，成本指标得分10分，产出指标得分30分，效益指标得分25分，满意度指标得分5分，自评得分100分。该项目当年已全部执行完毕，完成绩效目标。</w:t>
      </w:r>
    </w:p>
    <w:p w14:paraId="1F530A50">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4.</w:t>
      </w:r>
      <w:r>
        <w:rPr>
          <w:rFonts w:hint="eastAsia"/>
          <w:sz w:val="32"/>
          <w:szCs w:val="32"/>
        </w:rPr>
        <w:t>【上级当年-市级】2025年农产品成本调查经费</w:t>
      </w:r>
      <w:r>
        <w:rPr>
          <w:rFonts w:hint="eastAsia"/>
          <w:sz w:val="32"/>
          <w:szCs w:val="32"/>
          <w:lang w:eastAsia="zh-CN"/>
        </w:rPr>
        <w:t>，</w:t>
      </w:r>
      <w:r>
        <w:rPr>
          <w:rFonts w:hint="eastAsia" w:ascii="仿宋_GB2312"/>
          <w:sz w:val="32"/>
          <w:szCs w:val="32"/>
          <w:highlight w:val="none"/>
          <w:lang w:val="en-US" w:eastAsia="zh-CN"/>
        </w:rPr>
        <w:t>用于全市（含各县区）认真开展59种商品周监测及节假日价格监测工作，保障价格监测质量，及时发现价格异动，为政府宏观调控提供政策依据。项目预算执行率100.00%，执行率得分10分，资金管理情况得分20分，成本指标得分10分，产出指标得分30分，效益指标得分25分，满意度指标得分5分，自评得分100分。该项目当年已全部执行完毕，完成绩效目标。</w:t>
      </w:r>
    </w:p>
    <w:p w14:paraId="0C05FFF4">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5.</w:t>
      </w:r>
      <w:r>
        <w:rPr>
          <w:rFonts w:hint="eastAsia"/>
          <w:sz w:val="32"/>
          <w:szCs w:val="32"/>
        </w:rPr>
        <w:t>【上级当年-县级】2025年农产品成本调查经费</w:t>
      </w:r>
      <w:r>
        <w:rPr>
          <w:rFonts w:hint="eastAsia"/>
          <w:sz w:val="32"/>
          <w:szCs w:val="32"/>
          <w:lang w:eastAsia="zh-CN"/>
        </w:rPr>
        <w:t>，</w:t>
      </w:r>
      <w:r>
        <w:rPr>
          <w:rFonts w:hint="eastAsia"/>
          <w:sz w:val="32"/>
          <w:szCs w:val="32"/>
          <w:lang w:val="en-US" w:eastAsia="zh-CN"/>
        </w:rPr>
        <w:t>用于建安区</w:t>
      </w:r>
      <w:r>
        <w:rPr>
          <w:rFonts w:hint="eastAsia"/>
          <w:sz w:val="32"/>
          <w:szCs w:val="32"/>
        </w:rPr>
        <w:t>农产品成本调查工作，实现保障农本数据及时准确上报，为科学制定农业政策提供重要支撑</w:t>
      </w:r>
      <w:r>
        <w:rPr>
          <w:rFonts w:hint="eastAsia"/>
          <w:sz w:val="32"/>
          <w:szCs w:val="32"/>
          <w:lang w:eastAsia="zh-CN"/>
        </w:rPr>
        <w:t>。</w:t>
      </w:r>
      <w:r>
        <w:rPr>
          <w:rFonts w:hint="eastAsia" w:ascii="仿宋_GB2312"/>
          <w:sz w:val="32"/>
          <w:szCs w:val="32"/>
          <w:highlight w:val="none"/>
          <w:lang w:val="en-US" w:eastAsia="zh-CN"/>
        </w:rPr>
        <w:t>项目预算执行率100.00%，执行率得分10分，资金管理情况得分20分，成本指标得分10分，产出指标得分30分，效益指标得分25分，满意度指标得分5分，自评得分100分。该项目当年已全部执行完毕，完成绩效目标。</w:t>
      </w:r>
    </w:p>
    <w:p w14:paraId="59165CA6">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6.</w:t>
      </w:r>
      <w:r>
        <w:rPr>
          <w:rFonts w:hint="eastAsia"/>
          <w:sz w:val="32"/>
          <w:szCs w:val="32"/>
        </w:rPr>
        <w:t>【特定工作】项目评审及重点工作经费</w:t>
      </w:r>
      <w:r>
        <w:rPr>
          <w:rFonts w:hint="eastAsia"/>
          <w:sz w:val="32"/>
          <w:szCs w:val="32"/>
          <w:lang w:eastAsia="zh-CN"/>
        </w:rPr>
        <w:t>，</w:t>
      </w:r>
      <w:r>
        <w:rPr>
          <w:rFonts w:hint="eastAsia"/>
          <w:sz w:val="32"/>
          <w:szCs w:val="32"/>
          <w:lang w:val="en-US" w:eastAsia="zh-CN"/>
        </w:rPr>
        <w:t>主要用于</w:t>
      </w:r>
      <w:r>
        <w:rPr>
          <w:rFonts w:hint="eastAsia" w:ascii="仿宋_GB2312"/>
          <w:sz w:val="32"/>
          <w:szCs w:val="32"/>
          <w:highlight w:val="none"/>
          <w:lang w:val="en-US" w:eastAsia="zh-CN"/>
        </w:rPr>
        <w:t>提高我市项目投资决策的科学性和民主性，规范投资决策过程中的咨询评估工作，保障咨询评估的质量，高效完成初步设计评审和可行性研究、节能报告评审等重点评审工作。项目预算执行率84.75%，执行率得分8.48分，资金管理情况得分20分，成本指标得分10分，产出指标得分30分，效益指标得分25分，满意度指标得分5分，自评得分98.48分。扣分的主要原因是部分项目尚未达到支付节点，需要结转到下年支付。</w:t>
      </w:r>
    </w:p>
    <w:p w14:paraId="50B41253">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7.</w:t>
      </w:r>
      <w:r>
        <w:rPr>
          <w:rFonts w:hint="eastAsia"/>
          <w:sz w:val="32"/>
          <w:szCs w:val="32"/>
        </w:rPr>
        <w:t>【市级出台】许昌东站至北京西站高铁列车开行奖励补贴</w:t>
      </w:r>
      <w:r>
        <w:rPr>
          <w:rFonts w:hint="eastAsia"/>
          <w:sz w:val="32"/>
          <w:szCs w:val="32"/>
          <w:lang w:eastAsia="zh-CN"/>
        </w:rPr>
        <w:t>，</w:t>
      </w:r>
      <w:r>
        <w:rPr>
          <w:rFonts w:hint="eastAsia" w:ascii="仿宋_GB2312"/>
          <w:sz w:val="32"/>
          <w:szCs w:val="32"/>
          <w:highlight w:val="none"/>
          <w:lang w:val="en-US" w:eastAsia="zh-CN"/>
        </w:rPr>
        <w:t>许昌东站至北京西站高铁列车开行奖励补贴，用于许昌东站至北京西站高铁列车（G554次）每年开行奖励补贴，保障我市市民到北京政务、商务、就医、求学、务工等刚性出行需求，提升地方政府良好形象。项目预算执行率30%，执行率得分3分，资金管理情况得分20分，成本指标得分10分，产出指标得分30分，效益指标得分25分，满意度指标得分5分，自评得分93分。扣分的主要原因在于执行率偏差，合同约定金额正在修改，款项尚未达到支付节点，结转到下年支付。</w:t>
      </w:r>
    </w:p>
    <w:p w14:paraId="02FB61DB">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8.</w:t>
      </w:r>
      <w:r>
        <w:rPr>
          <w:rFonts w:hint="eastAsia"/>
          <w:sz w:val="32"/>
          <w:szCs w:val="32"/>
        </w:rPr>
        <w:t>【专项资金】《许昌市国民经济和社会发展第十五个五年规划纲要》编制费</w:t>
      </w:r>
      <w:r>
        <w:rPr>
          <w:rFonts w:hint="eastAsia"/>
          <w:sz w:val="32"/>
          <w:szCs w:val="32"/>
          <w:lang w:eastAsia="zh-CN"/>
        </w:rPr>
        <w:t>，</w:t>
      </w:r>
      <w:r>
        <w:rPr>
          <w:rFonts w:hint="eastAsia"/>
          <w:sz w:val="32"/>
          <w:szCs w:val="32"/>
          <w:lang w:val="en-US" w:eastAsia="zh-CN"/>
        </w:rPr>
        <w:t>用于</w:t>
      </w:r>
      <w:r>
        <w:rPr>
          <w:rFonts w:hint="eastAsia"/>
          <w:sz w:val="32"/>
          <w:szCs w:val="32"/>
        </w:rPr>
        <w:t>编制“十五五”规划《纲要》，结合许昌实际，提出“十五五”时期许昌经济社会发展的总体要求、总体思路、主要目标、主要指标设置建议以及重大改革举措、重大战略任务、重大工程项目</w:t>
      </w:r>
      <w:r>
        <w:rPr>
          <w:rFonts w:hint="eastAsia"/>
          <w:sz w:val="32"/>
          <w:szCs w:val="32"/>
          <w:lang w:eastAsia="zh-CN"/>
        </w:rPr>
        <w:t>。</w:t>
      </w:r>
      <w:r>
        <w:rPr>
          <w:rFonts w:hint="eastAsia" w:ascii="仿宋_GB2312"/>
          <w:sz w:val="32"/>
          <w:szCs w:val="32"/>
          <w:highlight w:val="none"/>
          <w:lang w:val="en-US" w:eastAsia="zh-CN"/>
        </w:rPr>
        <w:t>项目预算执行率70%，执行率得分7分，资金管理情况得分20分，成本指标得分10分，产出指标得分30分，效益指标得分25分，满意度指标得分5分，自评得分97分。扣分的主要原因是该项目部分款项尚未达到合同约定的支付节点，需要结转到下年支付.</w:t>
      </w:r>
    </w:p>
    <w:p w14:paraId="244DCBB8">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9.【市级出台】天然气储气保障项目，主要用于完成中心城区区域城燃企业储气任务，完成辖区内天然气储气调峰民生保障责任，提升储气能力。项目预算执行率100%，执行率得分10分，资金管理情况得分20分，成本指标得分10分，产出指标得分30分，效益指标得分25分，满意度指标得分5分，自评得分100分。该项目当年已全部执行完毕，完成绩效目标。</w:t>
      </w:r>
    </w:p>
    <w:p w14:paraId="107F0F82">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10.</w:t>
      </w:r>
      <w:r>
        <w:rPr>
          <w:rFonts w:hint="eastAsia"/>
          <w:sz w:val="32"/>
          <w:szCs w:val="32"/>
        </w:rPr>
        <w:t>【专项资金】《许昌枢纽经济先行区建设方案》编制项目</w:t>
      </w:r>
      <w:r>
        <w:rPr>
          <w:rFonts w:hint="eastAsia"/>
          <w:sz w:val="32"/>
          <w:szCs w:val="32"/>
          <w:lang w:eastAsia="zh-CN"/>
        </w:rPr>
        <w:t>，</w:t>
      </w:r>
      <w:r>
        <w:rPr>
          <w:rFonts w:hint="eastAsia"/>
          <w:sz w:val="32"/>
          <w:szCs w:val="32"/>
          <w:lang w:val="en-US" w:eastAsia="zh-CN"/>
        </w:rPr>
        <w:t>用于</w:t>
      </w:r>
      <w:r>
        <w:rPr>
          <w:rFonts w:hint="eastAsia"/>
          <w:sz w:val="32"/>
          <w:szCs w:val="32"/>
        </w:rPr>
        <w:t>《许昌枢纽经济先行区建设方案》项目编制费用</w:t>
      </w:r>
      <w:r>
        <w:rPr>
          <w:rFonts w:hint="eastAsia"/>
          <w:sz w:val="32"/>
          <w:szCs w:val="32"/>
          <w:lang w:eastAsia="zh-CN"/>
        </w:rPr>
        <w:t>，</w:t>
      </w:r>
      <w:r>
        <w:rPr>
          <w:rFonts w:hint="eastAsia"/>
          <w:sz w:val="32"/>
          <w:szCs w:val="32"/>
        </w:rPr>
        <w:t>形成《许昌枢纽经济先行区建设方案》文本，为推动消费性枢纽发展提供指引。</w:t>
      </w:r>
      <w:r>
        <w:rPr>
          <w:rFonts w:hint="eastAsia" w:ascii="仿宋_GB2312"/>
          <w:sz w:val="32"/>
          <w:szCs w:val="32"/>
          <w:highlight w:val="none"/>
          <w:lang w:val="en-US" w:eastAsia="zh-CN"/>
        </w:rPr>
        <w:t>项目预算执行率100%，执行率得分10分，资金管理情况得分20分，成本指标得分10分，产出指标得分30分，效益指标得分25分，满意度指标得分5分，自评得分100分。该项目当年已全部执行完毕，完成绩效目标。</w:t>
      </w:r>
    </w:p>
    <w:p w14:paraId="24E8088E">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11.</w:t>
      </w:r>
      <w:r>
        <w:rPr>
          <w:rFonts w:hint="eastAsia"/>
          <w:sz w:val="32"/>
          <w:szCs w:val="32"/>
        </w:rPr>
        <w:t>【统筹本级】项目评审及重点工作经费</w:t>
      </w:r>
      <w:r>
        <w:rPr>
          <w:rFonts w:hint="eastAsia"/>
          <w:sz w:val="32"/>
          <w:szCs w:val="32"/>
          <w:lang w:eastAsia="zh-CN"/>
        </w:rPr>
        <w:t>，</w:t>
      </w:r>
      <w:r>
        <w:rPr>
          <w:rFonts w:hint="eastAsia"/>
          <w:sz w:val="32"/>
          <w:szCs w:val="32"/>
          <w:lang w:val="en-US" w:eastAsia="zh-CN"/>
        </w:rPr>
        <w:t>主要用于</w:t>
      </w:r>
      <w:r>
        <w:rPr>
          <w:rFonts w:hint="eastAsia" w:ascii="仿宋_GB2312"/>
          <w:sz w:val="32"/>
          <w:szCs w:val="32"/>
          <w:highlight w:val="none"/>
          <w:lang w:val="en-US" w:eastAsia="zh-CN"/>
        </w:rPr>
        <w:t>提高我市项目投资决策的科学性和民主性，规范投资决策过程中的咨询评估工作，保障咨询评估的质量，高效完成初步设计评审和可行性研究、节能报告评审等重点评审工作。项目预算执行率100.00%，执行率得分10分，资金管理情况得分20分，成本指标得分10分，产出指标得分26分，效益指标得分25分，满意度指标得分5分，自评得分96分。该项目当年已全部执行完毕，完成绩效目标。扣分的主要原因在于完成评审项目数量比预算要多。</w:t>
      </w:r>
    </w:p>
    <w:p w14:paraId="308E6B69">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12.</w:t>
      </w:r>
      <w:r>
        <w:rPr>
          <w:rFonts w:hint="eastAsia"/>
          <w:sz w:val="32"/>
          <w:szCs w:val="32"/>
        </w:rPr>
        <w:t>【市级出台】许昌东站标杆车列车停站开行奖励</w:t>
      </w:r>
      <w:r>
        <w:rPr>
          <w:rFonts w:hint="eastAsia"/>
          <w:sz w:val="32"/>
          <w:szCs w:val="32"/>
          <w:lang w:eastAsia="zh-CN"/>
        </w:rPr>
        <w:t>，</w:t>
      </w:r>
      <w:r>
        <w:rPr>
          <w:rFonts w:hint="eastAsia"/>
          <w:sz w:val="32"/>
          <w:szCs w:val="32"/>
          <w:lang w:val="en-US" w:eastAsia="zh-CN"/>
        </w:rPr>
        <w:t>用于</w:t>
      </w:r>
      <w:r>
        <w:rPr>
          <w:rFonts w:hint="eastAsia"/>
          <w:sz w:val="32"/>
          <w:szCs w:val="32"/>
        </w:rPr>
        <w:t>标杆列车开行奖励补贴</w:t>
      </w:r>
      <w:r>
        <w:rPr>
          <w:rFonts w:hint="eastAsia"/>
          <w:sz w:val="32"/>
          <w:szCs w:val="32"/>
          <w:lang w:eastAsia="zh-CN"/>
        </w:rPr>
        <w:t>，</w:t>
      </w:r>
      <w:r>
        <w:rPr>
          <w:rFonts w:hint="eastAsia"/>
          <w:sz w:val="32"/>
          <w:szCs w:val="32"/>
        </w:rPr>
        <w:t>方便许昌人民群众出行</w:t>
      </w:r>
      <w:r>
        <w:rPr>
          <w:rFonts w:hint="eastAsia"/>
          <w:sz w:val="32"/>
          <w:szCs w:val="32"/>
          <w:lang w:eastAsia="zh-CN"/>
        </w:rPr>
        <w:t>，</w:t>
      </w:r>
      <w:r>
        <w:rPr>
          <w:rFonts w:hint="eastAsia"/>
          <w:sz w:val="32"/>
          <w:szCs w:val="32"/>
        </w:rPr>
        <w:t>保障我市市民到北京政务、商务、就医、求学等刚需出行，提升地方政府良好形象</w:t>
      </w:r>
      <w:r>
        <w:rPr>
          <w:rFonts w:hint="eastAsia"/>
          <w:sz w:val="32"/>
          <w:szCs w:val="32"/>
          <w:lang w:eastAsia="zh-CN"/>
        </w:rPr>
        <w:t>。</w:t>
      </w:r>
      <w:r>
        <w:rPr>
          <w:rFonts w:hint="eastAsia" w:ascii="仿宋_GB2312"/>
          <w:sz w:val="32"/>
          <w:szCs w:val="32"/>
          <w:highlight w:val="none"/>
          <w:lang w:val="en-US" w:eastAsia="zh-CN"/>
        </w:rPr>
        <w:t>项目预算执行率100%，执行率得分10分，资金管理情况得分20分，成本指标得分10分，产出指标得分30分，效益指标得分25分，满意度指标得分5分，自评得分100分。该项目当年已全部执行完毕，完成绩效目标。</w:t>
      </w:r>
    </w:p>
    <w:p w14:paraId="2DC7C4C3">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sz w:val="32"/>
          <w:szCs w:val="32"/>
        </w:rPr>
      </w:pPr>
      <w:r>
        <w:rPr>
          <w:rFonts w:hint="eastAsia" w:ascii="仿宋_GB2312"/>
          <w:sz w:val="32"/>
          <w:szCs w:val="32"/>
          <w:highlight w:val="none"/>
          <w:lang w:val="en-US" w:eastAsia="zh-CN"/>
        </w:rPr>
        <w:t>13.</w:t>
      </w:r>
      <w:r>
        <w:rPr>
          <w:rFonts w:hint="eastAsia"/>
          <w:sz w:val="32"/>
          <w:szCs w:val="32"/>
        </w:rPr>
        <w:t>【特定工作】2025年许昌市推动城乡融合共同富裕先行试验区建设专题研讨培训班专项经费</w:t>
      </w:r>
      <w:r>
        <w:rPr>
          <w:rFonts w:hint="eastAsia"/>
          <w:sz w:val="32"/>
          <w:szCs w:val="32"/>
          <w:lang w:eastAsia="zh-CN"/>
        </w:rPr>
        <w:t>，</w:t>
      </w:r>
      <w:r>
        <w:rPr>
          <w:rFonts w:hint="eastAsia"/>
          <w:sz w:val="32"/>
          <w:szCs w:val="32"/>
          <w:lang w:val="en-US" w:eastAsia="zh-CN"/>
        </w:rPr>
        <w:t>用于</w:t>
      </w:r>
      <w:r>
        <w:rPr>
          <w:rFonts w:hint="eastAsia"/>
          <w:sz w:val="32"/>
          <w:szCs w:val="32"/>
        </w:rPr>
        <w:t>举办城乡融合共同富裕先行试验区建设专题研讨培训班，提升我市各级干部做好城乡融合共同富裕的政策水平和专业化能力</w:t>
      </w:r>
      <w:r>
        <w:rPr>
          <w:rFonts w:hint="eastAsia"/>
          <w:sz w:val="32"/>
          <w:szCs w:val="32"/>
          <w:lang w:eastAsia="zh-CN"/>
        </w:rPr>
        <w:t>。</w:t>
      </w:r>
      <w:r>
        <w:rPr>
          <w:rFonts w:hint="eastAsia" w:ascii="仿宋_GB2312"/>
          <w:sz w:val="32"/>
          <w:szCs w:val="32"/>
          <w:highlight w:val="none"/>
          <w:lang w:val="en-US" w:eastAsia="zh-CN"/>
        </w:rPr>
        <w:t>项目预算执行率0.00%，执行率得分0分，资金管理情况得分20分，成本指标得分0分，产出指标得分5分，效益指标得分0分，满意度指标得分0分，自评得分25分。扣分的主要原因是</w:t>
      </w:r>
      <w:r>
        <w:rPr>
          <w:rFonts w:hint="eastAsia"/>
          <w:sz w:val="32"/>
          <w:szCs w:val="32"/>
        </w:rPr>
        <w:t>市委市政府工作重点发生变化，城乡融合共同富裕先行试验区不再作为重点工作，经与市委组织部对接，培训班不再举办。</w:t>
      </w:r>
    </w:p>
    <w:p w14:paraId="6823474E">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87"/>
        <w:textAlignment w:val="auto"/>
        <w:rPr>
          <w:rFonts w:hint="eastAsia" w:ascii="仿宋_GB2312"/>
          <w:b w:val="0"/>
          <w:bCs w:val="0"/>
          <w:sz w:val="32"/>
          <w:szCs w:val="32"/>
          <w:highlight w:val="none"/>
          <w:lang w:val="en-US" w:eastAsia="zh-CN"/>
        </w:rPr>
      </w:pPr>
      <w:r>
        <w:rPr>
          <w:sz w:val="32"/>
          <w:szCs w:val="32"/>
        </w:rPr>
        <w:t>14.</w:t>
      </w:r>
      <w:r>
        <w:rPr>
          <w:rFonts w:hint="eastAsia" w:ascii="仿宋_GB2312"/>
          <w:sz w:val="32"/>
          <w:szCs w:val="32"/>
          <w:highlight w:val="none"/>
          <w:lang w:val="en-US" w:eastAsia="zh-CN"/>
        </w:rPr>
        <w:t>【重点事项】涉案财务价格认定工作专项经费，市成本局为保障纪检监察、司法和行政工作的顺利进行，对于需要由专业人员进行价格认定的工作，聘请第三方开展定价费用，从而提高案件办理的真实性、客观性、有效性。项目预算执行率53.33%，执行率得分5.33分，资金管理情况得分20分，成本指标得分10分，产出指标得分29.52分，效益指标得分25分，满意度指标得分5分，自评得分94.85分。扣分的主要原因为预算执行率不高，</w:t>
      </w:r>
      <w:r>
        <w:rPr>
          <w:rFonts w:hint="eastAsia" w:ascii="仿宋_GB2312"/>
          <w:b w:val="0"/>
          <w:bCs w:val="0"/>
          <w:sz w:val="32"/>
          <w:szCs w:val="32"/>
          <w:highlight w:val="none"/>
          <w:lang w:val="en-US" w:eastAsia="zh-CN"/>
        </w:rPr>
        <w:t>该项目具有较强突发性、临时性和不可预见性，难以在上报预算阶段对本年度支出频次、支出金额等进行精准测算。</w:t>
      </w:r>
    </w:p>
    <w:p w14:paraId="2305067E">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87"/>
        <w:textAlignment w:val="auto"/>
        <w:rPr>
          <w:rFonts w:ascii="仿宋_GB2312"/>
          <w:sz w:val="32"/>
          <w:szCs w:val="32"/>
          <w:highlight w:val="none"/>
          <w:lang w:val="en-US" w:eastAsia="zh-CN"/>
        </w:rPr>
      </w:pPr>
      <w:r>
        <w:rPr>
          <w:sz w:val="32"/>
          <w:szCs w:val="32"/>
          <w:lang w:eastAsia="zh-CN"/>
        </w:rPr>
        <w:t>15.</w:t>
      </w:r>
      <w:r>
        <w:rPr>
          <w:rFonts w:hint="eastAsia" w:ascii="仿宋_GB2312"/>
          <w:sz w:val="32"/>
          <w:szCs w:val="32"/>
          <w:highlight w:val="none"/>
          <w:lang w:val="en-US" w:eastAsia="zh-CN"/>
        </w:rPr>
        <w:t>【上级当年+市级】2025年农产品成本调查经费，主要用于市成本局开展好农产品成本调查工作,保障我市有农产品成本调查任务的县 (市、区)成本调查机构农本数据及时准确上报,精准反映农业生产情况、农村生活情况,为科学制定农业政策提供重要支撑,为农业生产经营决策提供重要依据。项目预算执行率96.86%，执行率得分9.69分，资金管理情况得分20分，成本指标得分10分，产出指标得分26.92分，效益指标得分25分，满意度指标得分5分，自评得分96.61分。扣分的主要原因在于2025年度根据省成本局统一安排，生猪周报由3次变为1次，所以调查次数相应减少较多，费用支出减少。</w:t>
      </w:r>
    </w:p>
    <w:p w14:paraId="15F82F17">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87"/>
        <w:textAlignment w:val="auto"/>
        <w:rPr>
          <w:rFonts w:hint="eastAsia" w:ascii="仿宋_GB2312"/>
          <w:sz w:val="32"/>
          <w:szCs w:val="32"/>
          <w:highlight w:val="none"/>
          <w:lang w:val="en-US" w:eastAsia="zh-CN"/>
        </w:rPr>
      </w:pPr>
      <w:r>
        <w:rPr>
          <w:sz w:val="32"/>
          <w:szCs w:val="32"/>
          <w:lang w:eastAsia="zh-CN"/>
        </w:rPr>
        <w:t>16.</w:t>
      </w:r>
      <w:r>
        <w:rPr>
          <w:rFonts w:ascii="仿宋_GB2312"/>
          <w:sz w:val="32"/>
          <w:szCs w:val="32"/>
          <w:highlight w:val="none"/>
          <w:lang w:eastAsia="zh-CN"/>
        </w:rPr>
        <w:t>【特定工作】魏清污泥处置有限公司成本监审服务项目专项经费,</w:t>
      </w:r>
      <w:r>
        <w:rPr>
          <w:rFonts w:hint="eastAsia" w:ascii="仿宋_GB2312"/>
          <w:sz w:val="32"/>
          <w:szCs w:val="32"/>
          <w:highlight w:val="none"/>
          <w:lang w:eastAsia="zh-CN"/>
        </w:rPr>
        <w:t>主要用于</w:t>
      </w:r>
      <w:r>
        <w:rPr>
          <w:rFonts w:ascii="仿宋_GB2312"/>
          <w:sz w:val="32"/>
          <w:szCs w:val="32"/>
          <w:highlight w:val="none"/>
          <w:lang w:eastAsia="zh-CN"/>
        </w:rPr>
        <w:t>聘请第三方事务所对2022-2024年许昌魏清污泥处置有限公司进行成本监审，核算污泥处置相关经营成本。</w:t>
      </w:r>
      <w:r>
        <w:rPr>
          <w:rFonts w:hint="eastAsia" w:ascii="仿宋_GB2312"/>
          <w:sz w:val="32"/>
          <w:szCs w:val="32"/>
          <w:highlight w:val="none"/>
          <w:lang w:val="en-US" w:eastAsia="zh-CN"/>
        </w:rPr>
        <w:t>项目预算执行率100%，执行率得分10分，资金管理情况得分20分，成本指标得分10分，产出指标得分30分，效益指标得分25分，满意度指标得分5分，自评得分100分。该项目当年已全部执行完毕，完成绩效目标。</w:t>
      </w:r>
    </w:p>
    <w:p w14:paraId="7FB2DFA6">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87"/>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17.【特定工作】优化营商环境专项培训经费，主要用于通过专项培训，加快我市营商环境和社会信用体系建设，推动经济社会高质量发展。项目预算执行率0%，执行率得分0分，资金管理情况得分20分，成本指标得分0分，产出指标得分30分，效益指标得分25分，满意度指标得分5分，自评得分80分。扣分的主要原因</w:t>
      </w:r>
      <w:r>
        <w:rPr>
          <w:rFonts w:ascii="Times New Roman" w:hAnsi="Times New Roman" w:cs="Times New Roman"/>
          <w:color w:val="auto"/>
          <w:sz w:val="32"/>
          <w:szCs w:val="32"/>
          <w:highlight w:val="none"/>
          <w:lang w:eastAsia="zh-CN"/>
        </w:rPr>
        <w:t>根据</w:t>
      </w:r>
      <w:r>
        <w:rPr>
          <w:rFonts w:hint="eastAsia" w:cs="Times New Roman"/>
          <w:color w:val="auto"/>
          <w:sz w:val="32"/>
          <w:szCs w:val="32"/>
          <w:highlight w:val="none"/>
          <w:lang w:eastAsia="zh-CN"/>
        </w:rPr>
        <w:t>“</w:t>
      </w:r>
      <w:r>
        <w:rPr>
          <w:rFonts w:ascii="Times New Roman" w:hAnsi="Times New Roman" w:cs="Times New Roman"/>
          <w:color w:val="auto"/>
          <w:sz w:val="32"/>
          <w:szCs w:val="32"/>
          <w:highlight w:val="none"/>
          <w:lang w:eastAsia="zh-CN"/>
        </w:rPr>
        <w:t>严禁安排非必要的出省培训”的相关要求，经单位研究决定，取消原计划举办的出省专题研究班，</w:t>
      </w:r>
      <w:r>
        <w:rPr>
          <w:rFonts w:hint="eastAsia" w:ascii="仿宋_GB2312"/>
          <w:sz w:val="32"/>
          <w:szCs w:val="32"/>
          <w:highlight w:val="none"/>
          <w:lang w:val="en-US" w:eastAsia="zh-CN"/>
        </w:rPr>
        <w:t>联合市委组织部，和省发改委合并举办营商环境业务培训班，</w:t>
      </w:r>
      <w:r>
        <w:rPr>
          <w:rFonts w:hint="eastAsia" w:cs="Times New Roman"/>
          <w:color w:val="auto"/>
          <w:sz w:val="32"/>
          <w:szCs w:val="32"/>
          <w:highlight w:val="none"/>
          <w:lang w:eastAsia="zh-CN"/>
        </w:rPr>
        <w:t>未产生相关费用</w:t>
      </w:r>
      <w:r>
        <w:rPr>
          <w:rFonts w:ascii="Times New Roman" w:hAnsi="Times New Roman" w:cs="Times New Roman"/>
          <w:color w:val="auto"/>
          <w:sz w:val="32"/>
          <w:szCs w:val="32"/>
          <w:highlight w:val="none"/>
          <w:lang w:eastAsia="zh-CN"/>
        </w:rPr>
        <w:t>。</w:t>
      </w:r>
    </w:p>
    <w:p w14:paraId="44960C6E">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87"/>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18.【特定工作】营商环境优化提升咨询服务，主要用于聘请营商环境专家团队对我市营商环境各个领域进行深入研究指导，帮助指标单位查漏补缺，结合最新政策导向和我市现状，明确2025年需重点整改提升的事项，提出有针对性的优化建议。项目预算执行率86.11%，执行率得分8.61分，资金管理情况得分20分，成本指标得分10分，产出指标得分30分，效益指标得分25分，满意度指标得分5分，自评得分98.61分。该项目当年已全部执行完毕，完成绩效目标。</w:t>
      </w:r>
    </w:p>
    <w:p w14:paraId="3817D1ED">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ascii="仿宋_GB2312"/>
          <w:sz w:val="32"/>
          <w:szCs w:val="32"/>
          <w:highlight w:val="none"/>
          <w:lang w:val="en-US" w:eastAsia="zh-CN"/>
        </w:rPr>
      </w:pPr>
      <w:r>
        <w:rPr>
          <w:rFonts w:hint="eastAsia" w:ascii="仿宋_GB2312"/>
          <w:sz w:val="32"/>
          <w:szCs w:val="32"/>
          <w:highlight w:val="none"/>
          <w:lang w:val="en-US" w:eastAsia="zh-CN"/>
        </w:rPr>
        <w:t xml:space="preserve">     19.【基本运转】重点项目建设服务保障工作经费，主要用于市重点项目中心有效及时发现重点项目建设中遇到的困难和问题，保证问题及时化解到位，大力实施扩大有效投资计划。项目预算执行率</w:t>
      </w:r>
      <w:r>
        <w:rPr>
          <w:rFonts w:hint="eastAsia" w:ascii="仿宋_GB2312"/>
          <w:b w:val="0"/>
          <w:bCs w:val="0"/>
          <w:sz w:val="32"/>
          <w:szCs w:val="32"/>
          <w:highlight w:val="none"/>
          <w:lang w:val="en-US" w:eastAsia="zh-CN"/>
        </w:rPr>
        <w:t>39.36</w:t>
      </w:r>
      <w:r>
        <w:rPr>
          <w:rFonts w:hint="eastAsia" w:ascii="仿宋_GB2312"/>
          <w:sz w:val="32"/>
          <w:szCs w:val="32"/>
          <w:highlight w:val="none"/>
          <w:lang w:val="en-US" w:eastAsia="zh-CN"/>
        </w:rPr>
        <w:t>%，执行率得分3.94分，资金管理情况得分20分，成本指标得分10分，产出指标得分28.38分，效益指标得分24.57分，满意度指标得分5分，自评得分91.89分。扣分的主要原因在于预算执行率不高，</w:t>
      </w:r>
      <w:r>
        <w:rPr>
          <w:rFonts w:hint="eastAsia" w:ascii="仿宋_GB2312"/>
          <w:sz w:val="32"/>
          <w:szCs w:val="32"/>
          <w:highlight w:val="none"/>
          <w:lang w:eastAsia="zh-CN"/>
        </w:rPr>
        <w:t>项目支出坚持“按需支出、厉行节约”原则，部分计划活动通过资源整合压减了支出规模，同时培训频次由两次调整为一次，相应减少了经费开支。</w:t>
      </w:r>
    </w:p>
    <w:p w14:paraId="0BD0F88B">
      <w:pPr>
        <w:pStyle w:val="11"/>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b/>
          <w:bCs/>
          <w:sz w:val="32"/>
          <w:szCs w:val="32"/>
          <w:highlight w:val="none"/>
          <w:lang w:val="en-US"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p>
    <w:p w14:paraId="61BD945A">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sz w:val="32"/>
          <w:szCs w:val="32"/>
          <w:highlight w:val="none"/>
          <w:lang w:eastAsia="zh-CN"/>
        </w:rPr>
      </w:pPr>
      <w:r>
        <w:rPr>
          <w:rFonts w:hint="eastAsia" w:ascii="仿宋_GB2312"/>
          <w:sz w:val="32"/>
          <w:szCs w:val="32"/>
          <w:highlight w:val="none"/>
          <w:lang w:val="en-US" w:eastAsia="zh-CN"/>
        </w:rPr>
        <w:t>2025年度我部门</w:t>
      </w:r>
      <w:r>
        <w:rPr>
          <w:rFonts w:ascii="仿宋_GB2312"/>
          <w:sz w:val="32"/>
          <w:szCs w:val="32"/>
          <w:highlight w:val="none"/>
          <w:lang w:eastAsia="zh-CN"/>
        </w:rPr>
        <w:t>项目</w:t>
      </w:r>
      <w:r>
        <w:rPr>
          <w:rFonts w:hint="eastAsia" w:ascii="仿宋_GB2312"/>
          <w:sz w:val="32"/>
          <w:szCs w:val="32"/>
          <w:highlight w:val="none"/>
          <w:lang w:val="en-US" w:eastAsia="zh-CN"/>
        </w:rPr>
        <w:t>执行率平均得分7.41分，资金管理情况平均得分20分，成本指标平均得分8.95分，产出指标平均得分28.20分，效益指标平均得分23.66分，满意度指标平均得分4.74分</w:t>
      </w:r>
      <w:r>
        <w:rPr>
          <w:rFonts w:ascii="仿宋_GB2312"/>
          <w:sz w:val="32"/>
          <w:szCs w:val="32"/>
          <w:highlight w:val="none"/>
          <w:lang w:eastAsia="zh-CN"/>
        </w:rPr>
        <w:t>，自评平均得分</w:t>
      </w:r>
      <w:r>
        <w:rPr>
          <w:rFonts w:hint="eastAsia" w:ascii="仿宋_GB2312"/>
          <w:sz w:val="32"/>
          <w:szCs w:val="32"/>
          <w:highlight w:val="none"/>
          <w:lang w:val="en-US" w:eastAsia="zh-CN"/>
        </w:rPr>
        <w:t>92.96</w:t>
      </w:r>
      <w:r>
        <w:rPr>
          <w:rFonts w:ascii="仿宋_GB2312"/>
          <w:sz w:val="32"/>
          <w:szCs w:val="32"/>
          <w:highlight w:val="none"/>
          <w:lang w:eastAsia="zh-CN"/>
        </w:rPr>
        <w:t>分，得分为优，90-100分项目</w:t>
      </w:r>
      <w:r>
        <w:rPr>
          <w:rFonts w:hint="eastAsia" w:ascii="仿宋_GB2312"/>
          <w:sz w:val="32"/>
          <w:szCs w:val="32"/>
          <w:highlight w:val="none"/>
          <w:lang w:val="en-US" w:eastAsia="zh-CN"/>
        </w:rPr>
        <w:t>17</w:t>
      </w:r>
      <w:r>
        <w:rPr>
          <w:rFonts w:ascii="仿宋_GB2312"/>
          <w:sz w:val="32"/>
          <w:szCs w:val="32"/>
          <w:highlight w:val="none"/>
          <w:lang w:eastAsia="zh-CN"/>
        </w:rPr>
        <w:t>个，60-80分项目</w:t>
      </w:r>
      <w:r>
        <w:rPr>
          <w:rFonts w:hint="eastAsia" w:ascii="仿宋_GB2312"/>
          <w:sz w:val="32"/>
          <w:szCs w:val="32"/>
          <w:highlight w:val="none"/>
          <w:lang w:val="en-US" w:eastAsia="zh-CN"/>
        </w:rPr>
        <w:t>1</w:t>
      </w:r>
      <w:r>
        <w:rPr>
          <w:rFonts w:ascii="仿宋_GB2312"/>
          <w:sz w:val="32"/>
          <w:szCs w:val="32"/>
          <w:highlight w:val="none"/>
          <w:lang w:eastAsia="zh-CN"/>
        </w:rPr>
        <w:t>个</w:t>
      </w:r>
      <w:r>
        <w:rPr>
          <w:rFonts w:hint="eastAsia" w:ascii="仿宋_GB2312"/>
          <w:sz w:val="32"/>
          <w:szCs w:val="32"/>
          <w:highlight w:val="none"/>
          <w:lang w:eastAsia="zh-CN"/>
        </w:rPr>
        <w:t>，</w:t>
      </w:r>
      <w:r>
        <w:rPr>
          <w:rFonts w:hint="eastAsia" w:ascii="仿宋_GB2312"/>
          <w:sz w:val="32"/>
          <w:szCs w:val="32"/>
          <w:highlight w:val="none"/>
          <w:lang w:val="en-US" w:eastAsia="zh-CN"/>
        </w:rPr>
        <w:t>60分以下项目1个，</w:t>
      </w:r>
      <w:r>
        <w:rPr>
          <w:rFonts w:hint="eastAsia" w:ascii="仿宋_GB2312"/>
          <w:sz w:val="32"/>
          <w:szCs w:val="32"/>
          <w:highlight w:val="none"/>
          <w:lang w:eastAsia="zh-CN"/>
        </w:rPr>
        <w:t>项目整体评价较好</w:t>
      </w:r>
      <w:r>
        <w:rPr>
          <w:rFonts w:ascii="仿宋_GB2312"/>
          <w:sz w:val="32"/>
          <w:szCs w:val="32"/>
          <w:highlight w:val="none"/>
          <w:lang w:eastAsia="zh-CN"/>
        </w:rPr>
        <w:t>。</w:t>
      </w:r>
    </w:p>
    <w:p w14:paraId="0CD7D70D">
      <w:pPr>
        <w:pStyle w:val="11"/>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061AFB9E">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sz w:val="32"/>
          <w:szCs w:val="32"/>
        </w:rPr>
      </w:pPr>
      <w:r>
        <w:rPr>
          <w:rFonts w:ascii="仿宋_GB2312"/>
          <w:sz w:val="32"/>
          <w:szCs w:val="32"/>
          <w:highlight w:val="none"/>
          <w:lang w:eastAsia="zh-CN"/>
        </w:rPr>
        <w:t>202</w:t>
      </w:r>
      <w:r>
        <w:rPr>
          <w:rFonts w:hint="eastAsia" w:ascii="仿宋_GB2312"/>
          <w:sz w:val="32"/>
          <w:szCs w:val="32"/>
          <w:highlight w:val="none"/>
          <w:lang w:val="en-US" w:eastAsia="zh-CN"/>
        </w:rPr>
        <w:t>5</w:t>
      </w:r>
      <w:r>
        <w:rPr>
          <w:rFonts w:ascii="仿宋_GB2312"/>
          <w:sz w:val="32"/>
          <w:szCs w:val="32"/>
          <w:highlight w:val="none"/>
          <w:lang w:eastAsia="zh-CN"/>
        </w:rPr>
        <w:t>年度我</w:t>
      </w:r>
      <w:r>
        <w:rPr>
          <w:rFonts w:hint="eastAsia" w:ascii="仿宋_GB2312"/>
          <w:sz w:val="32"/>
          <w:szCs w:val="32"/>
          <w:highlight w:val="none"/>
          <w:lang w:eastAsia="zh-CN"/>
        </w:rPr>
        <w:t>部门</w:t>
      </w:r>
      <w:r>
        <w:rPr>
          <w:rFonts w:ascii="仿宋_GB2312"/>
          <w:sz w:val="32"/>
          <w:szCs w:val="32"/>
          <w:highlight w:val="none"/>
          <w:lang w:eastAsia="zh-CN"/>
        </w:rPr>
        <w:t>偏差较大项目</w:t>
      </w:r>
      <w:r>
        <w:rPr>
          <w:rFonts w:hint="eastAsia" w:ascii="仿宋_GB2312"/>
          <w:sz w:val="32"/>
          <w:szCs w:val="32"/>
          <w:highlight w:val="none"/>
          <w:lang w:eastAsia="zh-CN"/>
        </w:rPr>
        <w:t>为</w:t>
      </w:r>
      <w:r>
        <w:rPr>
          <w:rFonts w:hint="eastAsia"/>
          <w:sz w:val="32"/>
          <w:szCs w:val="32"/>
        </w:rPr>
        <w:t>2025年许昌市推动城乡融合共同富裕先行试验区建设专题研讨培训班专项经费</w:t>
      </w:r>
      <w:r>
        <w:rPr>
          <w:rFonts w:ascii="仿宋_GB2312"/>
          <w:sz w:val="32"/>
          <w:szCs w:val="32"/>
          <w:highlight w:val="none"/>
          <w:lang w:eastAsia="zh-CN"/>
        </w:rPr>
        <w:t>，该项目自评得分</w:t>
      </w:r>
      <w:r>
        <w:rPr>
          <w:rFonts w:hint="eastAsia" w:ascii="仿宋_GB2312"/>
          <w:sz w:val="32"/>
          <w:szCs w:val="32"/>
          <w:highlight w:val="none"/>
          <w:lang w:val="en-US" w:eastAsia="zh-CN"/>
        </w:rPr>
        <w:t>25</w:t>
      </w:r>
      <w:r>
        <w:rPr>
          <w:rFonts w:ascii="仿宋_GB2312"/>
          <w:sz w:val="32"/>
          <w:szCs w:val="32"/>
          <w:highlight w:val="none"/>
          <w:lang w:eastAsia="zh-CN"/>
        </w:rPr>
        <w:t>分。</w:t>
      </w:r>
      <w:r>
        <w:rPr>
          <w:rFonts w:hint="eastAsia" w:ascii="仿宋_GB2312"/>
          <w:sz w:val="32"/>
          <w:szCs w:val="32"/>
          <w:highlight w:val="none"/>
          <w:lang w:eastAsia="zh-CN"/>
        </w:rPr>
        <w:t>预算金额</w:t>
      </w:r>
      <w:r>
        <w:rPr>
          <w:rFonts w:hint="eastAsia" w:ascii="仿宋_GB2312"/>
          <w:sz w:val="32"/>
          <w:szCs w:val="32"/>
          <w:highlight w:val="none"/>
          <w:lang w:val="en-US" w:eastAsia="zh-CN"/>
        </w:rPr>
        <w:t>14万元，实际执行0万元，</w:t>
      </w:r>
      <w:r>
        <w:rPr>
          <w:rFonts w:ascii="仿宋_GB2312"/>
          <w:sz w:val="32"/>
          <w:szCs w:val="32"/>
          <w:highlight w:val="none"/>
          <w:lang w:eastAsia="zh-CN"/>
        </w:rPr>
        <w:t>产生偏差的主要原因</w:t>
      </w:r>
      <w:r>
        <w:rPr>
          <w:rFonts w:hint="eastAsia" w:ascii="仿宋_GB2312"/>
          <w:sz w:val="32"/>
          <w:szCs w:val="32"/>
          <w:highlight w:val="none"/>
          <w:lang w:eastAsia="zh-CN"/>
        </w:rPr>
        <w:t>是</w:t>
      </w:r>
      <w:r>
        <w:rPr>
          <w:rFonts w:hint="eastAsia"/>
          <w:sz w:val="32"/>
          <w:szCs w:val="32"/>
        </w:rPr>
        <w:t>市委市政府工作重点发生变化，城乡融合共同富裕先行试验区不再作为重点工作，经与市委组织部对接，培训班不再举办。</w:t>
      </w:r>
    </w:p>
    <w:p w14:paraId="2971AE7D">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0754A722">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sz w:val="32"/>
          <w:szCs w:val="32"/>
          <w:highlight w:val="none"/>
          <w:lang w:eastAsia="zh-CN"/>
        </w:rPr>
      </w:pPr>
      <w:r>
        <w:rPr>
          <w:rFonts w:ascii="仿宋_GB2312"/>
          <w:sz w:val="32"/>
          <w:szCs w:val="32"/>
          <w:highlight w:val="none"/>
        </w:rPr>
        <w:t>自评发现，我</w:t>
      </w:r>
      <w:r>
        <w:rPr>
          <w:rFonts w:hint="eastAsia" w:ascii="仿宋_GB2312"/>
          <w:sz w:val="32"/>
          <w:szCs w:val="32"/>
          <w:highlight w:val="none"/>
          <w:lang w:eastAsia="zh-CN"/>
        </w:rPr>
        <w:t>部门</w:t>
      </w:r>
      <w:r>
        <w:rPr>
          <w:rFonts w:ascii="仿宋_GB2312"/>
          <w:sz w:val="32"/>
          <w:szCs w:val="32"/>
          <w:highlight w:val="none"/>
        </w:rPr>
        <w:t>绩效目标</w:t>
      </w:r>
      <w:r>
        <w:rPr>
          <w:rFonts w:hint="eastAsia" w:ascii="仿宋_GB2312"/>
          <w:sz w:val="32"/>
          <w:szCs w:val="32"/>
          <w:highlight w:val="none"/>
          <w:lang w:eastAsia="zh-CN"/>
        </w:rPr>
        <w:t>存在的主要问题</w:t>
      </w:r>
      <w:r>
        <w:rPr>
          <w:rFonts w:ascii="仿宋_GB2312"/>
          <w:sz w:val="32"/>
          <w:szCs w:val="32"/>
          <w:highlight w:val="none"/>
        </w:rPr>
        <w:t>主要有以下</w:t>
      </w:r>
      <w:r>
        <w:rPr>
          <w:rFonts w:hint="eastAsia" w:ascii="仿宋_GB2312"/>
          <w:sz w:val="32"/>
          <w:szCs w:val="32"/>
          <w:highlight w:val="none"/>
          <w:lang w:eastAsia="zh-CN"/>
        </w:rPr>
        <w:t>两</w:t>
      </w:r>
      <w:r>
        <w:rPr>
          <w:rFonts w:ascii="仿宋_GB2312"/>
          <w:sz w:val="32"/>
          <w:szCs w:val="32"/>
          <w:highlight w:val="none"/>
        </w:rPr>
        <w:t>个方面</w:t>
      </w:r>
      <w:r>
        <w:rPr>
          <w:rFonts w:hint="eastAsia" w:ascii="仿宋_GB2312"/>
          <w:sz w:val="32"/>
          <w:szCs w:val="32"/>
          <w:highlight w:val="none"/>
          <w:lang w:eastAsia="zh-CN"/>
        </w:rPr>
        <w:t>：</w:t>
      </w:r>
    </w:p>
    <w:p w14:paraId="4730E3F4">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ascii="仿宋_GB2312"/>
          <w:sz w:val="32"/>
          <w:szCs w:val="32"/>
          <w:highlight w:val="none"/>
        </w:rPr>
      </w:pPr>
      <w:r>
        <w:rPr>
          <w:rFonts w:hint="eastAsia" w:ascii="仿宋_GB2312"/>
          <w:sz w:val="32"/>
          <w:szCs w:val="32"/>
          <w:highlight w:val="none"/>
          <w:lang w:val="en-US" w:eastAsia="zh-CN"/>
        </w:rPr>
        <w:t xml:space="preserve">    (一）</w:t>
      </w:r>
      <w:r>
        <w:rPr>
          <w:rFonts w:ascii="仿宋_GB2312"/>
          <w:sz w:val="32"/>
          <w:szCs w:val="32"/>
          <w:highlight w:val="none"/>
        </w:rPr>
        <w:t>项目正在进行中，资金需结转至下年初结算</w:t>
      </w:r>
      <w:r>
        <w:rPr>
          <w:rFonts w:hint="eastAsia" w:ascii="仿宋_GB2312"/>
          <w:sz w:val="32"/>
          <w:szCs w:val="32"/>
          <w:highlight w:val="none"/>
          <w:lang w:eastAsia="zh-CN"/>
        </w:rPr>
        <w:t>。如</w:t>
      </w:r>
      <w:r>
        <w:rPr>
          <w:rFonts w:hint="eastAsia"/>
          <w:sz w:val="32"/>
          <w:szCs w:val="32"/>
        </w:rPr>
        <w:t>《许港产业带发展规划（2025-2035年）》编制费</w:t>
      </w:r>
      <w:r>
        <w:rPr>
          <w:rFonts w:hint="eastAsia"/>
          <w:sz w:val="32"/>
          <w:szCs w:val="32"/>
          <w:lang w:eastAsia="zh-CN"/>
        </w:rPr>
        <w:t>，</w:t>
      </w:r>
      <w:r>
        <w:rPr>
          <w:rFonts w:hint="eastAsia"/>
          <w:sz w:val="32"/>
          <w:szCs w:val="32"/>
          <w:lang w:val="en-US" w:eastAsia="zh-CN"/>
        </w:rPr>
        <w:t>项目预算95万元，实际执行46万元；</w:t>
      </w:r>
      <w:r>
        <w:rPr>
          <w:rFonts w:hint="eastAsia"/>
          <w:sz w:val="32"/>
          <w:szCs w:val="32"/>
        </w:rPr>
        <w:t>《许昌市国民经济和社会发展第十五个五年规划纲要》编制费</w:t>
      </w:r>
      <w:r>
        <w:rPr>
          <w:rFonts w:hint="eastAsia"/>
          <w:sz w:val="32"/>
          <w:szCs w:val="32"/>
          <w:lang w:eastAsia="zh-CN"/>
        </w:rPr>
        <w:t>，</w:t>
      </w:r>
      <w:r>
        <w:rPr>
          <w:rFonts w:hint="eastAsia" w:ascii="仿宋_GB2312"/>
          <w:sz w:val="32"/>
          <w:szCs w:val="32"/>
          <w:highlight w:val="none"/>
          <w:lang w:val="en-US" w:eastAsia="zh-CN"/>
        </w:rPr>
        <w:t>项目预算150万元，实际执行105万元，因项目正在进行中，部分款项尚未达到合同约定的支付节点，相关经费结转至下年支付</w:t>
      </w:r>
      <w:r>
        <w:rPr>
          <w:rFonts w:hint="eastAsia" w:ascii="仿宋_GB2312"/>
          <w:sz w:val="32"/>
          <w:szCs w:val="32"/>
          <w:highlight w:val="none"/>
          <w:lang w:eastAsia="zh-CN"/>
        </w:rPr>
        <w:t>。</w:t>
      </w:r>
    </w:p>
    <w:p w14:paraId="00CC75E9">
      <w:pPr>
        <w:pStyle w:val="11"/>
        <w:keepNext w:val="0"/>
        <w:keepLines w:val="0"/>
        <w:pageBreakBefore w:val="0"/>
        <w:widowControl w:val="0"/>
        <w:kinsoku/>
        <w:wordWrap/>
        <w:overflowPunct/>
        <w:topLinePunct w:val="0"/>
        <w:autoSpaceDE/>
        <w:autoSpaceDN/>
        <w:bidi w:val="0"/>
        <w:adjustRightInd/>
        <w:snapToGrid/>
        <w:spacing w:line="560" w:lineRule="exact"/>
        <w:ind w:firstLine="587"/>
        <w:textAlignment w:val="auto"/>
        <w:rPr>
          <w:rFonts w:hint="eastAsia" w:ascii="仿宋_GB2312"/>
          <w:sz w:val="32"/>
          <w:szCs w:val="32"/>
          <w:highlight w:val="none"/>
          <w:lang w:val="en-US" w:eastAsia="zh-CN"/>
        </w:rPr>
      </w:pPr>
      <w:r>
        <w:rPr>
          <w:rFonts w:hint="eastAsia" w:ascii="仿宋_GB2312"/>
          <w:sz w:val="32"/>
          <w:szCs w:val="32"/>
          <w:highlight w:val="none"/>
          <w:lang w:val="en-US" w:eastAsia="zh-CN"/>
        </w:rPr>
        <w:t>（二）</w:t>
      </w:r>
      <w:r>
        <w:rPr>
          <w:rFonts w:ascii="仿宋_GB2312"/>
          <w:sz w:val="32"/>
          <w:szCs w:val="32"/>
          <w:highlight w:val="none"/>
        </w:rPr>
        <w:t>预算安排合理性不够，资金实际执行程度较低</w:t>
      </w:r>
      <w:r>
        <w:rPr>
          <w:rFonts w:hint="eastAsia" w:ascii="仿宋_GB2312"/>
          <w:sz w:val="32"/>
          <w:szCs w:val="32"/>
          <w:highlight w:val="none"/>
          <w:lang w:eastAsia="zh-CN"/>
        </w:rPr>
        <w:t>。如</w:t>
      </w:r>
      <w:r>
        <w:rPr>
          <w:rFonts w:hint="eastAsia"/>
          <w:sz w:val="32"/>
          <w:szCs w:val="32"/>
        </w:rPr>
        <w:t>2025年许昌市推动城乡融合共同富裕先行试验区建设专题研讨培训班专项经费</w:t>
      </w:r>
      <w:r>
        <w:rPr>
          <w:rFonts w:hint="eastAsia"/>
          <w:sz w:val="32"/>
          <w:szCs w:val="32"/>
          <w:lang w:eastAsia="zh-CN"/>
        </w:rPr>
        <w:t>，</w:t>
      </w:r>
      <w:r>
        <w:rPr>
          <w:rFonts w:hint="eastAsia"/>
          <w:sz w:val="32"/>
          <w:szCs w:val="32"/>
          <w:lang w:val="en-US" w:eastAsia="zh-CN"/>
        </w:rPr>
        <w:t>项目预算14万元</w:t>
      </w:r>
      <w:r>
        <w:rPr>
          <w:rFonts w:hint="eastAsia" w:ascii="仿宋_GB2312"/>
          <w:sz w:val="32"/>
          <w:szCs w:val="32"/>
          <w:highlight w:val="none"/>
          <w:lang w:val="en-US" w:eastAsia="zh-CN"/>
        </w:rPr>
        <w:t>，实际执行0万元</w:t>
      </w:r>
      <w:r>
        <w:rPr>
          <w:rFonts w:hint="eastAsia" w:ascii="仿宋_GB2312"/>
          <w:sz w:val="32"/>
          <w:szCs w:val="32"/>
          <w:highlight w:val="none"/>
          <w:lang w:eastAsia="zh-CN"/>
        </w:rPr>
        <w:t>；</w:t>
      </w:r>
      <w:r>
        <w:rPr>
          <w:rFonts w:hint="eastAsia" w:ascii="仿宋_GB2312"/>
          <w:sz w:val="32"/>
          <w:szCs w:val="32"/>
          <w:highlight w:val="none"/>
          <w:lang w:val="en-US" w:eastAsia="zh-CN"/>
        </w:rPr>
        <w:t>优化营商环境专项培训经费，项目预算16.5万元，实际执行0万元。</w:t>
      </w:r>
    </w:p>
    <w:p w14:paraId="7456CF71">
      <w:pPr>
        <w:pStyle w:val="11"/>
        <w:keepNext w:val="0"/>
        <w:keepLines w:val="0"/>
        <w:pageBreakBefore w:val="0"/>
        <w:widowControl w:val="0"/>
        <w:kinsoku/>
        <w:wordWrap/>
        <w:overflowPunct/>
        <w:topLinePunct w:val="0"/>
        <w:autoSpaceDE/>
        <w:autoSpaceDN/>
        <w:bidi w:val="0"/>
        <w:adjustRightInd/>
        <w:snapToGrid/>
        <w:spacing w:line="560" w:lineRule="exact"/>
        <w:ind w:firstLine="587"/>
        <w:textAlignment w:val="auto"/>
        <w:rPr>
          <w:rFonts w:ascii="仿宋_GB2312"/>
          <w:sz w:val="32"/>
          <w:szCs w:val="32"/>
          <w:highlight w:val="none"/>
        </w:rPr>
      </w:pPr>
      <w:r>
        <w:rPr>
          <w:rFonts w:ascii="仿宋_GB2312"/>
          <w:sz w:val="32"/>
          <w:szCs w:val="32"/>
          <w:highlight w:val="none"/>
        </w:rPr>
        <w:t>针对以上问题，我</w:t>
      </w:r>
      <w:r>
        <w:rPr>
          <w:rFonts w:hint="eastAsia" w:ascii="仿宋_GB2312"/>
          <w:sz w:val="32"/>
          <w:szCs w:val="32"/>
          <w:highlight w:val="none"/>
          <w:lang w:eastAsia="zh-CN"/>
        </w:rPr>
        <w:t>部门</w:t>
      </w:r>
      <w:r>
        <w:rPr>
          <w:rFonts w:ascii="仿宋_GB2312"/>
          <w:sz w:val="32"/>
          <w:szCs w:val="32"/>
          <w:highlight w:val="none"/>
        </w:rPr>
        <w:t>在今后将提高预算编制和使用效率，当年度进行的项目，尽量在当年完成，确保资金能及时支付</w:t>
      </w:r>
      <w:r>
        <w:rPr>
          <w:rFonts w:hint="eastAsia" w:ascii="仿宋_GB2312"/>
          <w:sz w:val="32"/>
          <w:szCs w:val="32"/>
          <w:highlight w:val="none"/>
          <w:lang w:eastAsia="zh-CN"/>
        </w:rPr>
        <w:t>；</w:t>
      </w:r>
      <w:r>
        <w:rPr>
          <w:rFonts w:ascii="仿宋_GB2312"/>
          <w:sz w:val="32"/>
          <w:szCs w:val="32"/>
          <w:highlight w:val="none"/>
        </w:rPr>
        <w:t>在预算编制时，充分考虑单位的实际情况，全面评估单位可能产生的费用</w:t>
      </w:r>
      <w:r>
        <w:rPr>
          <w:rFonts w:hint="eastAsia" w:ascii="仿宋_GB2312"/>
          <w:sz w:val="32"/>
          <w:szCs w:val="32"/>
          <w:highlight w:val="none"/>
          <w:lang w:eastAsia="zh-CN"/>
        </w:rPr>
        <w:t>；做好资金支付的年度和季度安排，加强用款业务科室沟通对接，</w:t>
      </w:r>
      <w:r>
        <w:rPr>
          <w:rFonts w:ascii="仿宋_GB2312"/>
          <w:sz w:val="32"/>
          <w:szCs w:val="32"/>
          <w:highlight w:val="none"/>
        </w:rPr>
        <w:t>进一步提高预算的科学性和准确性。</w:t>
      </w:r>
    </w:p>
    <w:p w14:paraId="61882BF0">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五</w:t>
      </w:r>
      <w:r>
        <w:rPr>
          <w:rFonts w:hint="eastAsia" w:ascii="黑体" w:hAnsi="黑体" w:eastAsia="黑体" w:cs="黑体"/>
          <w:bCs/>
          <w:sz w:val="32"/>
          <w:szCs w:val="32"/>
          <w:highlight w:val="none"/>
        </w:rPr>
        <w:t>、绩效自评结果拟应用和公开情况</w:t>
      </w:r>
    </w:p>
    <w:p w14:paraId="6FD231D2">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Times New Roman" w:cs="Times New Roman"/>
          <w:sz w:val="32"/>
          <w:szCs w:val="32"/>
          <w:highlight w:val="none"/>
        </w:rPr>
      </w:pPr>
      <w:r>
        <w:rPr>
          <w:rFonts w:hint="eastAsia" w:ascii="仿宋_GB2312" w:hAnsi="仿宋_GB2312" w:eastAsia="仿宋_GB2312" w:cs="仿宋_GB2312"/>
          <w:bCs/>
          <w:sz w:val="32"/>
          <w:szCs w:val="32"/>
          <w:highlight w:val="none"/>
        </w:rPr>
        <w:t>针对自评发现的问题，我</w:t>
      </w:r>
      <w:r>
        <w:rPr>
          <w:rFonts w:hint="eastAsia" w:ascii="仿宋_GB2312" w:hAnsi="仿宋_GB2312" w:cs="仿宋_GB2312"/>
          <w:bCs/>
          <w:sz w:val="32"/>
          <w:szCs w:val="32"/>
          <w:highlight w:val="none"/>
          <w:lang w:eastAsia="zh-CN"/>
        </w:rPr>
        <w:t>部门</w:t>
      </w:r>
      <w:r>
        <w:rPr>
          <w:rFonts w:hint="eastAsia" w:ascii="仿宋_GB2312" w:hAnsi="仿宋_GB2312" w:eastAsia="仿宋_GB2312" w:cs="仿宋_GB2312"/>
          <w:bCs/>
          <w:sz w:val="32"/>
          <w:szCs w:val="32"/>
          <w:highlight w:val="none"/>
        </w:rPr>
        <w:t>将强化结果反馈与整改落实，</w:t>
      </w:r>
      <w:r>
        <w:rPr>
          <w:rFonts w:hint="eastAsia" w:ascii="仿宋_GB2312" w:hAnsi="仿宋_GB2312" w:cs="仿宋_GB2312"/>
          <w:bCs/>
          <w:sz w:val="32"/>
          <w:szCs w:val="32"/>
          <w:highlight w:val="none"/>
          <w:lang w:eastAsia="zh-CN"/>
        </w:rPr>
        <w:t>将</w:t>
      </w:r>
      <w:r>
        <w:rPr>
          <w:rFonts w:ascii="仿宋_GB2312" w:hAnsi="Times New Roman" w:cs="Times New Roman"/>
          <w:sz w:val="32"/>
          <w:szCs w:val="32"/>
          <w:highlight w:val="none"/>
        </w:rPr>
        <w:t>本年度项目绩效自评结果将运用到以后年度预算编制工作中，作为改进预算编制和预算执行的重要依据。通过定期评估项目绩效，可以及时发现问题，采取纠正措施，确保项目按计划执行，实现预期目标。绩效自评结果将按照有关要求在门户网站上予以公开。</w:t>
      </w:r>
    </w:p>
    <w:p w14:paraId="7559E69A">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224F9F5A">
      <w:pPr>
        <w:pStyle w:val="11"/>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highlight w:val="none"/>
          <w:lang w:eastAsia="zh-CN"/>
        </w:rPr>
      </w:pPr>
      <w:r>
        <w:rPr>
          <w:rFonts w:hint="eastAsia"/>
          <w:sz w:val="32"/>
          <w:szCs w:val="32"/>
          <w:highlight w:val="none"/>
          <w:lang w:eastAsia="zh-CN"/>
        </w:rPr>
        <w:t>无</w:t>
      </w:r>
    </w:p>
    <w:p w14:paraId="1E038B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仿宋_GB2312"/>
          <w:lang w:eastAsia="zh-CN"/>
        </w:rPr>
        <w:sectPr>
          <w:pgSz w:w="11906" w:h="16838"/>
          <w:pgMar w:top="1440" w:right="1800" w:bottom="1440" w:left="1800" w:header="851" w:footer="992" w:gutter="0"/>
          <w:pgNumType w:fmt="numberInDash"/>
          <w:cols w:space="720" w:num="1"/>
          <w:docGrid w:type="lines" w:linePitch="312" w:charSpace="0"/>
        </w:sectPr>
      </w:pPr>
    </w:p>
    <w:p w14:paraId="06BB7B81">
      <w:pPr>
        <w:pStyle w:val="2"/>
      </w:pPr>
    </w:p>
    <w:tbl>
      <w:tblPr>
        <w:tblStyle w:val="5"/>
        <w:tblW w:w="5000" w:type="pct"/>
        <w:jc w:val="center"/>
        <w:tblLayout w:type="autofit"/>
        <w:tblCellMar>
          <w:top w:w="0" w:type="dxa"/>
          <w:left w:w="20" w:type="dxa"/>
          <w:bottom w:w="0" w:type="dxa"/>
          <w:right w:w="20" w:type="dxa"/>
        </w:tblCellMar>
      </w:tblPr>
      <w:tblGrid>
        <w:gridCol w:w="377"/>
        <w:gridCol w:w="772"/>
        <w:gridCol w:w="1565"/>
        <w:gridCol w:w="1092"/>
        <w:gridCol w:w="756"/>
        <w:gridCol w:w="2842"/>
        <w:gridCol w:w="123"/>
        <w:gridCol w:w="756"/>
        <w:gridCol w:w="398"/>
        <w:gridCol w:w="610"/>
        <w:gridCol w:w="328"/>
        <w:gridCol w:w="692"/>
        <w:gridCol w:w="3687"/>
      </w:tblGrid>
      <w:tr w14:paraId="7D61B801">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45844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44FAC2F2">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7C00A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122BB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【统筹本级】许昌东站至北京西站高铁列车开行奖励补贴</w:t>
            </w:r>
          </w:p>
        </w:tc>
      </w:tr>
      <w:tr w14:paraId="50BE7D2C">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A630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7678F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D269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0DC65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39AD8250">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782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6C57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6929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5695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FC21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A4D6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E2EB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7E97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F3887B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40B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76D8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EAC8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4183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FC17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1CF5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FBF6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0BB1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560B78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EB3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C36A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86FD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4223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3CE2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96F0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8F5C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13DC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47A09A">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976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979E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DAB8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03AB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F005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0372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FBAF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B3977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A8F74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136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A2FE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D312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4B87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3F98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DDFB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DCB4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361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10CCA4">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DC0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5527F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1761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F9B7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3345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1447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746226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A47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732AD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7EA9D2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根据市政府与铁路集团签订合同金额安排资金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A265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FCB7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DC606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24900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438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48AAE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A172FF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61AC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5FD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A6CDB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558F6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E35C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414B4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8EAD8A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资金专项用于高铁列车开行奖励补贴</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1E34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8661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125DA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3A744E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6E0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F208F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299F54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38CA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0C56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204E3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36AA8F">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E7D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4EBB3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2D6B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73D3C0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A94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5F783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充分挖掘铁路运输能力，发挥铁路安全、低碳、环保优势，方便人民群众出行，促进区域经济发展，自2017年9月21日起每日开行许昌东站至北京西站高铁列车（G554次），每年开行奖励补贴1000万元，保障我市市民到北京政务、商务、就医、求学、务工等刚性出行需求，提升地方政府良好形象。</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1B6A6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方便我市人民群众出行，提升了政府服务形象，促进许昌地区经济、旅游发展。</w:t>
            </w:r>
          </w:p>
        </w:tc>
      </w:tr>
      <w:tr w14:paraId="59EFBA0B">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51EF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0930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C233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D4F3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A930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517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9F0C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6D6A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2915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3DC7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CE2DD9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846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CCFE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0305F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9851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每年开行奖励</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6879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765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4E2F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34D9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A760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0CA1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6FAF6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C34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AA8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45499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2E6C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BDD5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4238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0B93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E0A0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B8A7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95BB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A6649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AE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FC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BC6E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E10D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CC2D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A237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0AA8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E6AF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5802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F9B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A3739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BA0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30C4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5746D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E3A4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每日开行车次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F046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65EB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F5A3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4A5A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A11C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4B8B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36F60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06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99A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02F2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13F5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日均乘车人数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555FA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940D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300人/次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4EF5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D304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B7CB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F096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FAC3F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34D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8BF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BF63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7BAA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列车运行服务质量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1983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设施齐全、车容整洁、状况良好、出行安全</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5C0D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0FA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DCC3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F6B0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1266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FE7C4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B95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07B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841B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06CF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发车时间准时</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8441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8时57分</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BB90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0144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895F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3275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38947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D0DEA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98A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5A3E2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218E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C14C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促进区域发展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78D9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有效促进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E9B4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6860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8BA3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3E8F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A20E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B41F8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D33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9D4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6A85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FA18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提升政府形象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BFEF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897B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786D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B3DC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1C03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06E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30D0E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25D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ADD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4E29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7CBB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发挥铁路低碳环保优势</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9AD4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ab/>
            </w:r>
            <w:r>
              <w:rPr>
                <w:rFonts w:ascii="宋体" w:hAnsi="宋体" w:eastAsia="宋体" w:cs="宋体"/>
                <w:b w:val="0"/>
                <w:i w:val="0"/>
                <w:color w:val="auto"/>
                <w:kern w:val="2"/>
                <w:sz w:val="21"/>
                <w:szCs w:val="24"/>
                <w:lang w:val="en-US" w:eastAsia="zh-CN" w:bidi="ar-SA"/>
              </w:rPr>
              <w:t xml:space="preserve"> 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268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E86F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1087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0C05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6E54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2B87F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BF3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57E2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84C2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39D3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人民群众满意度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B4F9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D526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5B4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60310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460C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7D15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AD7A0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259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1DADE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B9F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CBD0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B3AC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FB49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8E02B6">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6D7591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4D51B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2A66C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25BCD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CF182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84D95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419316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F637A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53E9A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C931C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41A73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38563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DDF72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F8DB62">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55055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E714509">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25482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1437C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【专项资金】《许港产业带发展规划（2025-2035年）》编制费</w:t>
            </w:r>
          </w:p>
        </w:tc>
      </w:tr>
      <w:tr w14:paraId="5A315293">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004AC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27C0F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0932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08B8E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320E456E">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9BF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25A1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4DC6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449A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B1A4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A10B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6F16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478E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D9F2DA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54C2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0271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D32C8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6985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B21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4032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AC14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48.42</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1DDA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4.84</w:t>
            </w:r>
          </w:p>
        </w:tc>
      </w:tr>
      <w:tr w14:paraId="52ACA35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DE4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CF26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A489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A5EA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7E5C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4495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61A4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48.42</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F090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48F60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D18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7E98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E005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3C93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F5CE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4EEE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E3DC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01BF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5A06A7">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B80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BC5B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022F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4208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D24D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8240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B4AC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6F5B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7C699A">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B0A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6EBD9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57F7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83BB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B9FC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BA1C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E08548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458C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A6B92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E97F87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根据签订合同金额安排资金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76DF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2A3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7076A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009DF9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5B2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A2422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D9C131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3757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8E8A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D6183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A2F8B7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D4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B873F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978F96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资金专项用于许港产业带发展规划编制费用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235A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B95E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D8B21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B32E6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9AB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9B012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C01594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95BF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5515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6E8C1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960D39A">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5062C0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2960B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3B95C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526F45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11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6B357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项目编制费用主要用于以下几个方面：广泛开展调研和座谈，深入分析许港产业带发展现状、机遇和挑战，研究提出指导思想、战略定位、发展目标和路径，科学规划许港产业带空间布局，制定许港产业协同发展方向，积极构建推动产业高质量发展的支撑体系、保障能力和重点任务，形成高标准、可操作的《许港产业带发展规划（2025—2035年）》文本，为加快许港产业带建设提供规划指引。</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2513B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按照工作i进度，科学规划许港产业带空间布局，制定许港产业协同发展方向，形成高标准、可操作的《许港产业带发展规划（2025—2035年）》文本，为加快许港产业带建设提供规划指引。</w:t>
            </w:r>
          </w:p>
        </w:tc>
      </w:tr>
      <w:tr w14:paraId="1FE8AEA7">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4619F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8658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60F8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26DB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084F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C664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D170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CA8D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58D2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326E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8AA72A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864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553E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4E7D4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2BEA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项目编制费用投入</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67F9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17EC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BCE7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445E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03CB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1BEE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420E0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46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AE7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2D797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1141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E2B7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97F7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848C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5BBD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762A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2E01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5CC3C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C14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B62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3537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C1A2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94A4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C95B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509B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3796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4960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132B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361F1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5B5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53F41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5CBD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9AC2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完成《许港产业带发展规划（2025-2035年）》文本</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FD20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D0C3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42B6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E0EF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EB55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F75A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D8531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42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614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03BD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58B8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《许港产业带发展规划（2025-2035年）》评审通过率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EA06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1445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6180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90BC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862D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8A26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27BA2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BE5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5EA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6CB4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0F66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《许港产业带发展规划（2025-2035年）》编制完成时间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1D38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2025年10月</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E38C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5CEE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A530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AC98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B90A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5E3F5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BD68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7C7D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67CEA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7E68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城乡融合发展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4CD0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不断增强</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4B19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2D99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592A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F648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2047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5B973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590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9F6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BDB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C49F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空间布局合理</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38CD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科学优化</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F31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9D0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EA3F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4DB1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080B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92DEF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073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914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8F4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ACB9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经济高质量发展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3BDF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01D5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DEAF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5DE3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E19E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8A49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F8A27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B37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96E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002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4256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创新驱动发展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167C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充分激活</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372E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FC94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7464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A339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1F5E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6052B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A43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53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E37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786A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现代化产业体系</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1EBE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8A98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497E0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6D0C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5FF4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C98F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1EF04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7A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0C7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4FD8E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2D8A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报告成果利用率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9184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2C47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53EC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E028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B9ED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14F2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AEC2E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7BF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C60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29C5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EDF8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推进绿色低碳发展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E525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有效推动</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7C3A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EF44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C10D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2802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FC65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A0DB7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499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A912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24A5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1E77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《许港产业带发展规划（2025-2035年）》涉及部门满意度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5A4DC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17BA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EEA9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ACC3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188F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135B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785B6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7ED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255F4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C3E5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B28A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94.84</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FA78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B4DC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25F46B">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55B57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E769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F019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6174A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4CCF8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55F9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5AB8A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0A56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3A84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71B8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D193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F544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AB5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BFF7E">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4815C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776A964">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3C88E7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7DFCE9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EF7B9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50CB0F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4FB56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3BF2E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4F46C6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43902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9C323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407C1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95536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E0CA7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5D89B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2D35E3C">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19963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13980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【统筹本级】许昌市热力生产企业及中心城区热力经营企业生产（运营）成本及经营状况咨询服务项目经费</w:t>
            </w:r>
          </w:p>
        </w:tc>
      </w:tr>
      <w:tr w14:paraId="26F8CE8A">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2398B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60C70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67D4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661DB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0F5DB04B">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9C17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1B5E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5E47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821E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CE1A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FBEB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6D98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3596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160BF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271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9393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0095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A4DF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7E2D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FD79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DF01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F780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83236E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71B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3971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ADD2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6EBB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64FB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0C2E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2F3B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54AE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B4DDEA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3E3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24EF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A870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1D7C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3213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434E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FAD7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21F3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316B6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D42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4D97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0B10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5404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F2B5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ACF2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4742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779C1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2D76A49">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4B53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BF589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A035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9C8E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AA06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5DD2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73FBD9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70F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E5F83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73082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根据签订合同金额安排资金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6646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0C6E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A4093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B1A4A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1A4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B65F2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06418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51AD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EAAB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3092B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4294C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42F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88BC9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41809D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资金专项用于热力企业成本及经营状况咨询服务费</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C360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9539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6E1CE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E883169">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F80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32C4F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72390A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7706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3418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D248A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72F82A8">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1EAEE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481C2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3957F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C89E3F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0FA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2D31E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为健全供暖补贴机制，完善供暖补贴政策，合理确定供暖补贴标准。</w:t>
            </w:r>
          </w:p>
          <w:p w14:paraId="4C429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目标1：核算热力生产及热力经营企业运营成本；</w:t>
            </w:r>
          </w:p>
          <w:p w14:paraId="33915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目标2：制定科学合理的补贴机制。</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0BEA5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完成我市4家热力生产企业、3家热力经营企业的财务核算及经营咨询，并提交了正式报告，出具完善供暖价格补贴机制意见，为我市完善供暖补贴政策，合理确定供暖补贴标提供依据。</w:t>
            </w:r>
          </w:p>
        </w:tc>
      </w:tr>
      <w:tr w14:paraId="610495B8">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4B081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AC04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28B5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95E3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39BD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45DD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1EB0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9D61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56C0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6282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50E678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83C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FEED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64D69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A465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服务项目费用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BE9D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6109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F577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2F77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6F5D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480F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10B33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C1B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E17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14B38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0A21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19AC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261E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7AED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05CF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4F4C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F698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84600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ED6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67B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B3CA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64A8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010E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D11D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ACD2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F1D4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F9DC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B035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389E3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9CB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1127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6D68A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533E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审计企业数量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6119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7家</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FB23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7家</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D9C2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3878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7BBB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83EE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9BC8A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B7A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A12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FC9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40DA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审计企业年度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9A72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0606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03B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AFDF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84BF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38BF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D7D69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005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67E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5504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9676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提供合理的补贴机制依据</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9578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科学严谨</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BB02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D1E4E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F879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5145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7ACD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7DBD5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F3E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3D1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A9A7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7E61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咨询服务项目完成时间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3F82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2024年底</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7EB1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1A0D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8770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714B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7840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74B54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197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B591A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D483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2F0F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5760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7054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E8E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5BEB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0223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103B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31CEC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CD2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42A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12125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C752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建立新的科学合理的供热补贴机制</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3E51A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科学合理</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F9D4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B507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7406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356E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158D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570AF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4FC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8C2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2A9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974D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保障中心城区供热运行正常平稳</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A316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7FBD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1BF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277E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3B41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4A1E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BED36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78F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95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AA2D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9EEC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3B8C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A03B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807C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79D3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EA8B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C3D6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949D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20B1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F029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735AC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651E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EF88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98C9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2FD7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1A83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D476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CD85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37410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C5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4B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62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1029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75EA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935F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FA0A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E89B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9A87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7401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2E87A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FE5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619D7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D95F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642D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4B35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4E9A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0EADCE">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427A71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1F19F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2D1C7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941FC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CBF07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C53C0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511A09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1E4FA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D6913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63AA7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8D734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FD335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D2D02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D6E433">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4E19D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23FD045">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25CA5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5D142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【上级当年-市级】2025年农产品成本调查经费</w:t>
            </w:r>
          </w:p>
        </w:tc>
      </w:tr>
      <w:tr w14:paraId="16C6BB74">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7F68A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0C224F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A651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41380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405F6240">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27F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FE84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298B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D5FC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CC66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940F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A98C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6AB8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DEF3CF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A40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407A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E1AE5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ABE4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7893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42EC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47F4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2843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A7DA9F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43D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F8C5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D337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7D18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2915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B5DC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E19C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53B3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C20ADA">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8B2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6AB8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9EDD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05F2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27B75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D7A0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DB44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4727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22F9D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9EC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4B25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E62C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25C7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B626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9BA5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2A97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7686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78969F">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2FC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937E3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B108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CB59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F7EC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2B1A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7D21B8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BD1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88BF1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2183B9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根据省发改委文件部署，按照许昌市本级市级监控点及监控种类安排资金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FA85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D267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2D32D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A3D64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A58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2CB67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C933A6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根据监控种类数量，及时拨付至各监测点</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5F39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104D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493A8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B21A1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1DE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FF9F1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8CF82D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专项用于农产品价格监测工作经费</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FE0F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5DA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BF806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E9B42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E7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FD6D2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67EF6E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B763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C594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BED0E8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B83A03">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7CADB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17DB1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36A6C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848674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8FF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53C83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全市（含各县市区）认真开展59种商品周监测、节假日价格监测及应急价格监测等工作，保障价格监测数据质量，及时发现价格异动，为政府宏观调控提供决策依据。</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55DEB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全市正常开展商品周监测及节假日价格监测工作，并及时将价格信息报送至省发改委，在相关网站上进行公示，为居民购买商品提供价格参考。</w:t>
            </w:r>
          </w:p>
        </w:tc>
      </w:tr>
      <w:tr w14:paraId="72DAC771">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6390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852C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7486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05D3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F943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6B99E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D192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EED1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B5B2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712F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46A5BA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93D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E172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5132D1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E398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价格监测工作经费</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BD90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4B8F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8AEF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8FD0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F98F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15F3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D2FA0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A79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982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A5EDE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95A9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AA2E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DFE6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AC43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81AD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347A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4F2C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0AE24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1B7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114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5BD6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AB50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723B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8F9C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E88C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E452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6F22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5EC0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A3EAA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2D15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75CD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29512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4CA2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价格监测次数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5FE1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5365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E23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32B91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3CB5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6463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C5651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94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CF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3D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33E6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监测商品种类</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9234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59种</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F2AE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59种</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326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1EE5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850B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1063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407F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11D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613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F6FD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A228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监测数据的完整性</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69A5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BAC3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4C20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0EDC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71A2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98C7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B3EED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966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19F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46BC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68AB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监测数据上报及时性</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2F9C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B467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4765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BEB1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34DD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2812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3D694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4E3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9817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27EC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73E5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提升政府宏观调控能力</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94B0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DD83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ED9B4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C11D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E9A2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D77B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445AB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113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B0C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5226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68A5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8105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2DBA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2E2F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2C4D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E3E6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E8BD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5E740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BDB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1FA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B447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03F4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D935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D6EE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EBB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F989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089C1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365D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A13F3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AB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4201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C1B3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87AA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BC28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A8A7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3FE9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92BF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8168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E6B1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38195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B3C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33BB7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2DBA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470C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CDB2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B6C5A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1F77FD">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492956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B0F85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A8E7F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6EFD56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D6D83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CD3C8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4D06EE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EE1B9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77DA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95261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F01C4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56A62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888BB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FD7E81D">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6364A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976EC22">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1F462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7CECC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【上级当年-县级】2025年农产品成本调查经费</w:t>
            </w:r>
          </w:p>
        </w:tc>
      </w:tr>
      <w:tr w14:paraId="4E2AF955">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72528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30C44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B903B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1BB7D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24896B13">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B41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3D0B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9433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2DD3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061B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18CF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ABB1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C1B3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66E52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6E7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87B5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1168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27E1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0CC2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FBBA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022E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0D6D8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592FEB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69A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FC74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1B21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4184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AC9B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CD52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C497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2432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5E0B2E">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4B9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25267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1819D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AC9D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C674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2FA4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6738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94DE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69CD07">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307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C73C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EC92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D192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22D5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1CF7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A194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7D4E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2672C9">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582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23590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847E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B64E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6FB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2628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63D34F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E57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6E97B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74B2E3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根据省发改委文件部署安排资金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09FA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B3F5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32CA5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C7B4F2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179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EC5D0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7B81AD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04E3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962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09442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C2A2E9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EAA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537F9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7138A6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专项用于农产品价格监测工作经费</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DAD6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721A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93B1C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9706C0A">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DD5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A8AD3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41789D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37CD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0D49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6A395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1F9BBEB">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40109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3803E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58CE4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B41EA1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CEF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0B119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推动许昌市建安区成本调查机构开展好农产品成本调查工作，实现保障农本数据及时准确上报，为科学制定农业政策提供重要支撑，为农业生产经营决策提供重要依据。</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5983D7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按时保质保量完成了农产品成本调查工作，及时准确上报农本数据，为科学制定农业政策提供重要支撑，为农业生产经营决策提供重要依据。</w:t>
            </w:r>
          </w:p>
        </w:tc>
      </w:tr>
      <w:tr w14:paraId="74146230">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778CA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32EB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105CB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448F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8F94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DC1A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1765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5181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A2A6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C42E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D0E2B2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A57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71F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7D15C5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3404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农产品成本调查户误工补贴费</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3E80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700元/户/品种</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4A7E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700元/户/品种</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E8A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00BA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5898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76A9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E7DAD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5BA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F5F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D886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8F74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开展每次农产品成本调查的成本</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9EC3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DAF2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0.1万元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921A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0BDB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DCA6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CA33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75D3A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310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998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2796A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911D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0DF7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463C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AA52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BE91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5E7E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796A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15B39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7400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22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60DE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F03F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B7AA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ED4A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4B26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942C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423C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1992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330A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08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03D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5FCF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98A7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组织开展成本调查次数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325F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03A2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B808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5761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83C6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F67A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DF345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E82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8C0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EA8E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744D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对省、市成本局要求的行业及品种成本调查工作完成率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9357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E847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572C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99C8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F024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9EC8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0B46C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848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6CD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E3CF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570E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农产品成本调查月报、直报 （农作物成熟后）、半年报、年报及时率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41A5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7DD5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5017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53189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FE8E3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9645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CCF97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2E1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1E699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D835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8E03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提升农本调查户收入</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04EB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B2BB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BFE1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1EA4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2A53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9E75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55D56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B1F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4E5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B3FF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7F921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进行成本调查，助力保供稳价，支持各类农副产品恢复生产率提升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B00A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CB21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5DA2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16F6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80E9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A189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519A8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8FB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CB5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294F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43E8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475A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F21D2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1E7BD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9BD0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B487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26E8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D59FF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3CC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2BDC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14B0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C0D7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成本调查对象满意度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C5FF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16BB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FF21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AAAE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2823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9DCD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091D2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9AB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5C8E9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3309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EDF5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C5835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A24D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A50866">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4D2674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6BA9B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60D75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B9A28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D5F01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D1923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5982D9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0B3F2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BD50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B53AF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B1925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A0AB2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C5BBA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BD8B683">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66199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C684A13">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3A098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53E71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【特定工作】项目评审及重点工作经费</w:t>
            </w:r>
          </w:p>
        </w:tc>
      </w:tr>
      <w:tr w14:paraId="5D0094C6">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2E4F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51365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D89A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20A57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0EDA52E1">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DC8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BB0B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812B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97BE4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3A9A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F0BC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C9A1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4454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A5C96D9">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765A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73EC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55AD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E5C3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5514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D7EF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EBB6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4E59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8.48</w:t>
            </w:r>
          </w:p>
        </w:tc>
      </w:tr>
      <w:tr w14:paraId="2BC82A6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AAF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5380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33AF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CE37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334C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9887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C66C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CFCF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2CDDD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07B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06F7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E1DF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C43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42FC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F106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5CEB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30E9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80D517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894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096D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E57B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C1D8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4BFB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0718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72A0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00C54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C1B67D">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40AC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79E1D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AB43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B699D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3AD8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E995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139AE7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5D8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3188E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E8C99A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按照以前年度单位产生的项目评审个数及金额预算安排</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F6B0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A5DE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42B92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E5F81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302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FCBC1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702B13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按照程序逐级申请项目经费，报销时凭完成附件及领导签字进行报销</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926B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8FBC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74A25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F1962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FC1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7D3FB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FFAAF9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全部用于单位产生的项目评审工作费用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6D07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7C4F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B3131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965B3E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B5A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E6E71D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AD9F60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该项目纳入预算绩效全过程绩效管理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C085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400B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E4FEC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D92C022">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7C006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7FCE2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54BBC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0563CF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DDC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767CD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项目工作经费主要用于项目评审工作及相关重点项目工作。1.项目评审工作费用；用于提高我市项目投资决策的科学性和民主性，规范投资决策过程中的咨询评估工作，保障咨询评估质量，高效完成初步设计评审、可行性研究报告评审、节能报告评审、电网项目评审等相关评审工作。2.重点项目工作费用；市发改委作为市政府经济综合协调部门，除开展正常工作外，还承担市委市政府交办重点工作任务，协调推进重点项目建设工作。</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4D195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业务科室完成项目评审48个，有效提高我市项目投资决策的科学性和民主性，规范了投资决策过程中的咨询评估工作，保障了咨询评估的质量，高效完成初步设计评审和可行性研究、节能报告评审等重点评审工作。</w:t>
            </w:r>
          </w:p>
        </w:tc>
      </w:tr>
      <w:tr w14:paraId="18A07AB9">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E4FF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7711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7819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895C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B406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94CA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8D6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5147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583F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76F8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5316D7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96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1DDEA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7EFFC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1715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项目评审及重点工作费用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729B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3506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84.75万元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9FD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7AE4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BA44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F942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F58FE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D29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194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5DE7F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7687A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220A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F9EA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5EB2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43B4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C337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6119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3D16F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89F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233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913F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EB9B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CB21E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95CD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B1AB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627A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BC4A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50005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5FB44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0F59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1AD93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01175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A310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完成可行性研究报告评审数量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1FB6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B96E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6D34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DEE2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891A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07CA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051B3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061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C82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C50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C935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完成能源项目核准次数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3E62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06C5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B8F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67DD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53D7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2D8E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EAA85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C4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9F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304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FE97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完成初步设计评审数量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CC6D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4AB9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B889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7987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D772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830D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77680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89D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0C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AF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DF28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完成节能评审数量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4C6A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8CF0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517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1E9C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54BD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8BDB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4279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3D43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AC5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730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2831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完成企业技术中心评审企业数量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3A02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B7C4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B9C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59BA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8973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BE16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13449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2BD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DD0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4E948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34EC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项目评审机构资质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2B00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乙级以上</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45F8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BE98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E3F2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BEFD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9884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66F23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A85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B02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15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D612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项目评审报告质量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8C42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3CA8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9BD6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EB9D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6FC5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DA76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68039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548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F1E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E515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16B6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DCEE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4B97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FC3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6317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A8E2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45B5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DE263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2F6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1CB20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40B3E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F401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项目投资决策的科学性和民主性</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B171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9364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B96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0F45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EB0AD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69B4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BA0D4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918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838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D6C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CD79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推进省市重点投资项目建设提速增效</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84DB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C8F8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18E7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9ED0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4AC5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6796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90C80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BD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275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677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6F4D2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抓项目扩投资促进经济稳定增长</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15B8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持续推进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AA33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EB63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CF07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6AEF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6FC0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A3260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5F8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7EB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4629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F620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促进经济高质量发展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D769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A078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6EA4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13A3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CC5A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AD2B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9F17F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1E1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3CF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72AEB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2266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提升我市能源利用效率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8A7C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73CF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EF0D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4CDD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A5CE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3931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53690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4A5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BC6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958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43F7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推动产业向绿色低碳转型升级</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C302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有效推动</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A66E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FCF1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547F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0D2C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F5D1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66B3F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5A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6541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D95A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4C76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项目单位对项目审批工作满意度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BFA2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AEA7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6182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8086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D924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7CBC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9B91C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08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74E4C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1146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3C15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98.48</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B7EE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47FA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F995A6">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10DEBD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754FB3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91EE5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C6FCE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5C0F3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656FC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0D28B8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C0567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9DF93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1E2D0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45B4C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E3341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88AAD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F67D24E">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0E8C1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D9ACEEE">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1A8D6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04C1A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【市级出台】许昌东站至北京西站高铁列车开行奖励补贴</w:t>
            </w:r>
          </w:p>
        </w:tc>
      </w:tr>
      <w:tr w14:paraId="358D5D1E">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3AC28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74E16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A239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7371B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216FC009">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DC1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85F4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87F1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FA7F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4803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6FD3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659C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8EDE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8DD508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5346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7EF8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2933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BD127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7182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5B75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4776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2DD7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r>
      <w:tr w14:paraId="5C41B1F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EA6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99A1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0EAF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D38F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1DF1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4EE6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F31C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968D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1CBD1A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3EA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62E8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2D35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40CB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9FCFE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7CFD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6321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8FB0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32A59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D39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84A2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363B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0721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C10C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66EC4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4515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8199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8D3BE1">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DDE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581E5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77B3B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643A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A008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C5EA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B2355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0A1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FD078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B1BCB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根据市政府与铁路集团签订合同金额安排资金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51F4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1659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D1B60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34267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3FF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DAB93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BBB516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D1C1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8589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1C92E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247CDB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B8A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D60B6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3B9021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资金专项用于高铁列车开行奖励补贴</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2BDF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565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9BCB2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09FE9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171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3419F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D98D4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E28D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A080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CE32F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00A0469">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6DD6D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402AC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577B4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3CF420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3AD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18EF2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目标1：充分挖掘铁路运输能力，发挥铁路安全、低碳、环保优势，方便许昌人民群众出行；</w:t>
            </w:r>
          </w:p>
          <w:p w14:paraId="3BCDF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目标2：促进地方经济发展，加强北京和许昌人口流动；</w:t>
            </w:r>
          </w:p>
          <w:p w14:paraId="23711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目标3：保障我市市民到北京政务、商务、就医、求学等刚需出行，提升地方政府良好形象。</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116E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方便人民群众出行，提倡绿色公共交通工具出行，提升了政府服务形象，促进许昌地区经济、旅游发展。</w:t>
            </w:r>
          </w:p>
        </w:tc>
      </w:tr>
      <w:tr w14:paraId="2D1DE859">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2AA47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19EC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BD7C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DD9D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A1EE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F0E7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8574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9C0D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3CCA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EF705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96F69B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7FC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EAE5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B043A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9673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每年奖励金额</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16A0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0D2C6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E5D7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17B1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F103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F89D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C37D3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33C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37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6BA97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7534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5F2F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A3A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A20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18A2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651D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B4DF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3A099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902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479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F855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E14A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73CE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1DAE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ADF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58D2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A42E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8BF8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43324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79F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3967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35D66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2192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日均乘车人数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A8F2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≥350人次/日</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F65C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350人次/日</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5B1B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BBE3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9325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8E37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35754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3AE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94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151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C78F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每日开行车次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AD5C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8769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6831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DD45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1B1D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FC57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0B582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FC0E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0E7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E7A2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08DF0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列车运行服务质量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3DB9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状况良好</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1DA7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4901F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1B01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79E1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76855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EF9BE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E99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DA4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3D1C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E9A4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发车时间准时</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9C7C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8点57分</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FDE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BD78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D71B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97BA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B38E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F88E1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8B3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408201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96ED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0CD6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促进区域经济发展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A33D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89214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0AE7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7BA1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36B1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6852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08FD6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9A1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681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D8DE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8F8D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提升政府良好形象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D462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0D55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251E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6382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6D34B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761D0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9FD7F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AE9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9BF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579D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7F64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发挥铁路安全、低碳、环保优势</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3514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有效发挥</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8BE2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FC7D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DC51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94CC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FA86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44B08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2062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629D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37E8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194D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人民群众满意度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408E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88CC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D473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EC43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FF457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3C1A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550B1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7F2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70BEF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D3B6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5EBC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1EF4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C258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1110C0">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0224FE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5C679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A271D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4C34E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7429B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0DE52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324A8A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4AE22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8074B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05FFC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8FD6E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4F4BC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79AC2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04F71E">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0152A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BB28357">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3F9A7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0FBB7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【专项资金】《许昌市国民经济和社会发展第十五个五年规划纲要》编制费</w:t>
            </w:r>
          </w:p>
        </w:tc>
      </w:tr>
      <w:tr w14:paraId="7DEA10DC">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58422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1BE55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DF2F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69097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16105292">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310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3B8D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0D88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F75F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16EF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7A25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B324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F7973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47E213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5DB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F34B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B7A4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4817C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84EA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F6B4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0417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71C6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r>
      <w:tr w14:paraId="7674F8A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2CB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56FE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3856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80FE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57C0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3363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7A98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A4D3B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54B9D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CF4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F667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61A3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DE1E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1B3A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D4BB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78B8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7210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0A9F54E">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006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CDAA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6784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A522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59A1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C39D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BEA4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2358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8C7080">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834C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3FC05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D5F7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F630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BF88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07DF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B676EF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A3C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A7810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0ED55C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根据签订合同金额安排资金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FA5A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1A72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71649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124AD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3E5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6C06D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D5637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73A3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9AD2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48477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04A6E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E19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FDBA8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979AE8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资金专项用于我市国民经济和社会发展第十五个五年规划纲要编制费用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7BBD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C030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0CF25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07A35E">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1CB5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B65C3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6B951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8AB2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A561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19BDE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8693C1">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53BC9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00E60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02A25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C97855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C62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2DE65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国民经济和社会发展第十五个五年规划纲要编制费用主要用于以下两个方面：1.用于总结评估“十四五”规划《纲要》，重点总结规划所涉及内容进展情况，形成规划总结评估报告。2.用于编制“十五五”规划《纲要》，深入分析研究目前国内外面临的风险挑战和政策机遇，结合许昌实际，提出“十五五”时期许昌经济社会发展的总体要求、总体思路、主要目标、主要指标设置建议以及重大改革举措、重大战略任务、重大工程项目。</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EE99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根据工作进度按时完成我市国民经济和社会发展第十五个五年规划纲要编制工作，为我市经济发展提供规划指引。</w:t>
            </w:r>
          </w:p>
        </w:tc>
      </w:tr>
      <w:tr w14:paraId="199E2A95">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01FE2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54CF8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1762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CC83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30A9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89E5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F72B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8C9F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93F7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AA48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B42D30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2BE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2480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8D304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8F185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项目编制费用投入</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7CBC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96B0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105万元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5D84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3BC0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9FB3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4A0A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3DA28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74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D72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7A2EC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173B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C087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CC50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49B7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4CEE7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9740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DA66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07314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BB6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703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8651F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6E7DD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ABF4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275C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F74A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DBA9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8E70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5F34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11BBA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4E5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4E7679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43D19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2C0D8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完成“十四五”规划总结评估报告文本编制</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057A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0909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CE2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5F3E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84C5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3DF1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C3F77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D48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BD4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3F8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38C3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完成“十五五”规划《纲要》文本编制</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2A48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56D6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023C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EB99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498A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CE5D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8DBB2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008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F1C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BA11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D9BA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“十四五”规划总结评估、“十五五”规划《纲要》评审通过率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EACF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E69C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044E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C952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8339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10DF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C171C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56AF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18D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06AB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81E8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“十四五”规划总结评估、“十五五”规划《纲要》编制完成时间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AED0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8251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AB332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6A5D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73AE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2C1A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1FC1A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F4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FAC3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84D1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0B73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1B31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C458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CEDA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F173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8414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C68BC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018D1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B9F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AEE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264C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991B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报告成果利用率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D223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702F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0C65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1FF4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9D78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4691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5B828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F2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1D1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7B35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C679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11D7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C2A2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D8F6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8015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EF4B0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F722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2A7CB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905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98DA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136B3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45AC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“十四五”规划总结评估、“十五五”规划《纲要》涉及部门满意度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ECC9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89E1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678E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4A081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64DB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1701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09D56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E7A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1E5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2F1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03CC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EEB5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6D612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2059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3BB2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26BA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BC35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756A3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E93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28593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D03C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C5716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36E3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8BC8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D1BA86">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25D67F9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52238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0317F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E28BB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37464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709C6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55E67C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81388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D2B29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BE913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6FCEC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53777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AC728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26A403">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50861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2C8336E">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31AD1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09834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【市级出台】天然气储气保障项目</w:t>
            </w:r>
          </w:p>
        </w:tc>
      </w:tr>
      <w:tr w14:paraId="01BA9568">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35F37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41EAB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52EA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4EB5C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71247D2E">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6A69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BA7C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5FEB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FE15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E3A9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E54E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DC87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9EA3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84C86F7">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FC8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825B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C40E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0002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7995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AC05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6116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AD76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67A8BB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53A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C15C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B72E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A3B5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765E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40AE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AFABE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0102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53120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2259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4390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3926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063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6374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93B3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EE31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A9EA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AC0BA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8BE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9D7C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EB4B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4B18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97C8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E2C8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034F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0717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8D8545">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C4B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B16D0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298C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1D7D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8FB7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A164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891AB8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7B5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E92C8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A1171A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根据政府与河南省天然气储运公司签订的合同金额安排资金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D764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52A4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B3177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A6F34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6C7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55F62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DEFDDD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按照要求逐级申请资金进行支付，支付报销单据完整</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0741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926F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97697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5DA214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F6B9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3D6F6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7D52B7A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专项用于支付储气服务保障费用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82A7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3F00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AA0C4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C6126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D35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335CA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BFB4E8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D7DD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B21F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A20B4B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8E23ACD">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650AC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3B6B6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67E7F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6CA2F1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C10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1570F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目标1：按照《应急调峰储气服务合同》条款，完成辖区内天然气储气调峰民生保障责任；</w:t>
            </w:r>
          </w:p>
          <w:p w14:paraId="66F06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目标2：落实好“地方政府日均5日”用气量应急调峰储气能力”的民生用气保障责任；</w:t>
            </w:r>
          </w:p>
          <w:p w14:paraId="18D5F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目标3：根据许昌市本级用气量的增加，提升相应的储气能力。</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B85C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有效完成中心城区区域城燃企业储气任务，完成辖区内天然气储气调峰民生保障责任，提升储气能力。</w:t>
            </w:r>
          </w:p>
        </w:tc>
      </w:tr>
      <w:tr w14:paraId="5859D058">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220F2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3304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568B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A90B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49D14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466B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A3CA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CA10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84A8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414C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ADBE1D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C67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DDFD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6F83F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B368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储气服务费</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8AB0D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FE2A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177.73万元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9094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C3ED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E0C1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0EE7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081BF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6DF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F80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1947B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7EFB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D4E5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635F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3B746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B2AA4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35ED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8D8A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35AB0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66F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AA9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8784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92EF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5DDA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ED5D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CADE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48BB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7D0A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8D0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9012E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28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B26F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63F17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D6B6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年度应急调峰能力储气量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1CC5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≥139.73万立方米</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989F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139.73万立方米</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A158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10D1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CEC8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8203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472DC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ECB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F559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CA3C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BFA4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储气量保障天数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26B2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≥5天</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F128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5天</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85E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4FDC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AB67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AC12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AC412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480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A4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9032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D70E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完成国家储气任务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0977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保质保量</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AD1F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E685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4E30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EDA5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2D7E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07640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2E2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9F0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815C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2C764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及时足额保证储气</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465A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关键时刻用得上</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D7B5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5CD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422B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3609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0FAF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2CB36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A5B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F93A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A8A0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B545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促进城燃企业健康发展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2AD03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3CF4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A75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1B34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A0F8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C809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C503D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E0F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1DE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8879E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4DE4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天然气储气调峰民生保障</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49DE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7050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59F7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7101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2A01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A90E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6AA3B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FA7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E41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C2B0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2A4F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节能减排</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A664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有效完成</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C187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A21D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E00B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701D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6B24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0935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2A7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2EC6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7123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23E5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E64C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D6F4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50C0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20DB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1798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0467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9B514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6E4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22E94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0950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6935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2676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698A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7CACEE">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5A2A83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75686C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70244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777C25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05E9C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4AA6E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263A7C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6E764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235A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DDF5B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A883E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CBB28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B5555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EEAAA3">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0C38F4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5175914F">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23A90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3DB53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【专项资金】《许昌枢纽经济先行区建设方案》编制项目</w:t>
            </w:r>
          </w:p>
        </w:tc>
      </w:tr>
      <w:tr w14:paraId="73F21DC7">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2EB2B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7E928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1EA5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47BAF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15EE5342">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2E43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86FB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D909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35D8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C390C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8E7A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2BB6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701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2E7134E">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D36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59AB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4729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EF4E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B923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E5B6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D126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40B18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78B2943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049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2858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09BB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5EE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31A1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718CE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30C3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3BB5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F3B015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B66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C097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4A28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57E9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AC97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D721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5AC9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B01D4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F5864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ABE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2950E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3C4B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5E15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C67F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1661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76E2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328A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28B5C2">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7510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F2E16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13F7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5A7E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53DB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9DAF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567D1A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44D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DD986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B62CA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根据方案编制签订合同金额安排资金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2C27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DB7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41E81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192A9F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433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7C201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6FB5DBD">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ABFE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3C5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5288F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C7C3F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10A8E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76B72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E67656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资金专项用于方案编制费用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8A32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DBEF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1EAE8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15B102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7A7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005A9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6894EC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2C92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67E1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6D8E1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625F60">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355A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2A874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6488D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58BD7F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8D5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0DC17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项目编制费用主要用于以下几个方面：广泛开展调研和座谈，深入分析许昌枢纽经济先行区区域概况、建设基础和条件，研究提出指导思想、战略定位和发展目标，科学规划许昌枢纽经济先行区空间布局，研究提出重点任务和保障措施，形成《许昌枢纽经济先行区建设方案》文本，为推动消费性枢纽发展提供指引。。</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0A74C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根据工作进度按时完成《许昌枢纽经济先行区建设方案》文本，并通过评审，为促进枢纽经济高质量发展提供指引。</w:t>
            </w:r>
          </w:p>
          <w:p w14:paraId="669C1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F25976">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24970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70471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81F5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F8D3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F2AF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D6DC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3FDBD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EB56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4BCE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BE8E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27AEFF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509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55307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AC57D2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5E0F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项目编制费用投入</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02D08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B781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200000元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98C2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4589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EBFD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15034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5D6ED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183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B04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043E9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1251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FB7F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9537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E762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197D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AED8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11C6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CC48C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58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1A4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62AD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3263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750C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E291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2C4D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2EBC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5AD98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C481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5BBC1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170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45274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31D3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0DBD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完成《许昌枢纽经济先行区建设方案》文本</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E60F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AE36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7823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6434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4EA7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E519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C635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B1F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FDD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6366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2A41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《许昌枢纽经济先行区建设方案》评审通过率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6877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FD02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1CF7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B1B5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C2CB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FDCF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94921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1B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BC8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E403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A35E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《许昌枢纽经济先行区建设方案》编制完成时间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05CD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DFB2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03DA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CE9B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17B6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5C23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E139A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21D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118E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A84D6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4CDA2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枢纽经济高质量发展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3831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90F4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877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2354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3520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9335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DEA06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BB7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CB6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A1DA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1D546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文商旅品牌影响力</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5F01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不断扩大</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5F96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D24F7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ACFC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4308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4B85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DB5CD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4711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997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3D31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27E8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C1A1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290E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0F0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2E5E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BE91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C0F3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272FB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8C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9EA7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A5CC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F79B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《许昌枢纽经济先行区建设方案》涉及部门满意度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BAF5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9E0B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7C75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CC45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BDF1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3338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91AC8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54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194C5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FADB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BCE2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308A4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FD02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E5D788">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172FCA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5B618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850E0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457EAF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457E6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AC612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006876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F6FD7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6EE90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F0082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23575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E676C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13F2E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F480AD">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5C76F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ECE1B44">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2FC53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02EE1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【统筹本级】项目评审及重点工作经费</w:t>
            </w:r>
          </w:p>
        </w:tc>
      </w:tr>
      <w:tr w14:paraId="12B738DB">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24F6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0B4A9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D700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697C5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1E0DF7DB">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4F6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8F85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59BF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18DD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BDA12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3BA3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DA8E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E83E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BBB11C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6A5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B63B7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07A2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6782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0A74F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DAAF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4589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798E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6B2D19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41A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F15A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4498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E3CA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A449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1469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1689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9606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3BBE3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539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3289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839F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8368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915F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067A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8E60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9813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788427">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8C5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14B4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6510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A3DC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0070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2737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E9B1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AAA4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261D64">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A1E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FF2B8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B8A6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6134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2C4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8DE9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2857D4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D9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E13BC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16E11C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按照以前年度单位产生的项目评审个数及金额预算安排</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84D4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E31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6C067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C062B9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A78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3F474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A43DE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按照程序逐级申请项目经费，报销时凭完成附件及领导签字进行报销</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4629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396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AC529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4FB780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4D7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B8DEF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CE2027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全部用于单位产生的项目评审工作费用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47CDA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8B98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A7D3F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87185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BA9C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948ED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08E9AB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该项目纳入预算绩效全过程绩效管理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1C95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F327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0F19F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685778">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48FD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7E3AE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4ABF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259807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49F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2973D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项目工作经费主要用于项目评审工作及相关重点项目工作。1.项目评审工作费用；用于提高我市项目投资决策的科学性和民主性，规范投资决策过程中的咨询评估工作，保障咨询评估质量，高效完成初步设计评审、可行性研究报告评审、节能报告评审、电网项目评审等相关评审工作。2.重点项目工作费用；市发改委作为市政府经济综合协调部门，除开展正常工作外，还承担市委市政府交办重点工作任务，进一步推进重点项目建设工作，持续优化营商环境、城乡融合、信用体系建设、城乡融合建设工作。</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5D1D1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业务科室完成项目评审8个，有效提高我市项目投资决策的科学性和民主性，规范了投资决策过程中的咨询评估工作，保障了咨询评估的质量，高效完成初步设计评审和可行性研究、节能报告评审等重点评审工作。</w:t>
            </w:r>
          </w:p>
        </w:tc>
      </w:tr>
      <w:tr w14:paraId="0AB1AB1A">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311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09FA4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8543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B77B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AE10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13DD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6889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796D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0B8F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A069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507CE4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0A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000F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5DB61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3D928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项目评审及重点工作费用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CB9A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BD86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4CE0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EDFD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B81A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345E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BA7A0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982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1CE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2C24D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F58E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36EB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62DA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DFC0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644A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54DC0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CAFE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926C7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28E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4AC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5EAA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4E37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C4A7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E3B81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D7AA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E5CB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2B31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5333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8433D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9C9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A2362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C6CC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42BC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完成报告评审数量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C373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B14D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34DB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BDFC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2898A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AF0D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项目评审费用比预计降低。</w:t>
            </w:r>
          </w:p>
        </w:tc>
      </w:tr>
      <w:tr w14:paraId="0C74A27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AEB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DF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37F83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2A4D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项目评审报告质量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37B9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BE44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D905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B2CD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9042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D98C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AA7F9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499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650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73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AA19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项目评审机构资质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A788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乙级及以上</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113A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0004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0624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9FD1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AFBE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C4052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33A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215A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58CC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63025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项目评审完成时间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09FB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2163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799B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E4B6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641E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2424D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0EAAC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6C4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0DBD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E078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17F5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项目投资决策的科学性和民主性</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2CEA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231B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1044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2104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E443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E6E9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2B463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D04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D7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34DA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98157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城乡融合协调发展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AB2D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FDE3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ED78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ACB9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8EB9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88C1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A1479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E4B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4A3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EFF4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4B886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F201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3D55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B4B5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6FDE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DA02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C53B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DCDB5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306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39CEC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AEE67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7FB2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项目单位对项目评审工作满意度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F43C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5F90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9CF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3134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7D91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7EA1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0CA56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A84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56D15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073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847B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8726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E4A5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B443AB">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4BF114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0D1B5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45A4F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5809D1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73DE0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6EC17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35507B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BA76F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6D017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EC84A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30F34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F11A1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1C530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70C980">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03ED4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B155C2">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386A6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1CE56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【市级出台】许昌东站标杆车列车停站开行奖励</w:t>
            </w:r>
          </w:p>
        </w:tc>
      </w:tr>
      <w:tr w14:paraId="36416287">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5935DD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1F79B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4B91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7D9F3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4E30CA67">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68C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F8EE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80D3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B842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598D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9A4D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8D36B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BF10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D0A19F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B1A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6ACC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8820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62DC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3D0E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AF7E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A439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C216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3643EF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8D0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EC53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CEB3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9A7F4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E728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50F1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6312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031D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676026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FF5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B834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B5C5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5F5E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F98C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D998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6EE0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899E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D0BE3A">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078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4D7D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6049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BBD8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2F91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63E4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1EA55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EAE9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9569DE">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235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8ED13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70D4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B3607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FC70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B524D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E89C3A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568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88F7C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7DA703D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根据市政府与铁路集团签订合同金额安排资金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6263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B9F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A6DDF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708AA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69C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8F707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5FC6D4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按照要求逐级申请拨付资金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6AE8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3DC7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49C21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C6D115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962A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79DBA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5EAE57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资金专项用于标杆列车开行奖励补贴</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71BC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0983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6D56C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A215905">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C33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B6C0E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56B7AA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8812F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87E2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65033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C96032">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68E26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4D697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1204CF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767F76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7F2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12508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目标1：为充分挖掘铁路运输能力，发挥铁路安全、低碳、环保优势，方便许昌人民群众出行；</w:t>
            </w:r>
          </w:p>
          <w:p w14:paraId="2B5DA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目标2：促进地方经济发展；</w:t>
            </w:r>
          </w:p>
          <w:p w14:paraId="4FCC3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目标3：保障我市市民到北京政务、商务、就医、求学等刚需出行，提升地方政府良好形象；</w:t>
            </w:r>
          </w:p>
          <w:p w14:paraId="6E14B4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目标4：大幅提高我市与郑州、石家庄、北京等地市的政务、商务、旅游流通速度，极大压缩许昌至北京出行时间。</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5CC43C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方便许昌人民群众出行，大幅提高我市与郑州、石家庄、北京等地市的政务、商务、旅游流通速度，促进地方经济发展。</w:t>
            </w:r>
          </w:p>
        </w:tc>
      </w:tr>
      <w:tr w14:paraId="5078418E">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5D61A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79349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B499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67FC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9F20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EDF7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CAF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EE5D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56A72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FF7E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6FEA9D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8E1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4B0F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DDA8D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D7D7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标杆列车开行奖励补贴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17B8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C5A1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D1A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B119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10DA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B921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8647C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577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C09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80E05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0D4C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4A6A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A6A2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D53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90B06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1304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36769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5E9B2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B6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D20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0FC7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7AF4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FFE9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1BC7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3D83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FAF4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FBD9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09A0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0FC2C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11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3109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0CB27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F33E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每日开行车次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441D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4167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D2AA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5677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36C3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876E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529EA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7C3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4D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D4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9B3A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日均乘车人数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F0A7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≥270人次/日</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27558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270人次/日</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9D24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DC05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4AAE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30A8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C3D00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0254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6E2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BBE6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6260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列车运行服务质量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0AAA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B61D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418B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05C2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6921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8B07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DBF0D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7982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251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46C7E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BA2F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标杆列车G812次发车时间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20AF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11时52分</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4AAC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5B2C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47242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3785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E66F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E5FCE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9DB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D7F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0F7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941F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标杆列车G891次发车时间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30CE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8时05分</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E4AD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82D7C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EF17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DC7C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C82C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C886A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35F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49F4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C917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704F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促进区域经济发展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45D5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313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781D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4CB9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47F3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8BA3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0149F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DD34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1A8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9D64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6379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提升政府服务的良好形象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6CB3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069C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679F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F237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6E3A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8689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1B30C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7A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5AE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8967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DA48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发挥铁路安全、低碳、环保优势</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E3DB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有效发挥</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30A3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665C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985C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6B04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006C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748F0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B79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531F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0AC4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1818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人民群众满意度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5523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0C32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9475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66A26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1BB1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96D0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999EE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6EA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0FA8F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6503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EE4B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E918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20CDC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1286F5">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7501BB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12979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270E8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175DB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E9449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08D35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6040E5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3C58D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B9122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E61B9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69060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C832F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D829D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E98B22">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43C6C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484853F">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932E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2ED0D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【特定工作】2025年许昌市推动城乡融合共同富裕先行试验区建设专题研讨培训班专项经费</w:t>
            </w:r>
          </w:p>
        </w:tc>
      </w:tr>
      <w:tr w14:paraId="7078F8ED">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D8A2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13291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2528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7182F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r>
      <w:tr w14:paraId="605DB175">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28C9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F0F9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F727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D480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6DAF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007B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7162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00D6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FFBBE3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E9A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4D2B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9495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58F2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2E0E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131B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6572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2DA0D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718003D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018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55E3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EFEB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21065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580D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EF51F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6278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B959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D181B9">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4B5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DB01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3314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93B9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A776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ADEF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E8C0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F0F1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8701E7">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B7E7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6BD6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3FC14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EB4D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2EEE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836C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9005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A7F7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38F3D1">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8B2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42FFD4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9417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8B27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E602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F578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13E640A">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0F6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BC64F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85DF3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按照培训计划安排资金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E4B8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787B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2A9D9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B0216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DD4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E2571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DDCB83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按照要求申请拨付资金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D8D4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8E6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82358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F190E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173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A33BC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B014ED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资金用于专项培训费用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6AE7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DFA1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38C11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A6E4B5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ED5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EFDA3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2D5140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701F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ABC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02081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5F6866">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50753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0330A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07739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996518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AA8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6CB81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推动我市城乡融合共同富裕先行试验区建设工作，计划采取集中辅导、实地考察和讨论交流相结合的方式，到先进地区学习借鉴体制机制建设、典型经验做法，举办1期城乡融合共同富裕先行试验区建设专题研讨培训班，提升我市各级干部做好城乡融合共同富裕的政策水平和专业化能力，为推动高质量建设城乡融合共同富裕先行试验区提供有力支撑。</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6176E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4F561AED">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2F0E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3617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6739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4226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08AA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DDFC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A0EF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8672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9615E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FC71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A986EE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0C9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D65D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FEF47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D643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培训专班所需经费</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CDDF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E606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2B3D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39BF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D137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3D2F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7AF97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70C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1A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B88EF8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3938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C69A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5978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4C719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669F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8760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4C3D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CCD86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63A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FFA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DBED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F7F2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26CF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94DC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AC5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757E5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742B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D70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B50C6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DAE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158B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5F683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7C7F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开展培训期数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17BD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0C4E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0期</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0E6AB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71F1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43EE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8117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4D5176C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463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0E6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0D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70AA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每期参加培训人数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3B510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BB90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0人</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A2F8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2087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B838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A7C6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6BFC4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50D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24A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A1AF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9819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培训内容质量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C134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优质高效</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16B85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78E3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258D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855D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F0DA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5DC0B89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B6A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E9C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1C8C2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ADC1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4031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79B7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764C5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FDA3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E43F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85C5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6648A63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53C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7361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FB57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9141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加快城乡融合高质量建设速度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DD0C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不断加快</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E399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7254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9B10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2DE0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62CA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707F02E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52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76C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DCD7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C53D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提高参训人员政策水平和专业化能力</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45DD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有效提高</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8C1E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3EA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1E97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1A49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2614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40DD230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40A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06D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034C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BFCB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96DF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9976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4BD9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B523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65E8D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38D8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03540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EBC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0839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13EF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4936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参训人员满意度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7637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4D2F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1D5E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E8CAE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295B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CE29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市委市政府工作重点发生变化，城乡融合共同富裕先行试验区不再作为重点工作，经与市委组织部对接，培训班不再举办。</w:t>
            </w:r>
          </w:p>
        </w:tc>
      </w:tr>
      <w:tr w14:paraId="166B066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6F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787AD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D3B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A4AE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5C2F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1868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927475">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77C4BD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00D51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510EF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1F575E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563EC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16CEB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3D5D06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849E1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E1B6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980A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50E59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F8ED1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7C35B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9A51B3E">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19583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E910024">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7CB8B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68BF2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【特定工作】涉案财物价格认定工作专项经费</w:t>
            </w:r>
          </w:p>
        </w:tc>
      </w:tr>
      <w:tr w14:paraId="16D56424">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0682ED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24000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C058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6EA86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许昌市价格成本调查监审局</w:t>
            </w:r>
          </w:p>
        </w:tc>
      </w:tr>
      <w:tr w14:paraId="1952B130">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1A2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158C1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B4CF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71BA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E9A8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F57A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0F7A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DAF7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DB967F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E6A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BC4D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7A97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6302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56FC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9B75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7825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53.33</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CDD9B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5.33</w:t>
            </w:r>
          </w:p>
        </w:tc>
      </w:tr>
      <w:tr w14:paraId="005CF3D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F99B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61CA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A9E0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4DF34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E1F4F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269F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6519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53.33</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CBE7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3A8CFB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9E5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C3F9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4568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383A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7967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E6F3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2438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F403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3EE4A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5ABD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E97C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1BA5D9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8CAF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32B0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EAC9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0750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C7CE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10CCF3">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C95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34846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8825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DEDB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73E0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FEC2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6E2BE9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815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B27AE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9B9F4A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C400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98E2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407F1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90EDA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45E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90E8E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FA8495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7AF3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857A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6ECC6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708255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35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A389A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6C6A5C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3167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0F25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61CCF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D4E2E8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3CA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BF1C1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F27318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F161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1CC2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EBE70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093DCCE">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22857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0B00E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12972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63AA9E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5EA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491FA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进一步规范价格认定工作，有效提供公共服务、维护公共利益，保障纪检监察、司法和行政工作的顺利进行，提高案件办理的真实性、客观性、有效性。</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24C03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完成率本年度价格认定任务，有效保障了纪检监察、司法和行政工作的顺利进行。</w:t>
            </w:r>
          </w:p>
        </w:tc>
      </w:tr>
      <w:tr w14:paraId="2BD44B1C">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46EBD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76D3E8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A8FF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3E57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6C0E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DBBA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5CF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01DD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7012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8602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4E2448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FD8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51D0E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E883F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2184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涉案财物价格认定费用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99F6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E8FF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6259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D579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AEF0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F000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09B9F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27D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5AC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54B8D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6382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CD25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FC6B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F73C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B16B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21B7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236E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D6377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6BD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096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19AB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3CA4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ADDE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E16D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EBB7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94D6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069F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DD93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2AD81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C39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36FA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1631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E3A3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全年办理案件数量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8972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≥300件</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0051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415件</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174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F173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AEA9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8.33%</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CE94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实际办理案件数量超出预计件数</w:t>
            </w:r>
          </w:p>
        </w:tc>
      </w:tr>
      <w:tr w14:paraId="3F5E1CC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CC6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F53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AEF8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2793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案件办理完成率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0445F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70ED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38DF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FD7B3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6A8C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D38D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F5E46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179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26A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2334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A097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案件办理及时率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D32A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529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055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EC0F2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E2A3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57CE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4B5DF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0DD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9096C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C9E4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B4A7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DE66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67D0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1AC5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BCEF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9DA7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FFC4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5675E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0E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A86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D722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A0E9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保障纪检监察、司法和行政工作的顺利进行</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8E57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64B7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CC8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106F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D599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AC84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44C4F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BA2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406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7030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535E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9CDE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044C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724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5776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9006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C646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12C9A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E35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540F1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F833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1EF63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提出机关满意度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FF25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2473B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7843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302F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4D1B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80F7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C06CB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AFD2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0BA08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E871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4908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94.85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F7D9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80E4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3867B7">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3B94CA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F7ECE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CB609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2AF057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530A8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12DE9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5FD2E3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46FC5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17B6F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3DBEE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D9B0C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66CED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43F77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5FFDDF9">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6EAF6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094AE21">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1BEB13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13D17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【上级当年-市级】2025年农产品成本调查经费</w:t>
            </w:r>
          </w:p>
        </w:tc>
      </w:tr>
      <w:tr w14:paraId="280E6AED">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12188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07177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1BE5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1AB1D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许昌市价格成本调查监审局</w:t>
            </w:r>
          </w:p>
        </w:tc>
      </w:tr>
      <w:tr w14:paraId="22EA1871">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82C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CF118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ED66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8F84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D89E7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BCC2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37FF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C116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D3CAC0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92D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E87E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C9D7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4363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4414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7649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B190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96.86</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ED42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9.69</w:t>
            </w:r>
          </w:p>
        </w:tc>
      </w:tr>
      <w:tr w14:paraId="3954A7C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73F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4C2F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C976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F5FE7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2A4E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12AAA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3C34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96.86</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D7DA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CC3411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E74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DB29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1BAC1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CAF4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F5D5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D019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B678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F91D5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6EAFA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824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B9A6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7E25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23E2D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08071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B91B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3B37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BD2F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73CEB5">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EDE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52915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FB02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E44C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34B3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46C2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CC3872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B6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BB5FB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83802F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按照年初调查成本的次数及种类，安排预算资金</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3B6B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2C47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BA487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D4D656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5F2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A5C0D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9C5D1B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按照规定申请、拨付资金，拨付时有完整凭据及签字</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356C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9AC6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55D68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7109F7">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36B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2625F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E73464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该资金专项用于农产品成本调查经费</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E57E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1D88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3EB01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503DD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24F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EEC92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0E34B68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该项目纳入预算绩效全过程管理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60FD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051C0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97480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99707D5">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29CBA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1DEE7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EBF8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A89A07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A4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1C260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完成农产品成本调查任务,保障我市有农产品成本调查任务的县 (市、区)成本调查机构农本数据及时准确上报,精准反映农业生产情况、农村生活情况,为科学制定农业政策提供重要支撑,为农业生产经营决策提供重要依据。</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4CB43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开展了农产品成本调查，完成农产品调查96次，组织开展农产品成本调查品种12类，及时进行上报，精准反映农业生产情况，为农业生产经营决策提供数据依据。</w:t>
            </w:r>
          </w:p>
        </w:tc>
      </w:tr>
      <w:tr w14:paraId="0277AA6E">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3E085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596C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AA25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9360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9C1B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7A678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6632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229B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D3C2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E51C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65092A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30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91A5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1A79F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9285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开展农产品成本调查的经济成本</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C6FB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≤15.9万元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ED05C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15.4万元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010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210C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B10EC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DAE1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782D4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D2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FC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E772A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C27E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A2A8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CC7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DA7F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EE85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E0F3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1705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DC5A8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67D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40A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C3F8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716A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C421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0D34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B7F21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24A7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67FF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E8FD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A22FC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7A2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0F6E2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199D8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8F04B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完成农产品成本调查次数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025D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≥130次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3A06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B586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AFC00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6.92</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3C0A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-30.77%</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0E35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根据省成本局统一安排，今年生猪周报由3次变为1次，所以调查次数相应减少较多</w:t>
            </w:r>
          </w:p>
        </w:tc>
      </w:tr>
      <w:tr w14:paraId="62AA497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A3D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17C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CA2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B6D5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组织开展农产品成本调查品种数量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C073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11种</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3E63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12种</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9ACD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60B9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4C2D9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BCAE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9E272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B73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21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97D8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B2D2B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成本调查工作完成率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D3E4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D7CB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088D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82ED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A3C7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3C10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D59DC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DC4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1D6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C3A5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EE187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农产品成本调查数据上报及时率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DDAE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B1A4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626B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8A1A9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B655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C50E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96F22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555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0F7D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FBF0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04C4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054D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E121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C3D6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604D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FA26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901F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4FDECA">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B91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C9A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D3966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29E1F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服务政府宏观调控能力</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20FF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5A9E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4002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0332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7C60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4E50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7B5E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899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BDF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EA2F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2979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31FF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CC7D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7F0E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0B0D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D815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A5B1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67D8D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0E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71B2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60A3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D8B1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成本调查对象满意度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DBB3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4EDA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7E63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2848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555B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7649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97A8D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673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052BC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B31E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D9C2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96.61</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7EAC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6A265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6A96D">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1FF5E4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0CEA6A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FBD23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5A8739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F2E40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4BA5C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5D0D3B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2202A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03C22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0BD1E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12B96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5755EB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F05DE2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AA4FED8">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646DF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5C6FD04">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4B423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170BC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【特定工作】魏清污泥处置有限公司成本监审服务项目专项经费</w:t>
            </w:r>
          </w:p>
        </w:tc>
      </w:tr>
      <w:tr w14:paraId="7D5B1D97">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372ED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214BE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E915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46624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许昌市价格成本调查监审局</w:t>
            </w:r>
          </w:p>
        </w:tc>
      </w:tr>
      <w:tr w14:paraId="0FC8CCAE">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F2D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4CE1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0B84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C645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2337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615E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7B1F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4BD1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81091C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BBE8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F35E3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D94E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F36C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8F7C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DEE1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3F4F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B89F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70005B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190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9673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7155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D2BC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0E77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4D90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5308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3400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2FF0E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17B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F9F6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6EAF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3A8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C8181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AD53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D7B0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19C6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4B58299">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8E7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C94E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8431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F2828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4A79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9BC3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2BEB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C129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33D698">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6D0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46116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759B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B0D8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69FD3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8E00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6BF78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98F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0D17A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E51079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28D9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454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B9FDC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2C822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062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FE53D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EFCA88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87EB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EEBF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D0E5E9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F2420D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07F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AB4A4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4B4B1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F621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BDC3B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B3496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3EFEDB2">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93D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57063E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F53FF5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E538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F897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6CBBA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704021">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2238C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65860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3C099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6F1D8A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FBC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59FA0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聘请第三方事务所对2022-2024年许昌魏清污泥处置有限公司进行成本监审，核算污泥处置相关经营成本。</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3E266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完成了对许昌魏清污泥处置有限公司2022-2024年成本监审工作，为价格部门制定价格提供了数据支撑。</w:t>
            </w:r>
          </w:p>
        </w:tc>
      </w:tr>
      <w:tr w14:paraId="6D74C64B">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0BFBA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7E9A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3DBC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59A7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4C4B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7E37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02A1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1452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6E0C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069C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67EE45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383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21A5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7FAC6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AAF70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聘请第三方事务所开展成本监审费用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E28C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9EE1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8E27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2CDD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F7D2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11C8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2411A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561D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ADA4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26271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508A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72E6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E899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D555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90FF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9434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6027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A5943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C5E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F94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9612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6779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974A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EF8B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CC9E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5996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4460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497A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D3CD5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FE5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76B4E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EC3F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642A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监审次数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634C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20FC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7E10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FC53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1660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3C22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98CE9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36A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ECD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8982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B606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监审项目完成率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A289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696D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7D234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DF17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28F3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3D56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F1F8D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12D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89E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AA42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A8E3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监审周期</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7951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9E76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2月</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C084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EAAB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F7A3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5EF8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E997B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078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A3AD4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BC30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D23A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B884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09C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4D16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D0C3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07F6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E8CAA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C8B65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4F5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A5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6359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F3E81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保障污泥处置费调整顺利进行</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0139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有效保障</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F00F9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0F95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75A1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C471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1577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F58FB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EFBD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DD0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6BF4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A316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ADDB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B9E3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D925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12FD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FC53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A7AE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BCA7A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444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5739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2E5A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3A95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提出机关满意度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87AD6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CBCF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2985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E84E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D765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575CF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3893C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521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40748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DAD6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7C47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37B4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9AAD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9B9E33">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0040EB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24A555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DF630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3400F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2EDFA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75D80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6D4306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63959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C087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D9560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4B431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5CCC33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45FA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D6F5E8">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358AC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65A363C2">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298AC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2618BA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【特定工作】优化营商环境专项培训经费</w:t>
            </w:r>
          </w:p>
        </w:tc>
      </w:tr>
      <w:tr w14:paraId="4CC0B71A">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3E382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377AA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9003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20C05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许昌市优化营商环境服务中心</w:t>
            </w:r>
          </w:p>
        </w:tc>
      </w:tr>
      <w:tr w14:paraId="5A958B76">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198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E141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48539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409F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B858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0C5B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A41BD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1069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25BBFF6">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5AF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C5D3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16AB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3E97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D429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DAB2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35614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59C1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r>
      <w:tr w14:paraId="1D24F9C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A87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70B2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3987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DCD3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378D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A7F6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CACA8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393D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23D26C">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ACB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2E99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62EE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0667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FF15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6B0B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28C2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D81B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21772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99E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BC98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249B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F8F8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38D82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68988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44CB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5BE0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763E5B">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BD4E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1FF09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5DF88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575F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C1F6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A704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83D240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DF4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9AF4A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70809D6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因政策调整，为例行节约，培训采用节约资金方式，从公用经费中支出，项目资金未使用</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E579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3239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EA6DF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577C87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564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BB8E2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A037E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拨付环节严格遵守财政基金管理相关规定</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E5584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1F2E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245D7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335DC733">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DA360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BAD1B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27ABE14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未发生挤占、挪用等不合规行为</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AF15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79B2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183CE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07D6EE79">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995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1FCEF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0A89B2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已履行相关宝贝程序，未出现管理缺位情况</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66F7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99FF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503EEC7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5A2DB3E4">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4D842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05B44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2F418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4DFDD3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D2D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273F6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专项培训，加快我市营商环境和社会信用体系建设，推动经济社会高质量发展，持续深化改革、扩大开放、促进创新、降低市场运行成本、促进公平开放竞争、推进公正高效监管、激发市场主体活力、增强内生发展动力。</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3210B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已完成。联合市委组织部，和省发改委合并举办营商环境业务培训班，我市营商环境业务负责人整体水平得到提高。</w:t>
            </w:r>
          </w:p>
        </w:tc>
      </w:tr>
      <w:tr w14:paraId="12D44B59">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4B9DC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0077B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40306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D4FD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6A91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AFDA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52C0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7B3D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A9E98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0C91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6C5143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C73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6D19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624F8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D840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申请培训经费</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EEC0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0492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36A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0A24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B339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9B1E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10996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DA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9E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20019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5BE6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C4D4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E030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0768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6F30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4B82E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787F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CC58E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E76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932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C031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4756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68BB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F1EF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C13B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7D49C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79F7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A74E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3F9D3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BE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46F43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293146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F588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参加人次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FD36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538F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50人</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D296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BAD1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AB1E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2C60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74432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CF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75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53A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D663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举办期数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1EC5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≤2期</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C91C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1期</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D26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8870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43F2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5B01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C8F0A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7A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9E5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2CD6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9E3A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我市营商环境省评位次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40F2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669F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8C7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4CE7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DBB7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0F40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09C63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02A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B88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F045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48D94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D5C5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6E54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FD9D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F81D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0FC0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E3FC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21DF5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2C3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20C18B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922A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6B32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CA6C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7FF6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5DC8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84FB6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2759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9E34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16FE98">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6D3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647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9CCF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DD1A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企业满意度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3F2E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8EA8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8C8EF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1F18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92B5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420F9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F6E65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75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413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CC8F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A9C8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7D99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749A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2AF7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9EC3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C3F95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98F1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E5EC1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516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747B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66EF48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972E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营商环境主管部门满意度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2EAD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DAD03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D0E8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2EDA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1952A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BF6F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E861E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AAB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AB8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922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E477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各指标单位满意度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6ACE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927D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FC69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83403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4F6DB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8BC4B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277F3C">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BF6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182A4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1DFD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8BDC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1A36C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19A69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A3BA94">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0EF94E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4F2962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63324B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3CE74D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53F19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9A149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4FC339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1FD1EA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A565E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2D47E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6BE7EA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49BA2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3B5933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BAA10F8">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2DFF6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0FB768F">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759B48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126990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【特定工作】营商环境优化提升咨询服务</w:t>
            </w:r>
          </w:p>
        </w:tc>
      </w:tr>
      <w:tr w14:paraId="30C09365">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59EC06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53D30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8C73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6DD4A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许昌市优化营商环境服务中心</w:t>
            </w:r>
          </w:p>
        </w:tc>
      </w:tr>
      <w:tr w14:paraId="314370B8">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36DF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343E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A6BFB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FCE5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A61D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066E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FDB0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AFFE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7E5409">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84C2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8A9D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E8C8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BB64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FD4D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B055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223C1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86.11</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2029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w:t>
            </w:r>
          </w:p>
        </w:tc>
      </w:tr>
      <w:tr w14:paraId="1B52662B">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A54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6976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210DF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501D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0BB68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202A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5723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86.11</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534309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A3D38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6626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C2D3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EDC2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5D5F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6732F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029B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04B5C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71DB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A60D85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205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B256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74A8D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1953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64BDE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7C5A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4F43F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CDE7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3A8188">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6C19E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549E2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7175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4A8AD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EB97A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31C42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DDD37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2036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A9D79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46C06D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安排科学，实施步骤、时间节点安排合理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7EF03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A936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1EDFE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F10528F">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0AB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12B1A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AE7AB0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拨付流程合规，不存在违规拨付</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237B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C61A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1C035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DBB0107">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B5D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60DD52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5B28AB7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未发生占用、挪用、截留等违规问题，资金管理规范</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36B6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9AD9A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00BE5C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4A93B379">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9B6C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4FD36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0BEF34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严格按照财务规定进行绩效管理</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3D388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88C1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1438C8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w:t>
            </w:r>
          </w:p>
        </w:tc>
      </w:tr>
      <w:tr w14:paraId="6792AEB2">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1C9AE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4BFF1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4717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ED1A59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38E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69A09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提前做好2025年营商环境评价，根据市政府工作安排，中心拟聘请营商环境专家团队对我市2024年营商环境各个领域进行深入研究指导，帮助指标单位查漏补缺，提出问题整改建议。专家团队拟对市直各部门进行2轮次的指标优化提升，第一轮对27个指标进行全面摸排，集中梳理问题，列出问题清单；第二轮根据摸排的问题清单，对标国内、省内先进水平，结合最新政策导向和我市现状，明确2025年需重点整改提升的事项，提出有针对性的优化建议。</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346D8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严格按照资金使用范围聘亲国内专业团队对为欧式营商环境相关部门进行业务指导和提升，对标国内。省内先进水平，我市营商环境进一步提升。</w:t>
            </w:r>
          </w:p>
        </w:tc>
      </w:tr>
      <w:tr w14:paraId="1852ABC4">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6DDC8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4FCE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C204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05CC4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23524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FB7B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9DB49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B4EC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0DDB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B513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AE79C1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C1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2BA0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77DC7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CD91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委托专家咨询服务费用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B3D0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C68A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15.5万</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2AD6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E7A5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DD21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59A6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0FF8C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DBE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9D3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499DF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7467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0225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6342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386E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5A97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5F9C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D5E2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CFAD5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B2C7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5D5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D087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9DE2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BF2E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D0E2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DF23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7EAF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5B848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AEA4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4D80F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84A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2F16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3186C9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3621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指标提升单位数量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00AD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937F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C347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6EB7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C9B6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D0CA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8D8E6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BC6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EF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80A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DBE0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实地调研单位数量</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5AC6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49AB1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27家</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D0A6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B168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D192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4450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381E17">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E9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BC6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4088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D0B8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培训合格率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CF28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2CCF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B855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F30E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1241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4CF3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23B5E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8E6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FDC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DEC7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39AF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培训服务完成时间</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41D8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064D5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A0D8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3813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4E3F5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85D6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097D8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AB4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4AF59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AB28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5BBD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对市场主体的政务服务</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34C3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CE45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601C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6313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717C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FB94F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2EDDF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51C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0BB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5766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2332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市场主体良好的营商环境</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618F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FA1A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E1B2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2F14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E55F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BACC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CE3FD4">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3B5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ACC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9E83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C93E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生活环境</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E8B4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1DE6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E7A9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921B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7F19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BFEF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5A0D2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44A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6D2FF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76189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524C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营商环境主管部门满意度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10F2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AE89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354F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E4F7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B111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1D7D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BFC631">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8A3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2BF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051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FD1E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各指标单位满意度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0D48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0C2A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2B58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4EFB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1F04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C3CA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27E9C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7B1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2B5D6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C2A4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F637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98.61</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4FB2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07B6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A4282D">
        <w:tblPrEx>
          <w:tblCellMar>
            <w:top w:w="0" w:type="dxa"/>
            <w:left w:w="20" w:type="dxa"/>
            <w:bottom w:w="0" w:type="dxa"/>
            <w:right w:w="20" w:type="dxa"/>
          </w:tblCellMar>
        </w:tblPrEx>
        <w:trPr>
          <w:trHeight w:val="0" w:hRule="atLeast"/>
          <w:jc w:val="center"/>
        </w:trPr>
        <w:tc>
          <w:tcPr>
            <w:tcW w:w="135" w:type="pct"/>
            <w:tcBorders>
              <w:top w:val="single" w:color="000000" w:sz="4" w:space="0"/>
              <w:left w:val="single" w:color="000000" w:sz="4" w:space="0"/>
              <w:bottom w:val="single" w:color="000000" w:sz="4" w:space="0"/>
              <w:right w:val="single" w:color="000000" w:sz="4" w:space="0"/>
            </w:tcBorders>
            <w:noWrap w:val="0"/>
            <w:vAlign w:val="center"/>
          </w:tcPr>
          <w:p w14:paraId="3E309A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E0FA8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5BD73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0" w:type="pct"/>
            <w:tcBorders>
              <w:top w:val="single" w:color="000000" w:sz="4" w:space="0"/>
              <w:left w:val="single" w:color="000000" w:sz="4" w:space="0"/>
              <w:bottom w:val="single" w:color="000000" w:sz="4" w:space="0"/>
              <w:right w:val="single" w:color="000000" w:sz="4" w:space="0"/>
            </w:tcBorders>
            <w:noWrap w:val="0"/>
            <w:vAlign w:val="center"/>
          </w:tcPr>
          <w:p w14:paraId="4F5CB2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E4A6A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AA77F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3" w:type="pct"/>
            <w:tcBorders>
              <w:top w:val="single" w:color="000000" w:sz="4" w:space="0"/>
              <w:left w:val="single" w:color="000000" w:sz="4" w:space="0"/>
              <w:bottom w:val="single" w:color="000000" w:sz="4" w:space="0"/>
              <w:right w:val="single" w:color="000000" w:sz="4" w:space="0"/>
            </w:tcBorders>
            <w:noWrap w:val="0"/>
            <w:vAlign w:val="center"/>
          </w:tcPr>
          <w:p w14:paraId="7B36D0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2EF24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4497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2D2761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2E4B67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3AAD8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406AF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037468">
        <w:tblPrEx>
          <w:tblCellMar>
            <w:top w:w="0" w:type="dxa"/>
            <w:left w:w="20" w:type="dxa"/>
            <w:bottom w:w="0" w:type="dxa"/>
            <w:right w:w="20" w:type="dxa"/>
          </w:tblCellMar>
        </w:tblPrEx>
        <w:trPr>
          <w:trHeight w:val="0" w:hRule="atLeast"/>
          <w:jc w:val="center"/>
        </w:trPr>
        <w:tc>
          <w:tcPr>
            <w:tcW w:w="5000" w:type="pct"/>
            <w:gridSpan w:val="13"/>
            <w:tcBorders>
              <w:top w:val="single" w:color="000000" w:sz="4" w:space="0"/>
              <w:left w:val="single" w:color="000000" w:sz="4" w:space="0"/>
              <w:bottom w:val="single" w:color="000000" w:sz="4" w:space="0"/>
              <w:right w:val="single" w:color="000000" w:sz="4" w:space="0"/>
            </w:tcBorders>
            <w:noWrap w:val="0"/>
            <w:vAlign w:val="center"/>
          </w:tcPr>
          <w:p w14:paraId="0C5F3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3D9CDE2">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422025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4588" w:type="pct"/>
            <w:gridSpan w:val="11"/>
            <w:tcBorders>
              <w:top w:val="single" w:color="000000" w:sz="4" w:space="0"/>
              <w:left w:val="single" w:color="000000" w:sz="4" w:space="0"/>
              <w:bottom w:val="single" w:color="000000" w:sz="4" w:space="0"/>
              <w:right w:val="single" w:color="000000" w:sz="4" w:space="0"/>
            </w:tcBorders>
            <w:noWrap w:val="0"/>
            <w:vAlign w:val="center"/>
          </w:tcPr>
          <w:p w14:paraId="26D7B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【基本运转】重点项目建设服务保障工作经费</w:t>
            </w:r>
          </w:p>
        </w:tc>
      </w:tr>
      <w:tr w14:paraId="594CD2BD">
        <w:tblPrEx>
          <w:tblCellMar>
            <w:top w:w="0" w:type="dxa"/>
            <w:left w:w="20" w:type="dxa"/>
            <w:bottom w:w="0" w:type="dxa"/>
            <w:right w:w="20" w:type="dxa"/>
          </w:tblCellMar>
        </w:tblPrEx>
        <w:trPr>
          <w:trHeight w:val="0" w:hRule="atLeast"/>
          <w:jc w:val="center"/>
        </w:trPr>
        <w:tc>
          <w:tcPr>
            <w:tcW w:w="411" w:type="pct"/>
            <w:gridSpan w:val="2"/>
            <w:tcBorders>
              <w:top w:val="single" w:color="000000" w:sz="4" w:space="0"/>
              <w:left w:val="single" w:color="000000" w:sz="4" w:space="0"/>
              <w:bottom w:val="single" w:color="000000" w:sz="4" w:space="0"/>
              <w:right w:val="single" w:color="000000" w:sz="4" w:space="0"/>
            </w:tcBorders>
            <w:noWrap w:val="0"/>
            <w:vAlign w:val="center"/>
          </w:tcPr>
          <w:p w14:paraId="6BC34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234" w:type="pct"/>
            <w:gridSpan w:val="4"/>
            <w:tcBorders>
              <w:top w:val="single" w:color="000000" w:sz="4" w:space="0"/>
              <w:left w:val="single" w:color="000000" w:sz="4" w:space="0"/>
              <w:bottom w:val="single" w:color="000000" w:sz="4" w:space="0"/>
              <w:right w:val="single" w:color="000000" w:sz="4" w:space="0"/>
            </w:tcBorders>
            <w:noWrap w:val="0"/>
            <w:vAlign w:val="center"/>
          </w:tcPr>
          <w:p w14:paraId="46991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许昌市发展和改革委员会</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B31B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040" w:type="pct"/>
            <w:gridSpan w:val="5"/>
            <w:tcBorders>
              <w:top w:val="single" w:color="000000" w:sz="4" w:space="0"/>
              <w:left w:val="single" w:color="000000" w:sz="4" w:space="0"/>
              <w:bottom w:val="single" w:color="000000" w:sz="4" w:space="0"/>
              <w:right w:val="single" w:color="000000" w:sz="4" w:space="0"/>
            </w:tcBorders>
            <w:noWrap w:val="0"/>
            <w:vAlign w:val="center"/>
          </w:tcPr>
          <w:p w14:paraId="4107C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许昌市重点项目建设服务中心</w:t>
            </w:r>
          </w:p>
        </w:tc>
      </w:tr>
      <w:tr w14:paraId="37F5D9B5">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B4AA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14FB6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6E2FA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B0D8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2FAF9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51D17B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6FCE1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0FED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2F0AE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890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23CB8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FCC8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9A28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7F6E1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17.71</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3A352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1F00C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39.36</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8C0B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3.94</w:t>
            </w:r>
          </w:p>
        </w:tc>
      </w:tr>
      <w:tr w14:paraId="66622E40">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5AF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5FAC9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08791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E883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59512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17.71</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0D5FE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5257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39.36</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7B9A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3BE85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BCE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6685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51299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E7CE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4556D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7AF02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766A2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402E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39EAB4">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7236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4E4C9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285" w:type="pct"/>
            <w:gridSpan w:val="2"/>
            <w:tcBorders>
              <w:top w:val="single" w:color="000000" w:sz="4" w:space="0"/>
              <w:left w:val="single" w:color="000000" w:sz="4" w:space="0"/>
              <w:bottom w:val="single" w:color="000000" w:sz="4" w:space="0"/>
              <w:right w:val="single" w:color="000000" w:sz="4" w:space="0"/>
            </w:tcBorders>
            <w:noWrap w:val="0"/>
            <w:vAlign w:val="center"/>
          </w:tcPr>
          <w:p w14:paraId="3EE21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08C8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60" w:type="pct"/>
            <w:gridSpan w:val="2"/>
            <w:tcBorders>
              <w:top w:val="single" w:color="000000" w:sz="4" w:space="0"/>
              <w:left w:val="single" w:color="000000" w:sz="4" w:space="0"/>
              <w:bottom w:val="single" w:color="000000" w:sz="4" w:space="0"/>
              <w:right w:val="single" w:color="000000" w:sz="4" w:space="0"/>
            </w:tcBorders>
            <w:noWrap w:val="0"/>
            <w:vAlign w:val="center"/>
          </w:tcPr>
          <w:p w14:paraId="19CEA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 w:type="pct"/>
            <w:tcBorders>
              <w:top w:val="single" w:color="000000" w:sz="4" w:space="0"/>
              <w:left w:val="single" w:color="000000" w:sz="4" w:space="0"/>
              <w:bottom w:val="single" w:color="000000" w:sz="4" w:space="0"/>
              <w:right w:val="single" w:color="000000" w:sz="4" w:space="0"/>
            </w:tcBorders>
            <w:noWrap w:val="0"/>
            <w:vAlign w:val="center"/>
          </w:tcPr>
          <w:p w14:paraId="4E102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247" w:type="pct"/>
            <w:tcBorders>
              <w:top w:val="single" w:color="000000" w:sz="4" w:space="0"/>
              <w:left w:val="single" w:color="000000" w:sz="4" w:space="0"/>
              <w:bottom w:val="single" w:color="000000" w:sz="4" w:space="0"/>
              <w:right w:val="single" w:color="000000" w:sz="4" w:space="0"/>
            </w:tcBorders>
            <w:noWrap w:val="0"/>
            <w:vAlign w:val="center"/>
          </w:tcPr>
          <w:p w14:paraId="48808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9A5A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A226CB9">
        <w:tblPrEx>
          <w:tblCellMar>
            <w:top w:w="0" w:type="dxa"/>
            <w:left w:w="20" w:type="dxa"/>
            <w:bottom w:w="0" w:type="dxa"/>
            <w:right w:w="20" w:type="dxa"/>
          </w:tblCellMar>
        </w:tblPrEx>
        <w:trPr>
          <w:trHeight w:val="0" w:hRule="atLeast"/>
          <w:jc w:val="center"/>
        </w:trPr>
        <w:tc>
          <w:tcPr>
            <w:tcW w:w="411"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7947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788D17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EA874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FF76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EDFD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743C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937DF5D">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ED5D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36293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63E1594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项目预算紧扣年度重点任务，围绕重大项目谋划、重大项目集中开工等核心工作需求，科学设定支出方向，经费申请依据充分，内容详实，与重点工作安排匹配度高。</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06745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8FCF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74FF61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DB602E">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0B2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3AC803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1F714B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严格按照财政资金管理规定履行拨付程序，依据年度预算安排和实际工作进度提出用款申请，审批流程规范严谨，资金拨付与工作任务节点衔接有序，及时到位。</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6BFB1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13C5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6F05AF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EF82A1">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712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3A67FB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3BB6BC3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项目支出严格执行预算批复用途，主要用于与重点项目建设服务保障直接相关的业务开支，资金使用边界清晰、手续完备、账目清楚，未发生挤占挪用等违规情形。</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249F9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9F8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4333C0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AA2598">
        <w:tblPrEx>
          <w:tblCellMar>
            <w:top w:w="0" w:type="dxa"/>
            <w:left w:w="20" w:type="dxa"/>
            <w:bottom w:w="0" w:type="dxa"/>
            <w:right w:w="20" w:type="dxa"/>
          </w:tblCellMar>
        </w:tblPrEx>
        <w:trPr>
          <w:trHeight w:val="0" w:hRule="atLeast"/>
          <w:jc w:val="center"/>
        </w:trPr>
        <w:tc>
          <w:tcPr>
            <w:tcW w:w="411"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A60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49" w:type="pct"/>
            <w:gridSpan w:val="2"/>
            <w:tcBorders>
              <w:top w:val="single" w:color="000000" w:sz="4" w:space="0"/>
              <w:left w:val="single" w:color="000000" w:sz="4" w:space="0"/>
              <w:bottom w:val="single" w:color="000000" w:sz="4" w:space="0"/>
              <w:right w:val="single" w:color="000000" w:sz="4" w:space="0"/>
            </w:tcBorders>
            <w:noWrap w:val="0"/>
            <w:vAlign w:val="center"/>
          </w:tcPr>
          <w:p w14:paraId="02B199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329" w:type="pct"/>
            <w:gridSpan w:val="3"/>
            <w:tcBorders>
              <w:top w:val="single" w:color="000000" w:sz="4" w:space="0"/>
              <w:left w:val="single" w:color="000000" w:sz="4" w:space="0"/>
              <w:bottom w:val="single" w:color="000000" w:sz="4" w:space="0"/>
              <w:right w:val="single" w:color="000000" w:sz="4" w:space="0"/>
            </w:tcBorders>
            <w:noWrap w:val="0"/>
            <w:vAlign w:val="center"/>
          </w:tcPr>
          <w:p w14:paraId="4A1BD7E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严格按照绩效目标对项目资金实施全过程监控，坚持“按需支出、厉行节约”原则，确保资金投向关键环节，各项培训、观摩、督导等活动均达到预期效果，资金使用效益良好。</w:t>
            </w:r>
          </w:p>
        </w:tc>
        <w:tc>
          <w:tcPr>
            <w:tcW w:w="270" w:type="pct"/>
            <w:tcBorders>
              <w:top w:val="single" w:color="000000" w:sz="4" w:space="0"/>
              <w:left w:val="single" w:color="000000" w:sz="4" w:space="0"/>
              <w:bottom w:val="single" w:color="000000" w:sz="4" w:space="0"/>
              <w:right w:val="single" w:color="000000" w:sz="4" w:space="0"/>
            </w:tcBorders>
            <w:noWrap w:val="0"/>
            <w:vAlign w:val="center"/>
          </w:tcPr>
          <w:p w14:paraId="54EC2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3858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897" w:type="pct"/>
            <w:gridSpan w:val="4"/>
            <w:tcBorders>
              <w:top w:val="single" w:color="000000" w:sz="4" w:space="0"/>
              <w:left w:val="single" w:color="000000" w:sz="4" w:space="0"/>
              <w:bottom w:val="single" w:color="000000" w:sz="4" w:space="0"/>
              <w:right w:val="single" w:color="000000" w:sz="4" w:space="0"/>
            </w:tcBorders>
            <w:noWrap w:val="0"/>
            <w:vAlign w:val="center"/>
          </w:tcPr>
          <w:p w14:paraId="2D9D2B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401D119">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5A539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3828B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60B6D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7DA860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2DA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10" w:type="pct"/>
            <w:gridSpan w:val="5"/>
            <w:tcBorders>
              <w:top w:val="single" w:color="000000" w:sz="4" w:space="0"/>
              <w:left w:val="single" w:color="000000" w:sz="4" w:space="0"/>
              <w:bottom w:val="single" w:color="000000" w:sz="4" w:space="0"/>
              <w:right w:val="single" w:color="000000" w:sz="4" w:space="0"/>
            </w:tcBorders>
            <w:noWrap w:val="0"/>
            <w:vAlign w:val="center"/>
          </w:tcPr>
          <w:p w14:paraId="3B4F8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本项目实施，保障全市重点项目建设服务保障工作的顺利开展，提升项目谋划储备水平，提高项目建设实施过程中遇到的困难和问题的协调解决能力，加强项目建设过程监管，确保重点项目按计划推进，为许昌经济发展提供有力支撑。</w:t>
            </w:r>
          </w:p>
        </w:tc>
        <w:tc>
          <w:tcPr>
            <w:tcW w:w="2354" w:type="pct"/>
            <w:gridSpan w:val="7"/>
            <w:tcBorders>
              <w:top w:val="single" w:color="000000" w:sz="4" w:space="0"/>
              <w:left w:val="single" w:color="000000" w:sz="4" w:space="0"/>
              <w:bottom w:val="single" w:color="000000" w:sz="4" w:space="0"/>
              <w:right w:val="single" w:color="000000" w:sz="4" w:space="0"/>
            </w:tcBorders>
            <w:noWrap w:val="0"/>
            <w:vAlign w:val="center"/>
          </w:tcPr>
          <w:p w14:paraId="7F32A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通过本项目实施，有效保障了全市重点项目建设服务保障工作顺利开展。全年规划市重点项目398个，超额完成年度目标；重大项目推进活动、集体调研、月度巡查等活动均按计划开展，督导服务完成率96%，培训合格率及学习培训覆盖率均达95%以上；重点项目固定资产投资增长5.4%，有力促进了全市经济发展，项目单位满意度达98%，年度总体目标基本实现。</w:t>
            </w:r>
          </w:p>
        </w:tc>
      </w:tr>
      <w:tr w14:paraId="53620709">
        <w:tblPrEx>
          <w:tblCellMar>
            <w:top w:w="0" w:type="dxa"/>
            <w:left w:w="20" w:type="dxa"/>
            <w:bottom w:w="0" w:type="dxa"/>
            <w:right w:w="20" w:type="dxa"/>
          </w:tblCellMar>
        </w:tblPrEx>
        <w:trPr>
          <w:trHeight w:val="0" w:hRule="atLeast"/>
          <w:jc w:val="center"/>
        </w:trPr>
        <w:tc>
          <w:tcPr>
            <w:tcW w:w="135" w:type="pct"/>
            <w:vMerge w:val="restart"/>
            <w:tcBorders>
              <w:top w:val="single" w:color="000000" w:sz="4" w:space="0"/>
              <w:left w:val="single" w:color="000000" w:sz="4" w:space="0"/>
              <w:bottom w:val="single" w:color="000000" w:sz="4" w:space="0"/>
              <w:right w:val="single" w:color="000000" w:sz="4" w:space="0"/>
            </w:tcBorders>
            <w:noWrap w:val="0"/>
            <w:vAlign w:val="center"/>
          </w:tcPr>
          <w:p w14:paraId="6CAF7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1833F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1D7BE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BCB8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3B9E0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546F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633C3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F692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5117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3D9F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6A0308B">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533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3751C2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80A31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6A51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项目总成本</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21E6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≤45万元</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DE86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17.71万元</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875E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4913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DB1CE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E143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B9E47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22D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E86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7F666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CC6B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05C3A2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2DDC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5A555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05BA2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1DF4A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3578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CF347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B0E8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389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5B607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280EF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F0FB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5DE8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98F7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B312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CC93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EB1B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267F3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8C7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10C89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66C4A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A708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谋划市重点项目个数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91E4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≥290个</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A3A6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398个</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2DB2B5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D5E9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2.88</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3A3A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7.24%</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6C67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领导重视项目谋划工作，且工作人员经过政策学习培训，业务能力提升，超额完成工作目标</w:t>
            </w:r>
          </w:p>
        </w:tc>
      </w:tr>
      <w:tr w14:paraId="6AFFD46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5E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D83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714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3520A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全省重大项目集中开工活动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5C94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7BE01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8039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1194E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16D3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1BAAE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B94130">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CB0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C92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73A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931D8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全市重点项目集体调研“以企观政”活动</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307D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8EAF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BA1E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3678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A674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93C4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ABE44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E18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26CB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39F9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B512E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月度访查次数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1E48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0514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78B7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BC9A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05EA3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0DE0E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9CCA9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F05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739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435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58E62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组织培训次数</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7F1EC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≥2次</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4DB9F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B3BE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7C298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67A84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0B25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受经费压减影响，原计划开展的两次培训调整为一次全市重点项目建管干部能力提升培训班；同时，因年度内各项工作任务繁重，统筹安排培训时间存在困难，导致培训频次未达年度指标。</w:t>
            </w:r>
          </w:p>
        </w:tc>
      </w:tr>
      <w:tr w14:paraId="06E8DD2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ED5E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9AD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restart"/>
            <w:tcBorders>
              <w:top w:val="single" w:color="000000" w:sz="4" w:space="0"/>
              <w:left w:val="single" w:color="000000" w:sz="4" w:space="0"/>
              <w:bottom w:val="single" w:color="000000" w:sz="4" w:space="0"/>
              <w:right w:val="single" w:color="000000" w:sz="4" w:space="0"/>
            </w:tcBorders>
            <w:noWrap w:val="0"/>
            <w:vAlign w:val="center"/>
          </w:tcPr>
          <w:p w14:paraId="2D0EA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8F2F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督导服务完成率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BF1A1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59EAE2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4C74A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565F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9F55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653C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3C7093">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1ED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7AB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F20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095D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培训合格率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67F5A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805ED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43C74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6D95E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8D3E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6AB3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1884D6">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C6D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EF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BEC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68913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学习培训覆盖率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5880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FDFA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0526F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8E26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806B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E8292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20DA4D">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087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F3F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2AEF7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23B9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各项活动计划完成及时率</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AE26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6444C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545D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6FEA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36FC4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7F39C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80E7EE">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68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restart"/>
            <w:tcBorders>
              <w:top w:val="single" w:color="000000" w:sz="4" w:space="0"/>
              <w:left w:val="single" w:color="000000" w:sz="4" w:space="0"/>
              <w:bottom w:val="single" w:color="000000" w:sz="4" w:space="0"/>
              <w:right w:val="single" w:color="000000" w:sz="4" w:space="0"/>
            </w:tcBorders>
            <w:noWrap w:val="0"/>
            <w:vAlign w:val="center"/>
          </w:tcPr>
          <w:p w14:paraId="15B4F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3D70A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03EA0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重点项目固定资产投资增速</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5F360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2B42D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23E8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1CC1D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14.57</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25A44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4C79E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市委、市政府全力抓项目建设，骨干企业产能释放与政策红利兑现</w:t>
            </w:r>
          </w:p>
        </w:tc>
      </w:tr>
      <w:tr w14:paraId="638E07A9">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5285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808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29CF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1F336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促进全市经济发展</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279BE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0865D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1CD5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546DF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12A50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F559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987032">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99A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DD1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0B7155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7623C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14046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376B7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7672D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2F001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718BE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634F8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0B7D9F">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0F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0"/>
            <w:vAlign w:val="center"/>
          </w:tcPr>
          <w:p w14:paraId="6EC7E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59" w:type="pct"/>
            <w:tcBorders>
              <w:top w:val="single" w:color="000000" w:sz="4" w:space="0"/>
              <w:left w:val="single" w:color="000000" w:sz="4" w:space="0"/>
              <w:bottom w:val="single" w:color="000000" w:sz="4" w:space="0"/>
              <w:right w:val="single" w:color="000000" w:sz="4" w:space="0"/>
            </w:tcBorders>
            <w:noWrap w:val="0"/>
            <w:vAlign w:val="center"/>
          </w:tcPr>
          <w:p w14:paraId="783C0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660" w:type="pct"/>
            <w:gridSpan w:val="2"/>
            <w:tcBorders>
              <w:top w:val="single" w:color="000000" w:sz="4" w:space="0"/>
              <w:left w:val="single" w:color="000000" w:sz="4" w:space="0"/>
              <w:bottom w:val="single" w:color="000000" w:sz="4" w:space="0"/>
              <w:right w:val="single" w:color="000000" w:sz="4" w:space="0"/>
            </w:tcBorders>
            <w:noWrap w:val="0"/>
            <w:vAlign w:val="center"/>
          </w:tcPr>
          <w:p w14:paraId="4766D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项目单位满意度</w:t>
            </w:r>
          </w:p>
        </w:tc>
        <w:tc>
          <w:tcPr>
            <w:tcW w:w="1015" w:type="pct"/>
            <w:tcBorders>
              <w:top w:val="single" w:color="000000" w:sz="4" w:space="0"/>
              <w:left w:val="single" w:color="000000" w:sz="4" w:space="0"/>
              <w:bottom w:val="single" w:color="000000" w:sz="4" w:space="0"/>
              <w:right w:val="single" w:color="000000" w:sz="4" w:space="0"/>
            </w:tcBorders>
            <w:noWrap w:val="0"/>
            <w:vAlign w:val="center"/>
          </w:tcPr>
          <w:p w14:paraId="46E7B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313" w:type="pct"/>
            <w:gridSpan w:val="2"/>
            <w:tcBorders>
              <w:top w:val="single" w:color="000000" w:sz="4" w:space="0"/>
              <w:left w:val="single" w:color="000000" w:sz="4" w:space="0"/>
              <w:bottom w:val="single" w:color="000000" w:sz="4" w:space="0"/>
              <w:right w:val="single" w:color="000000" w:sz="4" w:space="0"/>
            </w:tcBorders>
            <w:noWrap w:val="0"/>
            <w:vAlign w:val="center"/>
          </w:tcPr>
          <w:p w14:paraId="187AE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13D51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4B6F9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0F281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254BA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B022F5">
        <w:tblPrEx>
          <w:tblCellMar>
            <w:top w:w="0" w:type="dxa"/>
            <w:left w:w="20" w:type="dxa"/>
            <w:bottom w:w="0" w:type="dxa"/>
            <w:right w:w="20" w:type="dxa"/>
          </w:tblCellMar>
        </w:tblPrEx>
        <w:trPr>
          <w:trHeight w:val="0" w:hRule="atLeast"/>
          <w:jc w:val="center"/>
        </w:trPr>
        <w:tc>
          <w:tcPr>
            <w:tcW w:w="13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8BB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823" w:type="pct"/>
            <w:gridSpan w:val="7"/>
            <w:tcBorders>
              <w:top w:val="single" w:color="000000" w:sz="4" w:space="0"/>
              <w:left w:val="single" w:color="000000" w:sz="4" w:space="0"/>
              <w:bottom w:val="single" w:color="000000" w:sz="4" w:space="0"/>
              <w:right w:val="single" w:color="000000" w:sz="4" w:space="0"/>
            </w:tcBorders>
            <w:noWrap w:val="0"/>
            <w:vAlign w:val="center"/>
          </w:tcPr>
          <w:p w14:paraId="064EC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142" w:type="pct"/>
            <w:tcBorders>
              <w:top w:val="single" w:color="000000" w:sz="4" w:space="0"/>
              <w:left w:val="single" w:color="000000" w:sz="4" w:space="0"/>
              <w:bottom w:val="single" w:color="000000" w:sz="4" w:space="0"/>
              <w:right w:val="single" w:color="000000" w:sz="4" w:space="0"/>
            </w:tcBorders>
            <w:noWrap w:val="0"/>
            <w:vAlign w:val="center"/>
          </w:tcPr>
          <w:p w14:paraId="33F1C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217" w:type="pct"/>
            <w:tcBorders>
              <w:top w:val="single" w:color="000000" w:sz="4" w:space="0"/>
              <w:left w:val="single" w:color="000000" w:sz="4" w:space="0"/>
              <w:bottom w:val="single" w:color="000000" w:sz="4" w:space="0"/>
              <w:right w:val="single" w:color="000000" w:sz="4" w:space="0"/>
            </w:tcBorders>
            <w:noWrap w:val="0"/>
            <w:vAlign w:val="center"/>
          </w:tcPr>
          <w:p w14:paraId="30038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91.89</w:t>
            </w:r>
          </w:p>
        </w:tc>
        <w:tc>
          <w:tcPr>
            <w:tcW w:w="364" w:type="pct"/>
            <w:gridSpan w:val="2"/>
            <w:tcBorders>
              <w:top w:val="single" w:color="000000" w:sz="4" w:space="0"/>
              <w:left w:val="single" w:color="000000" w:sz="4" w:space="0"/>
              <w:bottom w:val="single" w:color="000000" w:sz="4" w:space="0"/>
              <w:right w:val="single" w:color="000000" w:sz="4" w:space="0"/>
            </w:tcBorders>
            <w:noWrap w:val="0"/>
            <w:vAlign w:val="center"/>
          </w:tcPr>
          <w:p w14:paraId="59083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315" w:type="pct"/>
            <w:tcBorders>
              <w:top w:val="single" w:color="000000" w:sz="4" w:space="0"/>
              <w:left w:val="single" w:color="000000" w:sz="4" w:space="0"/>
              <w:bottom w:val="single" w:color="000000" w:sz="4" w:space="0"/>
              <w:right w:val="single" w:color="000000" w:sz="4" w:space="0"/>
            </w:tcBorders>
            <w:noWrap w:val="0"/>
            <w:vAlign w:val="center"/>
          </w:tcPr>
          <w:p w14:paraId="3A7C6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00FE62B1">
      <w:pPr>
        <w:spacing w:line="20" w:lineRule="exact"/>
        <w:rPr>
          <w:vanish/>
        </w:rPr>
      </w:pPr>
    </w:p>
    <w:sectPr>
      <w:pgSz w:w="16838" w:h="11906" w:orient="landscape"/>
      <w:pgMar w:top="1800" w:right="1440" w:bottom="1800" w:left="144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EA5C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A66476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5A66476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FD4E4DB"/>
    <w:multiLevelType w:val="singleLevel"/>
    <w:tmpl w:val="BFD4E4DB"/>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22599A"/>
    <w:rsid w:val="01897DE2"/>
    <w:rsid w:val="04B0389B"/>
    <w:rsid w:val="09CC2D6C"/>
    <w:rsid w:val="0A1D552E"/>
    <w:rsid w:val="0D0D38A1"/>
    <w:rsid w:val="0FF30ADF"/>
    <w:rsid w:val="100B1569"/>
    <w:rsid w:val="123F13C6"/>
    <w:rsid w:val="1440384D"/>
    <w:rsid w:val="18101D52"/>
    <w:rsid w:val="1996115B"/>
    <w:rsid w:val="1B577D2D"/>
    <w:rsid w:val="1D4806BC"/>
    <w:rsid w:val="1DE035D1"/>
    <w:rsid w:val="1FD60D21"/>
    <w:rsid w:val="20744ABB"/>
    <w:rsid w:val="20CC01D5"/>
    <w:rsid w:val="213353E6"/>
    <w:rsid w:val="2366364A"/>
    <w:rsid w:val="24333BE3"/>
    <w:rsid w:val="2D0D0991"/>
    <w:rsid w:val="2E425361"/>
    <w:rsid w:val="31185880"/>
    <w:rsid w:val="31E46E3B"/>
    <w:rsid w:val="349A290B"/>
    <w:rsid w:val="353A7E23"/>
    <w:rsid w:val="38325F5E"/>
    <w:rsid w:val="397A06E1"/>
    <w:rsid w:val="3A830B2E"/>
    <w:rsid w:val="3C107D91"/>
    <w:rsid w:val="3C4A342B"/>
    <w:rsid w:val="3C862210"/>
    <w:rsid w:val="3E143AEF"/>
    <w:rsid w:val="41770CEE"/>
    <w:rsid w:val="41D2003F"/>
    <w:rsid w:val="4337194A"/>
    <w:rsid w:val="439E60B3"/>
    <w:rsid w:val="447B7530"/>
    <w:rsid w:val="45E61DF3"/>
    <w:rsid w:val="467F21AA"/>
    <w:rsid w:val="48B6445C"/>
    <w:rsid w:val="48F20B77"/>
    <w:rsid w:val="492139EC"/>
    <w:rsid w:val="49507E2D"/>
    <w:rsid w:val="4970701E"/>
    <w:rsid w:val="497A3B96"/>
    <w:rsid w:val="4A643210"/>
    <w:rsid w:val="4C1E06B7"/>
    <w:rsid w:val="4C3677AE"/>
    <w:rsid w:val="523E560F"/>
    <w:rsid w:val="52575E4D"/>
    <w:rsid w:val="529E36CC"/>
    <w:rsid w:val="55CE392B"/>
    <w:rsid w:val="58C249DB"/>
    <w:rsid w:val="59484FC5"/>
    <w:rsid w:val="5B527A35"/>
    <w:rsid w:val="5DCA0C09"/>
    <w:rsid w:val="5F6460BD"/>
    <w:rsid w:val="608324D2"/>
    <w:rsid w:val="60BC66F6"/>
    <w:rsid w:val="61B63755"/>
    <w:rsid w:val="624A085E"/>
    <w:rsid w:val="64DE77A6"/>
    <w:rsid w:val="68B731E7"/>
    <w:rsid w:val="69F8615D"/>
    <w:rsid w:val="6F1A6664"/>
    <w:rsid w:val="70F3716D"/>
    <w:rsid w:val="716A4DBB"/>
    <w:rsid w:val="71D2259F"/>
    <w:rsid w:val="722C0B88"/>
    <w:rsid w:val="736856FA"/>
    <w:rsid w:val="737C091C"/>
    <w:rsid w:val="73CF562F"/>
    <w:rsid w:val="75DF2E4D"/>
    <w:rsid w:val="77195BE7"/>
    <w:rsid w:val="7834054B"/>
    <w:rsid w:val="786B3E1B"/>
    <w:rsid w:val="78B2182E"/>
    <w:rsid w:val="7B8A4479"/>
    <w:rsid w:val="7C61520D"/>
    <w:rsid w:val="7D376633"/>
    <w:rsid w:val="7D9817C8"/>
    <w:rsid w:val="7F3350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7e5ec2fa-55e8-4e81-b0ae-d283331b95aa"/>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869229490"/>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Words>
  <Characters>30</Characters>
  <Lines>1</Lines>
  <Paragraphs>1</Paragraphs>
  <TotalTime>6</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2026-10-21T07:32:51Z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80A2BF46758947F3ADC769E9E5B1F158_13</vt:lpwstr>
  </property>
  <property fmtid="{D5CDD505-2E9C-101B-9397-08002B2CF9AE}" pid="4" name="KSOTemplateDocerSaveRecord">
    <vt:lpwstr>eyJoZGlkIjoiYmQwMjRmZmNkODhhNTY5NzdjNTUyNjQ3ZDI1YWRhNTAiLCJ1c2VySWQiOiI2MTg4MTQ1MDIifQ==</vt:lpwstr>
  </property>
</Properties>
</file>