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p14 w15">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default"/>
          <w:kern w:val="2"/>
          <w:sz w:val="44"/>
          <w:szCs w:val="44"/>
          <w:lang w:val="en-US"/>
        </w:rPr>
      </w:pPr>
      <w:r>
        <w:rPr>
          <w:rFonts w:ascii="黑体" w:eastAsia="黑体" w:hAnsi="宋体" w:cs="黑体" w:hint="eastAsia"/>
          <w:kern w:val="2"/>
          <w:sz w:val="44"/>
          <w:szCs w:val="44"/>
          <w:lang w:val="en-US" w:eastAsia="zh-CN"/>
        </w:rPr>
        <w:t xml:space="preserve">许昌日报社</w:t>
      </w:r>
      <w:r>
        <w:rPr>
          <w:rFonts w:ascii="黑体" w:eastAsia="黑体" w:hAnsi="宋体" w:cs="黑体" w:hint="eastAsia"/>
          <w:kern w:val="2"/>
          <w:sz w:val="44"/>
          <w:szCs w:val="44"/>
          <w:lang w:val="en-US" w:eastAsia="zh-CN"/>
        </w:rPr>
        <w:t xml:space="preserve">部门决算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许昌日报社</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部门职责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许昌日报社概况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围绕中心、服务大局，强力提升主流媒体的舆论引导能力。加快平台建设，推进传统媒体与新兴媒体的融合；创新经营模式，推进媒体经营与市场的融合；改革体制机制，推进媒体管理与建立现代企业制度的融合，为努力推动报社各项事业再上新台阶打下坚实的基础。</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许昌日报社</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23</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总编室、记者部、社会新闻部、房产商业部、经委办、金融保险部、工信部、文化生活部、汽车部、医疗医药部、法制部、党办、人力资源部、评论部、教育部、新闻管理部、财务部、广告监管部、城市电视部、监察室、摄影美术部、校对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许昌日报社</w:t>
      </w:r>
      <w:r>
        <w:rPr>
          <w:rFonts w:ascii="仿宋" w:eastAsia="仿宋" w:hAnsi="仿宋" w:cs="仿宋" w:hint="eastAsia"/>
          <w:kern w:val="0"/>
          <w:sz w:val="32"/>
          <w:szCs w:val="32"/>
          <w:lang w:val="en-US" w:eastAsia="zh-CN"/>
        </w:rPr>
        <w:t xml:space="preserve">部门决算包括：本级决算（1个）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纳入本部门2023年度部门决算编制范围的单位共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许昌日报社 （本级）</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_GB2312" w:eastAsia="仿宋_GB2312" w:hAnsi="宋体" w:cs="仿宋_GB2312" w:hint="eastAsia"/>
          <w:kern w:val="0"/>
          <w:sz w:val="32"/>
          <w:szCs w:val="32"/>
          <w:lang w:val="en-US" w:eastAsia="zh-CN"/>
        </w:rPr>
      </w:pPr>
    </w:p>
    <w:p>
      <w:pPr>
        <w:bidi w:val="0"/>
        <w:rPr>
          <w:rFonts w:hint="eastAsia"/>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2023年度部门决算表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部门：许昌日报社</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2,138.65</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3,835.77</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5,000.38</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0.85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2.50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5,974.43</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5,003.73</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-1,678.72</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-708.02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4,295.71</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4,295.71</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注：1.本表反映部门本年度的总收支和年末结转结余情况。</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部门：许昌日报社</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5,974.43</w:t>
            </w:r>
          </w:p>
        </w:tc>
        <w:tc>
          <w:tcPr>
            <w:tcW w:w="1440" w:type="dxa"/>
            <w:tcBorders/>
            <w:vAlign w:val="center"/>
          </w:tcPr>
          <w:p>
            <w:pPr>
              <w:jc w:val="right"/>
            </w:pPr>
            <w:r>
              <w:rPr>
                <w:rFonts w:ascii="宋体" w:eastAsia="宋体" w:hAnsi="宋体" w:cs="宋体"/>
                <w:b/>
                <w:i w:val="0"/>
                <w:color w:val="000000"/>
                <w:sz w:val="17"/>
              </w:rPr>
              <w:t xml:space="preserve">2,138.65</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3,835.77</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文化旅游体育与传媒支出</w:t>
            </w:r>
          </w:p>
        </w:tc>
        <w:tc>
          <w:tcPr>
            <w:tcW w:w="1440" w:type="dxa"/>
            <w:tcBorders/>
            <w:vAlign w:val="center"/>
          </w:tcPr>
          <w:p>
            <w:pPr>
              <w:jc w:val="right"/>
            </w:pPr>
            <w:r>
              <w:rPr>
                <w:rFonts w:ascii="宋体" w:eastAsia="宋体" w:hAnsi="宋体" w:cs="宋体"/>
                <w:b w:val="0"/>
                <w:i w:val="0"/>
                <w:color w:val="000000"/>
                <w:sz w:val="17"/>
              </w:rPr>
              <w:t xml:space="preserve">5,971.07</w:t>
            </w:r>
          </w:p>
        </w:tc>
        <w:tc>
          <w:tcPr>
            <w:tcW w:w="1440" w:type="dxa"/>
            <w:tcBorders/>
            <w:vAlign w:val="center"/>
          </w:tcPr>
          <w:p>
            <w:pPr>
              <w:jc w:val="right"/>
            </w:pPr>
            <w:r>
              <w:rPr>
                <w:rFonts w:ascii="宋体" w:eastAsia="宋体" w:hAnsi="宋体" w:cs="宋体"/>
                <w:b w:val="0"/>
                <w:i w:val="0"/>
                <w:color w:val="000000"/>
                <w:sz w:val="17"/>
              </w:rPr>
              <w:t xml:space="preserve">2,135.30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3,835.77</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新闻出版电影</w:t>
            </w:r>
          </w:p>
        </w:tc>
        <w:tc>
          <w:tcPr>
            <w:tcW w:w="1440" w:type="dxa"/>
            <w:tcBorders/>
            <w:vAlign w:val="center"/>
          </w:tcPr>
          <w:p>
            <w:pPr>
              <w:jc w:val="right"/>
            </w:pPr>
            <w:r>
              <w:rPr>
                <w:rFonts w:ascii="宋体" w:eastAsia="宋体" w:hAnsi="宋体" w:cs="宋体"/>
                <w:b w:val="0"/>
                <w:i w:val="0"/>
                <w:color w:val="000000"/>
                <w:sz w:val="17"/>
              </w:rPr>
              <w:t xml:space="preserve">5,506.07</w:t>
            </w:r>
          </w:p>
        </w:tc>
        <w:tc>
          <w:tcPr>
            <w:tcW w:w="1440" w:type="dxa"/>
            <w:tcBorders/>
            <w:vAlign w:val="center"/>
          </w:tcPr>
          <w:p>
            <w:pPr>
              <w:jc w:val="right"/>
            </w:pPr>
            <w:r>
              <w:rPr>
                <w:rFonts w:ascii="宋体" w:eastAsia="宋体" w:hAnsi="宋体" w:cs="宋体"/>
                <w:b w:val="0"/>
                <w:i w:val="0"/>
                <w:color w:val="000000"/>
                <w:sz w:val="17"/>
              </w:rPr>
              <w:t xml:space="preserve">1,670.30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3,835.77</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2070605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出版发行</w:t>
            </w:r>
          </w:p>
        </w:tc>
        <w:tc>
          <w:tcPr>
            <w:tcW w:w="1440" w:type="dxa"/>
            <w:tcBorders/>
            <w:vAlign w:val="center"/>
          </w:tcPr>
          <w:p>
            <w:pPr>
              <w:jc w:val="right"/>
            </w:pPr>
            <w:r>
              <w:rPr>
                <w:rFonts w:ascii="宋体" w:eastAsia="宋体" w:hAnsi="宋体" w:cs="宋体"/>
                <w:b w:val="0"/>
                <w:i w:val="0"/>
                <w:color w:val="000000"/>
                <w:sz w:val="17"/>
              </w:rPr>
              <w:t xml:space="preserve">5,506.07</w:t>
            </w:r>
          </w:p>
        </w:tc>
        <w:tc>
          <w:tcPr>
            <w:tcW w:w="1440" w:type="dxa"/>
            <w:tcBorders/>
            <w:vAlign w:val="center"/>
          </w:tcPr>
          <w:p>
            <w:pPr>
              <w:jc w:val="right"/>
            </w:pPr>
            <w:r>
              <w:rPr>
                <w:rFonts w:ascii="宋体" w:eastAsia="宋体" w:hAnsi="宋体" w:cs="宋体"/>
                <w:b w:val="0"/>
                <w:i w:val="0"/>
                <w:color w:val="000000"/>
                <w:sz w:val="17"/>
              </w:rPr>
              <w:t xml:space="preserve">1,670.30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3,835.77</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其他文化旅游体育与传媒支出</w:t>
            </w:r>
          </w:p>
        </w:tc>
        <w:tc>
          <w:tcPr>
            <w:tcW w:w="1440" w:type="dxa"/>
            <w:tcBorders/>
            <w:vAlign w:val="center"/>
          </w:tcPr>
          <w:p>
            <w:pPr>
              <w:jc w:val="right"/>
            </w:pPr>
            <w:r>
              <w:rPr>
                <w:rFonts w:ascii="宋体" w:eastAsia="宋体" w:hAnsi="宋体" w:cs="宋体"/>
                <w:b w:val="0"/>
                <w:i w:val="0"/>
                <w:color w:val="000000"/>
                <w:sz w:val="17"/>
              </w:rPr>
              <w:t xml:space="preserve">465.00</w:t>
            </w:r>
          </w:p>
        </w:tc>
        <w:tc>
          <w:tcPr>
            <w:tcW w:w="1440" w:type="dxa"/>
            <w:tcBorders/>
            <w:vAlign w:val="center"/>
          </w:tcPr>
          <w:p>
            <w:pPr>
              <w:jc w:val="right"/>
            </w:pPr>
            <w:r>
              <w:rPr>
                <w:rFonts w:ascii="宋体" w:eastAsia="宋体" w:hAnsi="宋体" w:cs="宋体"/>
                <w:b w:val="0"/>
                <w:i w:val="0"/>
                <w:color w:val="000000"/>
                <w:sz w:val="17"/>
              </w:rPr>
              <w:t xml:space="preserve">465.00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2079902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宣传文化发展专项支出</w:t>
            </w:r>
          </w:p>
        </w:tc>
        <w:tc>
          <w:tcPr>
            <w:tcW w:w="1440" w:type="dxa"/>
            <w:tcBorders/>
            <w:vAlign w:val="center"/>
          </w:tcPr>
          <w:p>
            <w:pPr>
              <w:jc w:val="right"/>
            </w:pPr>
            <w:r>
              <w:rPr>
                <w:rFonts w:ascii="宋体" w:eastAsia="宋体" w:hAnsi="宋体" w:cs="宋体"/>
                <w:b w:val="0"/>
                <w:i w:val="0"/>
                <w:color w:val="000000"/>
                <w:sz w:val="17"/>
              </w:rPr>
              <w:t xml:space="preserve">465.00</w:t>
            </w:r>
          </w:p>
        </w:tc>
        <w:tc>
          <w:tcPr>
            <w:tcW w:w="1440" w:type="dxa"/>
            <w:tcBorders/>
            <w:vAlign w:val="center"/>
          </w:tcPr>
          <w:p>
            <w:pPr>
              <w:jc w:val="right"/>
            </w:pPr>
            <w:r>
              <w:rPr>
                <w:rFonts w:ascii="宋体" w:eastAsia="宋体" w:hAnsi="宋体" w:cs="宋体"/>
                <w:b w:val="0"/>
                <w:i w:val="0"/>
                <w:color w:val="000000"/>
                <w:sz w:val="17"/>
              </w:rPr>
              <w:t xml:space="preserve">465.00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0.85</w:t>
            </w:r>
          </w:p>
        </w:tc>
        <w:tc>
          <w:tcPr>
            <w:tcW w:w="1440" w:type="dxa"/>
            <w:tcBorders/>
            <w:vAlign w:val="center"/>
          </w:tcPr>
          <w:p>
            <w:pPr>
              <w:jc w:val="right"/>
            </w:pPr>
            <w:r>
              <w:rPr>
                <w:rFonts w:ascii="宋体" w:eastAsia="宋体" w:hAnsi="宋体" w:cs="宋体"/>
                <w:b w:val="0"/>
                <w:i w:val="0"/>
                <w:color w:val="000000"/>
                <w:sz w:val="17"/>
              </w:rPr>
              <w:t xml:space="preserve">0.85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就业补助</w:t>
            </w:r>
          </w:p>
        </w:tc>
        <w:tc>
          <w:tcPr>
            <w:tcW w:w="1440" w:type="dxa"/>
            <w:tcBorders/>
            <w:vAlign w:val="center"/>
          </w:tcPr>
          <w:p>
            <w:pPr>
              <w:jc w:val="right"/>
            </w:pPr>
            <w:r>
              <w:rPr>
                <w:rFonts w:ascii="宋体" w:eastAsia="宋体" w:hAnsi="宋体" w:cs="宋体"/>
                <w:b w:val="0"/>
                <w:i w:val="0"/>
                <w:color w:val="000000"/>
                <w:sz w:val="17"/>
              </w:rPr>
              <w:t xml:space="preserve">0.85</w:t>
            </w:r>
          </w:p>
        </w:tc>
        <w:tc>
          <w:tcPr>
            <w:tcW w:w="1440" w:type="dxa"/>
            <w:tcBorders/>
            <w:vAlign w:val="center"/>
          </w:tcPr>
          <w:p>
            <w:pPr>
              <w:jc w:val="right"/>
            </w:pPr>
            <w:r>
              <w:rPr>
                <w:rFonts w:ascii="宋体" w:eastAsia="宋体" w:hAnsi="宋体" w:cs="宋体"/>
                <w:b w:val="0"/>
                <w:i w:val="0"/>
                <w:color w:val="000000"/>
                <w:sz w:val="17"/>
              </w:rPr>
              <w:t xml:space="preserve">0.85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其他就业补助支出</w:t>
            </w:r>
          </w:p>
        </w:tc>
        <w:tc>
          <w:tcPr>
            <w:tcW w:w="1440" w:type="dxa"/>
            <w:tcBorders/>
            <w:vAlign w:val="center"/>
          </w:tcPr>
          <w:p>
            <w:pPr>
              <w:jc w:val="right"/>
            </w:pPr>
            <w:r>
              <w:rPr>
                <w:rFonts w:ascii="宋体" w:eastAsia="宋体" w:hAnsi="宋体" w:cs="宋体"/>
                <w:b w:val="0"/>
                <w:i w:val="0"/>
                <w:color w:val="000000"/>
                <w:sz w:val="17"/>
              </w:rPr>
              <w:t xml:space="preserve">0.85</w:t>
            </w:r>
          </w:p>
        </w:tc>
        <w:tc>
          <w:tcPr>
            <w:tcW w:w="1440" w:type="dxa"/>
            <w:tcBorders/>
            <w:vAlign w:val="center"/>
          </w:tcPr>
          <w:p>
            <w:pPr>
              <w:jc w:val="right"/>
            </w:pPr>
            <w:r>
              <w:rPr>
                <w:rFonts w:ascii="宋体" w:eastAsia="宋体" w:hAnsi="宋体" w:cs="宋体"/>
                <w:b w:val="0"/>
                <w:i w:val="0"/>
                <w:color w:val="000000"/>
                <w:sz w:val="17"/>
              </w:rPr>
              <w:t xml:space="preserve">0.85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部门：许昌日报社</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5,003.73</w:t>
            </w:r>
          </w:p>
        </w:tc>
        <w:tc>
          <w:tcPr>
            <w:tcW w:w="1600" w:type="dxa"/>
            <w:tcBorders/>
            <w:vAlign w:val="center"/>
          </w:tcPr>
          <w:p>
            <w:pPr>
              <w:jc w:val="right"/>
            </w:pPr>
            <w:r>
              <w:rPr>
                <w:rFonts w:ascii="宋体" w:eastAsia="宋体" w:hAnsi="宋体" w:cs="宋体"/>
                <w:b/>
                <w:i w:val="0"/>
                <w:color w:val="000000"/>
                <w:sz w:val="19"/>
              </w:rPr>
              <w:t xml:space="preserve">2,136.15</w:t>
            </w:r>
          </w:p>
        </w:tc>
        <w:tc>
          <w:tcPr>
            <w:tcW w:w="1600" w:type="dxa"/>
            <w:tcBorders/>
            <w:vAlign w:val="center"/>
          </w:tcPr>
          <w:p>
            <w:pPr>
              <w:jc w:val="right"/>
            </w:pPr>
            <w:r>
              <w:rPr>
                <w:rFonts w:ascii="宋体" w:eastAsia="宋体" w:hAnsi="宋体" w:cs="宋体"/>
                <w:b/>
                <w:i w:val="0"/>
                <w:color w:val="000000"/>
                <w:sz w:val="19"/>
              </w:rPr>
              <w:t xml:space="preserve">2.50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2,865.08</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文化旅游体育与传媒支出</w:t>
            </w:r>
          </w:p>
        </w:tc>
        <w:tc>
          <w:tcPr>
            <w:tcW w:w="1600" w:type="dxa"/>
            <w:tcBorders/>
            <w:vAlign w:val="center"/>
          </w:tcPr>
          <w:p>
            <w:pPr>
              <w:jc w:val="right"/>
            </w:pPr>
            <w:r>
              <w:rPr>
                <w:rFonts w:ascii="宋体" w:eastAsia="宋体" w:hAnsi="宋体" w:cs="宋体"/>
                <w:b w:val="0"/>
                <w:i w:val="0"/>
                <w:color w:val="000000"/>
                <w:sz w:val="19"/>
              </w:rPr>
              <w:t xml:space="preserve">5,000.38</w:t>
            </w:r>
          </w:p>
        </w:tc>
        <w:tc>
          <w:tcPr>
            <w:tcW w:w="1600" w:type="dxa"/>
            <w:tcBorders/>
            <w:vAlign w:val="center"/>
          </w:tcPr>
          <w:p>
            <w:pPr>
              <w:jc w:val="right"/>
            </w:pPr>
            <w:r>
              <w:rPr>
                <w:rFonts w:ascii="宋体" w:eastAsia="宋体" w:hAnsi="宋体" w:cs="宋体"/>
                <w:b w:val="0"/>
                <w:i w:val="0"/>
                <w:color w:val="000000"/>
                <w:sz w:val="19"/>
              </w:rPr>
              <w:t xml:space="preserve">2,135.30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2,865.08</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新闻出版电影</w:t>
            </w:r>
          </w:p>
        </w:tc>
        <w:tc>
          <w:tcPr>
            <w:tcW w:w="1600" w:type="dxa"/>
            <w:tcBorders/>
            <w:vAlign w:val="center"/>
          </w:tcPr>
          <w:p>
            <w:pPr>
              <w:jc w:val="right"/>
            </w:pPr>
            <w:r>
              <w:rPr>
                <w:rFonts w:ascii="宋体" w:eastAsia="宋体" w:hAnsi="宋体" w:cs="宋体"/>
                <w:b w:val="0"/>
                <w:i w:val="0"/>
                <w:color w:val="000000"/>
                <w:sz w:val="19"/>
              </w:rPr>
              <w:t xml:space="preserve">4,535.38</w:t>
            </w:r>
          </w:p>
        </w:tc>
        <w:tc>
          <w:tcPr>
            <w:tcW w:w="1600" w:type="dxa"/>
            <w:tcBorders/>
            <w:vAlign w:val="center"/>
          </w:tcPr>
          <w:p>
            <w:pPr>
              <w:jc w:val="right"/>
            </w:pPr>
            <w:r>
              <w:rPr>
                <w:rFonts w:ascii="宋体" w:eastAsia="宋体" w:hAnsi="宋体" w:cs="宋体"/>
                <w:b w:val="0"/>
                <w:i w:val="0"/>
                <w:color w:val="000000"/>
                <w:sz w:val="19"/>
              </w:rPr>
              <w:t xml:space="preserve">1,670.30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2,865.08</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2070605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出版发行</w:t>
            </w:r>
          </w:p>
        </w:tc>
        <w:tc>
          <w:tcPr>
            <w:tcW w:w="1600" w:type="dxa"/>
            <w:tcBorders/>
            <w:vAlign w:val="center"/>
          </w:tcPr>
          <w:p>
            <w:pPr>
              <w:jc w:val="right"/>
            </w:pPr>
            <w:r>
              <w:rPr>
                <w:rFonts w:ascii="宋体" w:eastAsia="宋体" w:hAnsi="宋体" w:cs="宋体"/>
                <w:b w:val="0"/>
                <w:i w:val="0"/>
                <w:color w:val="000000"/>
                <w:sz w:val="19"/>
              </w:rPr>
              <w:t xml:space="preserve">4,535.38</w:t>
            </w:r>
          </w:p>
        </w:tc>
        <w:tc>
          <w:tcPr>
            <w:tcW w:w="1600" w:type="dxa"/>
            <w:tcBorders/>
            <w:vAlign w:val="center"/>
          </w:tcPr>
          <w:p>
            <w:pPr>
              <w:jc w:val="right"/>
            </w:pPr>
            <w:r>
              <w:rPr>
                <w:rFonts w:ascii="宋体" w:eastAsia="宋体" w:hAnsi="宋体" w:cs="宋体"/>
                <w:b w:val="0"/>
                <w:i w:val="0"/>
                <w:color w:val="000000"/>
                <w:sz w:val="19"/>
              </w:rPr>
              <w:t xml:space="preserve">1,670.30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2,865.08</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其他文化旅游体育与传媒支出</w:t>
            </w:r>
          </w:p>
        </w:tc>
        <w:tc>
          <w:tcPr>
            <w:tcW w:w="1600" w:type="dxa"/>
            <w:tcBorders/>
            <w:vAlign w:val="center"/>
          </w:tcPr>
          <w:p>
            <w:pPr>
              <w:jc w:val="right"/>
            </w:pPr>
            <w:r>
              <w:rPr>
                <w:rFonts w:ascii="宋体" w:eastAsia="宋体" w:hAnsi="宋体" w:cs="宋体"/>
                <w:b w:val="0"/>
                <w:i w:val="0"/>
                <w:color w:val="000000"/>
                <w:sz w:val="19"/>
              </w:rPr>
              <w:t xml:space="preserve">465.00</w:t>
            </w:r>
          </w:p>
        </w:tc>
        <w:tc>
          <w:tcPr>
            <w:tcW w:w="1600" w:type="dxa"/>
            <w:tcBorders/>
            <w:vAlign w:val="center"/>
          </w:tcPr>
          <w:p>
            <w:pPr>
              <w:jc w:val="right"/>
            </w:pPr>
            <w:r>
              <w:rPr>
                <w:rFonts w:ascii="宋体" w:eastAsia="宋体" w:hAnsi="宋体" w:cs="宋体"/>
                <w:b w:val="0"/>
                <w:i w:val="0"/>
                <w:color w:val="000000"/>
                <w:sz w:val="19"/>
              </w:rPr>
              <w:t xml:space="preserve">465.00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2079902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宣传文化发展专项支出</w:t>
            </w:r>
          </w:p>
        </w:tc>
        <w:tc>
          <w:tcPr>
            <w:tcW w:w="1600" w:type="dxa"/>
            <w:tcBorders/>
            <w:vAlign w:val="center"/>
          </w:tcPr>
          <w:p>
            <w:pPr>
              <w:jc w:val="right"/>
            </w:pPr>
            <w:r>
              <w:rPr>
                <w:rFonts w:ascii="宋体" w:eastAsia="宋体" w:hAnsi="宋体" w:cs="宋体"/>
                <w:b w:val="0"/>
                <w:i w:val="0"/>
                <w:color w:val="000000"/>
                <w:sz w:val="19"/>
              </w:rPr>
              <w:t xml:space="preserve">465.00</w:t>
            </w:r>
          </w:p>
        </w:tc>
        <w:tc>
          <w:tcPr>
            <w:tcW w:w="1600" w:type="dxa"/>
            <w:tcBorders/>
            <w:vAlign w:val="center"/>
          </w:tcPr>
          <w:p>
            <w:pPr>
              <w:jc w:val="right"/>
            </w:pPr>
            <w:r>
              <w:rPr>
                <w:rFonts w:ascii="宋体" w:eastAsia="宋体" w:hAnsi="宋体" w:cs="宋体"/>
                <w:b w:val="0"/>
                <w:i w:val="0"/>
                <w:color w:val="000000"/>
                <w:sz w:val="19"/>
              </w:rPr>
              <w:t xml:space="preserve">465.00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0.85</w:t>
            </w:r>
          </w:p>
        </w:tc>
        <w:tc>
          <w:tcPr>
            <w:tcW w:w="1600" w:type="dxa"/>
            <w:tcBorders/>
            <w:vAlign w:val="center"/>
          </w:tcPr>
          <w:p>
            <w:pPr>
              <w:jc w:val="right"/>
            </w:pPr>
            <w:r>
              <w:rPr>
                <w:rFonts w:ascii="宋体" w:eastAsia="宋体" w:hAnsi="宋体" w:cs="宋体"/>
                <w:b w:val="0"/>
                <w:i w:val="0"/>
                <w:color w:val="000000"/>
                <w:sz w:val="19"/>
              </w:rPr>
              <w:t xml:space="preserve">0.85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就业补助</w:t>
            </w:r>
          </w:p>
        </w:tc>
        <w:tc>
          <w:tcPr>
            <w:tcW w:w="1600" w:type="dxa"/>
            <w:tcBorders/>
            <w:vAlign w:val="center"/>
          </w:tcPr>
          <w:p>
            <w:pPr>
              <w:jc w:val="right"/>
            </w:pPr>
            <w:r>
              <w:rPr>
                <w:rFonts w:ascii="宋体" w:eastAsia="宋体" w:hAnsi="宋体" w:cs="宋体"/>
                <w:b w:val="0"/>
                <w:i w:val="0"/>
                <w:color w:val="000000"/>
                <w:sz w:val="19"/>
              </w:rPr>
              <w:t xml:space="preserve">0.85</w:t>
            </w:r>
          </w:p>
        </w:tc>
        <w:tc>
          <w:tcPr>
            <w:tcW w:w="1600" w:type="dxa"/>
            <w:tcBorders/>
            <w:vAlign w:val="center"/>
          </w:tcPr>
          <w:p>
            <w:pPr>
              <w:jc w:val="right"/>
            </w:pPr>
            <w:r>
              <w:rPr>
                <w:rFonts w:ascii="宋体" w:eastAsia="宋体" w:hAnsi="宋体" w:cs="宋体"/>
                <w:b w:val="0"/>
                <w:i w:val="0"/>
                <w:color w:val="000000"/>
                <w:sz w:val="19"/>
              </w:rPr>
              <w:t xml:space="preserve">0.85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其他就业补助支出</w:t>
            </w:r>
          </w:p>
        </w:tc>
        <w:tc>
          <w:tcPr>
            <w:tcW w:w="1600" w:type="dxa"/>
            <w:tcBorders/>
            <w:vAlign w:val="center"/>
          </w:tcPr>
          <w:p>
            <w:pPr>
              <w:jc w:val="right"/>
            </w:pPr>
            <w:r>
              <w:rPr>
                <w:rFonts w:ascii="宋体" w:eastAsia="宋体" w:hAnsi="宋体" w:cs="宋体"/>
                <w:b w:val="0"/>
                <w:i w:val="0"/>
                <w:color w:val="000000"/>
                <w:sz w:val="19"/>
              </w:rPr>
              <w:t xml:space="preserve">0.85</w:t>
            </w:r>
          </w:p>
        </w:tc>
        <w:tc>
          <w:tcPr>
            <w:tcW w:w="1600" w:type="dxa"/>
            <w:tcBorders/>
            <w:vAlign w:val="center"/>
          </w:tcPr>
          <w:p>
            <w:pPr>
              <w:jc w:val="right"/>
            </w:pPr>
            <w:r>
              <w:rPr>
                <w:rFonts w:ascii="宋体" w:eastAsia="宋体" w:hAnsi="宋体" w:cs="宋体"/>
                <w:b w:val="0"/>
                <w:i w:val="0"/>
                <w:color w:val="000000"/>
                <w:sz w:val="19"/>
              </w:rPr>
              <w:t xml:space="preserve">0.85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注：本表反映部门本年度各项支出情况。本表金额转换为万元时，因四舍五入可能存在尾差。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部门：许昌日报社</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2,138.65</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2,135.30</w:t>
            </w:r>
          </w:p>
        </w:tc>
        <w:tc>
          <w:tcPr>
            <w:tcW w:w="1420" w:type="dxa"/>
            <w:tcBorders/>
            <w:vAlign w:val="center"/>
          </w:tcPr>
          <w:p>
            <w:pPr>
              <w:jc w:val="right"/>
            </w:pPr>
            <w:r>
              <w:rPr>
                <w:rFonts w:ascii="宋体" w:eastAsia="宋体" w:hAnsi="宋体" w:cs="宋体"/>
                <w:b w:val="0"/>
                <w:i w:val="0"/>
                <w:color w:val="000000"/>
                <w:sz w:val="18"/>
              </w:rPr>
              <w:t xml:space="preserve">2,135.30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0.85</w:t>
            </w:r>
          </w:p>
        </w:tc>
        <w:tc>
          <w:tcPr>
            <w:tcW w:w="1420" w:type="dxa"/>
            <w:tcBorders/>
            <w:vAlign w:val="center"/>
          </w:tcPr>
          <w:p>
            <w:pPr>
              <w:jc w:val="right"/>
            </w:pPr>
            <w:r>
              <w:rPr>
                <w:rFonts w:ascii="宋体" w:eastAsia="宋体" w:hAnsi="宋体" w:cs="宋体"/>
                <w:b w:val="0"/>
                <w:i w:val="0"/>
                <w:color w:val="000000"/>
                <w:sz w:val="18"/>
              </w:rPr>
              <w:t xml:space="preserve">0.85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2.50</w:t>
            </w:r>
          </w:p>
        </w:tc>
        <w:tc>
          <w:tcPr>
            <w:tcW w:w="1420" w:type="dxa"/>
            <w:tcBorders/>
            <w:vAlign w:val="center"/>
          </w:tcPr>
          <w:p>
            <w:pPr>
              <w:jc w:val="right"/>
            </w:pPr>
            <w:r>
              <w:rPr>
                <w:rFonts w:ascii="宋体" w:eastAsia="宋体" w:hAnsi="宋体" w:cs="宋体"/>
                <w:b w:val="0"/>
                <w:i w:val="0"/>
                <w:color w:val="000000"/>
                <w:sz w:val="18"/>
              </w:rPr>
              <w:t xml:space="preserve">2.50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2,138.65</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2,138.65</w:t>
            </w:r>
          </w:p>
        </w:tc>
        <w:tc>
          <w:tcPr>
            <w:tcW w:w="1420" w:type="dxa"/>
            <w:tcBorders/>
            <w:vAlign w:val="center"/>
          </w:tcPr>
          <w:p>
            <w:pPr>
              <w:jc w:val="right"/>
            </w:pPr>
            <w:r>
              <w:rPr>
                <w:rFonts w:ascii="宋体" w:eastAsia="宋体" w:hAnsi="宋体" w:cs="宋体"/>
                <w:b w:val="0"/>
                <w:i w:val="0"/>
                <w:color w:val="000000"/>
                <w:sz w:val="18"/>
              </w:rPr>
              <w:t xml:space="preserve">2,138.65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2,138.65</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2,138.65</w:t>
            </w:r>
          </w:p>
        </w:tc>
        <w:tc>
          <w:tcPr>
            <w:tcW w:w="1420" w:type="dxa"/>
            <w:tcBorders/>
            <w:vAlign w:val="center"/>
          </w:tcPr>
          <w:p>
            <w:pPr>
              <w:jc w:val="right"/>
            </w:pPr>
            <w:r>
              <w:rPr>
                <w:rFonts w:ascii="宋体" w:eastAsia="宋体" w:hAnsi="宋体" w:cs="宋体"/>
                <w:b w:val="0"/>
                <w:i w:val="0"/>
                <w:color w:val="000000"/>
                <w:sz w:val="18"/>
              </w:rPr>
              <w:t xml:space="preserve">2,138.65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部门：许昌日报社</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2,138.65</w:t>
            </w:r>
          </w:p>
        </w:tc>
        <w:tc>
          <w:tcPr>
            <w:tcW w:w="2700" w:type="dxa"/>
            <w:tcBorders/>
            <w:vAlign w:val="center"/>
          </w:tcPr>
          <w:p>
            <w:pPr>
              <w:jc w:val="right"/>
            </w:pPr>
            <w:r>
              <w:rPr>
                <w:rFonts w:ascii="宋体" w:eastAsia="宋体" w:hAnsi="宋体" w:cs="宋体"/>
                <w:b/>
                <w:i w:val="0"/>
                <w:color w:val="000000"/>
                <w:sz w:val="25"/>
              </w:rPr>
              <w:t xml:space="preserve">2,136.15</w:t>
            </w:r>
          </w:p>
        </w:tc>
        <w:tc>
          <w:tcPr>
            <w:tcW w:w="2658" w:type="dxa"/>
            <w:tcBorders/>
            <w:vAlign w:val="center"/>
          </w:tcPr>
          <w:p>
            <w:pPr>
              <w:jc w:val="right"/>
            </w:pPr>
            <w:r>
              <w:rPr>
                <w:rFonts w:ascii="宋体" w:eastAsia="宋体" w:hAnsi="宋体" w:cs="宋体"/>
                <w:b/>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文化旅游体育与传媒支出</w:t>
            </w:r>
          </w:p>
        </w:tc>
        <w:tc>
          <w:tcPr>
            <w:tcW w:w="2700" w:type="dxa"/>
            <w:tcBorders/>
            <w:vAlign w:val="center"/>
          </w:tcPr>
          <w:p>
            <w:pPr>
              <w:jc w:val="right"/>
            </w:pPr>
            <w:r>
              <w:rPr>
                <w:rFonts w:ascii="宋体" w:eastAsia="宋体" w:hAnsi="宋体" w:cs="宋体"/>
                <w:b w:val="0"/>
                <w:i w:val="0"/>
                <w:color w:val="000000"/>
                <w:sz w:val="25"/>
              </w:rPr>
              <w:t xml:space="preserve">2,135.30</w:t>
            </w:r>
          </w:p>
        </w:tc>
        <w:tc>
          <w:tcPr>
            <w:tcW w:w="2700" w:type="dxa"/>
            <w:tcBorders/>
            <w:vAlign w:val="center"/>
          </w:tcPr>
          <w:p>
            <w:pPr>
              <w:jc w:val="right"/>
            </w:pPr>
            <w:r>
              <w:rPr>
                <w:rFonts w:ascii="宋体" w:eastAsia="宋体" w:hAnsi="宋体" w:cs="宋体"/>
                <w:b w:val="0"/>
                <w:i w:val="0"/>
                <w:color w:val="000000"/>
                <w:sz w:val="25"/>
              </w:rPr>
              <w:t xml:space="preserve">2,135.30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新闻出版电影</w:t>
            </w:r>
          </w:p>
        </w:tc>
        <w:tc>
          <w:tcPr>
            <w:tcW w:w="2700" w:type="dxa"/>
            <w:tcBorders/>
            <w:vAlign w:val="center"/>
          </w:tcPr>
          <w:p>
            <w:pPr>
              <w:jc w:val="right"/>
            </w:pPr>
            <w:r>
              <w:rPr>
                <w:rFonts w:ascii="宋体" w:eastAsia="宋体" w:hAnsi="宋体" w:cs="宋体"/>
                <w:b w:val="0"/>
                <w:i w:val="0"/>
                <w:color w:val="000000"/>
                <w:sz w:val="25"/>
              </w:rPr>
              <w:t xml:space="preserve">1,670.30</w:t>
            </w:r>
          </w:p>
        </w:tc>
        <w:tc>
          <w:tcPr>
            <w:tcW w:w="2700" w:type="dxa"/>
            <w:tcBorders/>
            <w:vAlign w:val="center"/>
          </w:tcPr>
          <w:p>
            <w:pPr>
              <w:jc w:val="right"/>
            </w:pPr>
            <w:r>
              <w:rPr>
                <w:rFonts w:ascii="宋体" w:eastAsia="宋体" w:hAnsi="宋体" w:cs="宋体"/>
                <w:b w:val="0"/>
                <w:i w:val="0"/>
                <w:color w:val="000000"/>
                <w:sz w:val="25"/>
              </w:rPr>
              <w:t xml:space="preserve">1,670.30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2070605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出版发行</w:t>
            </w:r>
          </w:p>
        </w:tc>
        <w:tc>
          <w:tcPr>
            <w:tcW w:w="2700" w:type="dxa"/>
            <w:tcBorders/>
            <w:vAlign w:val="center"/>
          </w:tcPr>
          <w:p>
            <w:pPr>
              <w:jc w:val="right"/>
            </w:pPr>
            <w:r>
              <w:rPr>
                <w:rFonts w:ascii="宋体" w:eastAsia="宋体" w:hAnsi="宋体" w:cs="宋体"/>
                <w:b w:val="0"/>
                <w:i w:val="0"/>
                <w:color w:val="000000"/>
                <w:sz w:val="25"/>
              </w:rPr>
              <w:t xml:space="preserve">1,670.30</w:t>
            </w:r>
          </w:p>
        </w:tc>
        <w:tc>
          <w:tcPr>
            <w:tcW w:w="2700" w:type="dxa"/>
            <w:tcBorders/>
            <w:vAlign w:val="center"/>
          </w:tcPr>
          <w:p>
            <w:pPr>
              <w:jc w:val="right"/>
            </w:pPr>
            <w:r>
              <w:rPr>
                <w:rFonts w:ascii="宋体" w:eastAsia="宋体" w:hAnsi="宋体" w:cs="宋体"/>
                <w:b w:val="0"/>
                <w:i w:val="0"/>
                <w:color w:val="000000"/>
                <w:sz w:val="25"/>
              </w:rPr>
              <w:t xml:space="preserve">1,670.30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其他文化旅游体育与传媒支出</w:t>
            </w:r>
          </w:p>
        </w:tc>
        <w:tc>
          <w:tcPr>
            <w:tcW w:w="2700" w:type="dxa"/>
            <w:tcBorders/>
            <w:vAlign w:val="center"/>
          </w:tcPr>
          <w:p>
            <w:pPr>
              <w:jc w:val="right"/>
            </w:pPr>
            <w:r>
              <w:rPr>
                <w:rFonts w:ascii="宋体" w:eastAsia="宋体" w:hAnsi="宋体" w:cs="宋体"/>
                <w:b w:val="0"/>
                <w:i w:val="0"/>
                <w:color w:val="000000"/>
                <w:sz w:val="25"/>
              </w:rPr>
              <w:t xml:space="preserve">465.00</w:t>
            </w:r>
          </w:p>
        </w:tc>
        <w:tc>
          <w:tcPr>
            <w:tcW w:w="2700" w:type="dxa"/>
            <w:tcBorders/>
            <w:vAlign w:val="center"/>
          </w:tcPr>
          <w:p>
            <w:pPr>
              <w:jc w:val="right"/>
            </w:pPr>
            <w:r>
              <w:rPr>
                <w:rFonts w:ascii="宋体" w:eastAsia="宋体" w:hAnsi="宋体" w:cs="宋体"/>
                <w:b w:val="0"/>
                <w:i w:val="0"/>
                <w:color w:val="000000"/>
                <w:sz w:val="25"/>
              </w:rPr>
              <w:t xml:space="preserve">465.00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2079902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宣传文化发展专项支出</w:t>
            </w:r>
          </w:p>
        </w:tc>
        <w:tc>
          <w:tcPr>
            <w:tcW w:w="2700" w:type="dxa"/>
            <w:tcBorders/>
            <w:vAlign w:val="center"/>
          </w:tcPr>
          <w:p>
            <w:pPr>
              <w:jc w:val="right"/>
            </w:pPr>
            <w:r>
              <w:rPr>
                <w:rFonts w:ascii="宋体" w:eastAsia="宋体" w:hAnsi="宋体" w:cs="宋体"/>
                <w:b w:val="0"/>
                <w:i w:val="0"/>
                <w:color w:val="000000"/>
                <w:sz w:val="25"/>
              </w:rPr>
              <w:t xml:space="preserve">465.00</w:t>
            </w:r>
          </w:p>
        </w:tc>
        <w:tc>
          <w:tcPr>
            <w:tcW w:w="2700" w:type="dxa"/>
            <w:tcBorders/>
            <w:vAlign w:val="center"/>
          </w:tcPr>
          <w:p>
            <w:pPr>
              <w:jc w:val="right"/>
            </w:pPr>
            <w:r>
              <w:rPr>
                <w:rFonts w:ascii="宋体" w:eastAsia="宋体" w:hAnsi="宋体" w:cs="宋体"/>
                <w:b w:val="0"/>
                <w:i w:val="0"/>
                <w:color w:val="000000"/>
                <w:sz w:val="25"/>
              </w:rPr>
              <w:t xml:space="preserve">465.00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0.85</w:t>
            </w:r>
          </w:p>
        </w:tc>
        <w:tc>
          <w:tcPr>
            <w:tcW w:w="2700" w:type="dxa"/>
            <w:tcBorders/>
            <w:vAlign w:val="center"/>
          </w:tcPr>
          <w:p>
            <w:pPr>
              <w:jc w:val="right"/>
            </w:pPr>
            <w:r>
              <w:rPr>
                <w:rFonts w:ascii="宋体" w:eastAsia="宋体" w:hAnsi="宋体" w:cs="宋体"/>
                <w:b w:val="0"/>
                <w:i w:val="0"/>
                <w:color w:val="000000"/>
                <w:sz w:val="25"/>
              </w:rPr>
              <w:t xml:space="preserve">0.85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就业补助</w:t>
            </w:r>
          </w:p>
        </w:tc>
        <w:tc>
          <w:tcPr>
            <w:tcW w:w="2700" w:type="dxa"/>
            <w:tcBorders/>
            <w:vAlign w:val="center"/>
          </w:tcPr>
          <w:p>
            <w:pPr>
              <w:jc w:val="right"/>
            </w:pPr>
            <w:r>
              <w:rPr>
                <w:rFonts w:ascii="宋体" w:eastAsia="宋体" w:hAnsi="宋体" w:cs="宋体"/>
                <w:b w:val="0"/>
                <w:i w:val="0"/>
                <w:color w:val="000000"/>
                <w:sz w:val="25"/>
              </w:rPr>
              <w:t xml:space="preserve">0.85</w:t>
            </w:r>
          </w:p>
        </w:tc>
        <w:tc>
          <w:tcPr>
            <w:tcW w:w="2700" w:type="dxa"/>
            <w:tcBorders/>
            <w:vAlign w:val="center"/>
          </w:tcPr>
          <w:p>
            <w:pPr>
              <w:jc w:val="right"/>
            </w:pPr>
            <w:r>
              <w:rPr>
                <w:rFonts w:ascii="宋体" w:eastAsia="宋体" w:hAnsi="宋体" w:cs="宋体"/>
                <w:b w:val="0"/>
                <w:i w:val="0"/>
                <w:color w:val="000000"/>
                <w:sz w:val="25"/>
              </w:rPr>
              <w:t xml:space="preserve">0.85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其他就业补助支出</w:t>
            </w:r>
          </w:p>
        </w:tc>
        <w:tc>
          <w:tcPr>
            <w:tcW w:w="2700" w:type="dxa"/>
            <w:tcBorders/>
            <w:vAlign w:val="center"/>
          </w:tcPr>
          <w:p>
            <w:pPr>
              <w:jc w:val="right"/>
            </w:pPr>
            <w:r>
              <w:rPr>
                <w:rFonts w:ascii="宋体" w:eastAsia="宋体" w:hAnsi="宋体" w:cs="宋体"/>
                <w:b w:val="0"/>
                <w:i w:val="0"/>
                <w:color w:val="000000"/>
                <w:sz w:val="25"/>
              </w:rPr>
              <w:t xml:space="preserve">0.85</w:t>
            </w:r>
          </w:p>
        </w:tc>
        <w:tc>
          <w:tcPr>
            <w:tcW w:w="2700" w:type="dxa"/>
            <w:tcBorders/>
            <w:vAlign w:val="center"/>
          </w:tcPr>
          <w:p>
            <w:pPr>
              <w:jc w:val="right"/>
            </w:pPr>
            <w:r>
              <w:rPr>
                <w:rFonts w:ascii="宋体" w:eastAsia="宋体" w:hAnsi="宋体" w:cs="宋体"/>
                <w:b w:val="0"/>
                <w:i w:val="0"/>
                <w:color w:val="000000"/>
                <w:sz w:val="25"/>
              </w:rPr>
              <w:t xml:space="preserve">0.85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注：本表反映部门本年度一般公共预算财政拨款支出情况。本表金额转换为万元时，因四舍五入可能存在尾差。</w:t>
      </w: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部门：许昌日报社</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1,564.86</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371.61</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0.06</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465.00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1,193.20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465.00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106.29</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103.78</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1.66</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0.85</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1,671.15</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465.00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注：本表反映部门本年度一般公共预算财政拨款基本支出明细情况。本表金额转换为万元时，因四舍五入可能存在尾差。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部门：许昌日报社</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注：本表反映部门本年度政府性基金预算财政拨款收入、支出及结转和结余情况。本表金额转换为万元时，因四舍五入可能存在尾差。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说明：我部门没有政府性基金收入，也没有使用政府性基金安排的支出，故本表无数据。</w:t>
      </w:r>
    </w:p>
    <w:p>
      <w:pPr>
        <w:rPr>
          <w:rFonts w:ascii="华文中宋" w:eastAsia="华文中宋" w:hAnsi="华文中宋" w:cs="华文中宋" w:hint="default"/>
          <w:color w:val="000000"/>
          <w:kern w:val="0"/>
          <w:sz w:val="32"/>
          <w:szCs w:val="32"/>
          <w:lang w:val="en-US" w:eastAsia="zh-CN"/>
        </w:rPr>
      </w:pP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部门：许昌日报社</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部门：许昌日报社</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说明：我部门没有预算安排的三公经费，也没有预算安排的三公支出，故本表无数据。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4295.71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增加1191.75万元，增长38.39%</w:t>
      </w:r>
      <w:r>
        <w:rPr>
          <w:rFonts w:ascii="仿宋" w:eastAsia="仿宋" w:hAnsi="仿宋" w:cs="仿宋" w:hint="eastAsia"/>
          <w:kern w:val="0"/>
          <w:sz w:val="32"/>
          <w:szCs w:val="32"/>
          <w:lang w:val="en-US" w:eastAsia="zh-CN"/>
        </w:rPr>
        <w:t xml:space="preserve">。主要原因是上缴非税返还金额增加。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5974.43</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财政拨款收入2138.65万元，占35.80%；上级补助收入0.00万元，占0.00%；事业收入0.00万元，占0.00%；经营收入3835.77万元，占64.20%；附属单位上缴收入0.00万元，占0.00%；其他收入0.00万元，占0.00%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5003.73</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基本支出2136.15万元，占42.69%；项目支出2.50万元，占0.05%；上缴上级支出0.00万元，占0.00%；经营支出2865.08万元，占57.26%；对附属单位补助支出0.00万元，占0.00%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2138.65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增加1230.60万元，增长135.52%</w:t>
      </w:r>
      <w:r>
        <w:rPr>
          <w:rFonts w:ascii="仿宋" w:eastAsia="仿宋" w:hAnsi="仿宋" w:cs="仿宋" w:hint="eastAsia"/>
          <w:kern w:val="0"/>
          <w:sz w:val="32"/>
          <w:szCs w:val="32"/>
          <w:lang w:val="en-US" w:eastAsia="zh-CN"/>
        </w:rPr>
        <w:t xml:space="preserve">。主要原因是上缴非税返还金额增加。</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2138.65</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42.74</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增加1230.60万元，增长135.52%</w:t>
      </w:r>
      <w:r>
        <w:rPr>
          <w:rFonts w:ascii="仿宋" w:eastAsia="仿宋" w:hAnsi="仿宋" w:cs="仿宋" w:hint="eastAsia"/>
          <w:kern w:val="0"/>
          <w:sz w:val="32"/>
          <w:szCs w:val="32"/>
          <w:lang w:val="en-US" w:eastAsia="zh-CN"/>
        </w:rPr>
        <w:t xml:space="preserve">。主要原因是上缴国有资源有偿使用返还金额增加。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2138.65</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文化旅游体育与传媒支出（类）2135.30万元，占99.84%；社会保障和就业支出（类）0.85万元，占0.04%；农林水支出（类）2.50万元，占0.12%</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2138.65</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2138.65</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1.文化旅游体育与传媒支出（类）新闻出版电影（款）出版发行（项）</w:t>
      </w:r>
      <w:r>
        <w:rPr>
          <w:rFonts w:ascii="仿宋" w:eastAsia="仿宋" w:hAnsi="仿宋" w:cs="仿宋" w:hint="default"/>
          <w:kern w:val="0"/>
          <w:sz w:val="32"/>
          <w:szCs w:val="32"/>
          <w:lang w:val="en-US" w:eastAsia="zh-CN"/>
        </w:rPr>
        <w:t xml:space="preserve">年初预算数为1670.30万元，决算数1670.30万元,完成年初预算的100.00%，决算数与年初预算数不存在差异。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2.文化旅游体育与传媒支出（类）其他文化旅游体育与传媒支出（款）宣传文化发展专项支出（项）</w:t>
      </w:r>
      <w:r>
        <w:rPr>
          <w:rFonts w:ascii="仿宋" w:eastAsia="仿宋" w:hAnsi="仿宋" w:cs="仿宋" w:hint="default"/>
          <w:kern w:val="0"/>
          <w:sz w:val="32"/>
          <w:szCs w:val="32"/>
          <w:lang w:val="en-US" w:eastAsia="zh-CN"/>
        </w:rPr>
        <w:t xml:space="preserve">年初预算数为465.00万元，决算数465.00万元,完成年初预算的100.00%，决算数与年初预算数不存在差异。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3.社会保障和就业支出（类）就业补助（款）其他就业补助支出（项）</w:t>
      </w:r>
      <w:r>
        <w:rPr>
          <w:rFonts w:ascii="仿宋" w:eastAsia="仿宋" w:hAnsi="仿宋" w:cs="仿宋" w:hint="default"/>
          <w:kern w:val="0"/>
          <w:sz w:val="32"/>
          <w:szCs w:val="32"/>
          <w:lang w:val="en-US" w:eastAsia="zh-CN"/>
        </w:rPr>
        <w:t xml:space="preserve">年初预算数为0.85万元，决算数0.85万元,完成年初预算的100.00%，决算数与年初预算数不存在差异。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4.农林水支出（类）巩固脱贫攻坚成果衔接乡村振兴（款）一般行政管理事务（项）</w:t>
      </w:r>
      <w:r>
        <w:rPr>
          <w:rFonts w:ascii="仿宋" w:eastAsia="仿宋" w:hAnsi="仿宋" w:cs="仿宋" w:hint="default"/>
          <w:kern w:val="0"/>
          <w:sz w:val="32"/>
          <w:szCs w:val="32"/>
          <w:lang w:val="en-US" w:eastAsia="zh-CN"/>
        </w:rPr>
        <w:t xml:space="preserve">年初预算数为2.50万元，决算数2.50万元,完成年初预算的100.00%，决算数与年初预算数不存在差异。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2136.15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其中：人员经费1671.15万元，主要包括：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、其他对个人和家庭的补助支出</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公用经费465.00万元，主要包括：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、信息网络及软件购置更新</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2023年期末，部门开支财政拨款的公务用车保有量为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我部门不是行政机关，也不是参照公务员管理事业单位，没有机关运行经费支出。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2023年期末，本部门共有车辆</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r>
        <w:rPr>
          <w:rFonts w:ascii="仿宋" w:eastAsia="仿宋" w:hAnsi="仿宋" w:cs="仿宋" w:hint="eastAsia"/>
          <w:kern w:val="0"/>
          <w:sz w:val="32"/>
          <w:szCs w:val="32"/>
          <w:lang w:val="en-US" w:eastAsia="zh-CN"/>
        </w:rPr>
        <w:t xml:space="preserve">财政拨款的公务用车保有量与国有资产车辆差异原因:无。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sz w:val="32"/>
          <w:szCs w:val="32"/>
        </w:rPr>
        <w:t xml:space="preserve">我部门对本部门</w:t>
      </w:r>
      <w:r>
        <w:rPr>
          <w:rFonts w:ascii="仿宋" w:eastAsia="仿宋" w:hAnsi="仿宋" w:cs="仿宋" w:hint="eastAsia"/>
          <w:kern w:val="0"/>
          <w:sz w:val="32"/>
          <w:szCs w:val="32"/>
          <w:lang w:val="en-US" w:eastAsia="zh-CN"/>
        </w:rPr>
        <w:t xml:space="preserve">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1.部门整体绩效自评。</w:t>
      </w:r>
      <w:r>
        <w:rPr>
          <w:rFonts w:ascii="仿宋" w:eastAsia="仿宋" w:hAnsi="仿宋" w:cs="仿宋" w:hint="eastAsia"/>
          <w:kern w:val="0"/>
          <w:sz w:val="32"/>
          <w:szCs w:val="32"/>
          <w:lang w:val="en-US" w:eastAsia="zh-CN"/>
        </w:rPr>
        <w:t xml:space="preserve">涉及预算资金</w:t>
      </w:r>
      <w:r>
        <w:rPr>
          <w:rFonts w:ascii="仿宋" w:eastAsia="仿宋" w:hAnsi="仿宋" w:cs="仿宋" w:hint="eastAsia"/>
          <w:kern w:val="0"/>
          <w:sz w:val="32"/>
          <w:szCs w:val="32"/>
          <w:lang w:val="en-US" w:eastAsia="zh-CN"/>
        </w:rPr>
        <w:t xml:space="preserve">6396.42</w:t>
      </w:r>
      <w:r>
        <w:rPr>
          <w:rFonts w:ascii="仿宋" w:eastAsia="仿宋" w:hAnsi="仿宋" w:cs="仿宋" w:hint="eastAsia"/>
          <w:kern w:val="0"/>
          <w:sz w:val="32"/>
          <w:szCs w:val="32"/>
          <w:lang w:val="en-US" w:eastAsia="zh-CN"/>
        </w:rPr>
        <w:t xml:space="preserve">万元。自评得分为</w:t>
      </w:r>
      <w:r>
        <w:rPr>
          <w:rFonts w:ascii="仿宋" w:eastAsia="仿宋" w:hAnsi="仿宋" w:cs="仿宋" w:hint="eastAsia"/>
          <w:kern w:val="0"/>
          <w:sz w:val="32"/>
          <w:szCs w:val="32"/>
          <w:lang w:val="en-US" w:eastAsia="zh-CN"/>
        </w:rPr>
        <w:t xml:space="preserve">99.61</w:t>
      </w:r>
      <w:r>
        <w:rPr>
          <w:rFonts w:ascii="仿宋" w:eastAsia="仿宋" w:hAnsi="仿宋" w:cs="仿宋" w:hint="eastAsia"/>
          <w:kern w:val="0"/>
          <w:sz w:val="32"/>
          <w:szCs w:val="32"/>
          <w:lang w:val="en-US" w:eastAsia="zh-CN"/>
        </w:rPr>
        <w:t xml:space="preserve">分，等级为“</w:t>
      </w:r>
      <w:r>
        <w:rPr>
          <w:rFonts w:ascii="仿宋" w:eastAsia="仿宋" w:hAnsi="仿宋" w:cs="仿宋" w:hint="eastAsia"/>
          <w:kern w:val="0"/>
          <w:sz w:val="32"/>
          <w:szCs w:val="32"/>
          <w:lang w:val="en-US" w:eastAsia="zh-CN"/>
        </w:rPr>
        <w:t xml:space="preserve">优</w:t>
      </w:r>
      <w:r>
        <w:rPr>
          <w:rFonts w:ascii="仿宋" w:eastAsia="仿宋" w:hAnsi="仿宋" w:cs="仿宋" w:hint="default"/>
          <w:kern w:val="0"/>
          <w:sz w:val="32"/>
          <w:szCs w:val="32"/>
          <w:lang w:val="en-US" w:eastAsia="zh-CN"/>
        </w:rPr>
        <w:t xml:space="preserve">”</w:t>
      </w:r>
      <w:r>
        <w:rPr>
          <w:rFonts w:ascii="仿宋" w:eastAsia="仿宋" w:hAnsi="仿宋" w:cs="仿宋" w:hint="eastAsia"/>
          <w:kern w:val="0"/>
          <w:sz w:val="32"/>
          <w:szCs w:val="32"/>
          <w:lang w:val="en-US" w:eastAsia="zh-CN"/>
        </w:rPr>
        <w:t xml:space="preserve">。从部门整体自评情况来看，</w:t>
      </w:r>
      <w:r>
        <w:rPr>
          <w:rFonts w:ascii="仿宋" w:eastAsia="仿宋" w:hAnsi="仿宋" w:cs="仿宋" w:hint="eastAsia"/>
          <w:kern w:val="0"/>
          <w:sz w:val="32"/>
          <w:szCs w:val="32"/>
          <w:lang w:val="en-US" w:eastAsia="zh-CN"/>
        </w:rPr>
        <w:t xml:space="preserve">我单位整体预算执行率基本准确</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2.项目绩效自评。</w:t>
      </w:r>
      <w:bookmarkStart w:id="0" w:name="_GoBack"/>
      <w:bookmarkEnd w:id="0"/>
      <w:r>
        <w:rPr>
          <w:rFonts w:ascii="仿宋" w:eastAsia="仿宋" w:hAnsi="仿宋" w:cs="仿宋" w:hint="eastAsia"/>
          <w:kern w:val="0"/>
          <w:sz w:val="32"/>
          <w:szCs w:val="32"/>
          <w:lang w:val="en-US" w:eastAsia="zh-CN"/>
        </w:rPr>
        <w:t xml:space="preserve">基于项目预期目标的实现程度，我部门对2023年度部门预算项目支出（含部门参与分配的转移支付项目）开展绩效自评，涉及项目0个，项目金额0万元。其中：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无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default"/>
          <w:kern w:val="2"/>
          <w:sz w:val="32"/>
          <w:szCs w:val="32"/>
          <w:lang w:val="en-US" w:eastAsia="zh-CN"/>
        </w:rPr>
        <w:t xml:space="preserve">从项目绩效自评情况来看，无。</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p>
    <w:tbl>
      <w:tblPr>
        <w:tblStyle w:val="NormalTable_2c3966e3-3123-4406-ab4b-3effc9de8b21"/>
        <w:tblW w:w="0" w:type="auto"/>
        <w:tblLook w:val="04A0" w:firstRow="1" w:lastRow="0" w:firstColumn="1" w:lastColumn="0" w:noHBand="0" w:noVBand="1"/>
      </w:tblPr>
      <w:tblGrid>
        <w:gridCol w:w="911"/>
        <w:gridCol w:w="1476"/>
        <w:gridCol w:w="456"/>
        <w:gridCol w:w="456"/>
        <w:gridCol w:w="1436"/>
        <w:gridCol w:w="957"/>
        <w:gridCol w:w="1835"/>
        <w:gridCol w:w="976"/>
        <w:gridCol w:w="1190"/>
        <w:gridCol w:w="1298"/>
        <w:gridCol w:w="2967"/>
      </w:tblGrid>
      <w:tr w:rsidTr="00FE078F">
        <w:trPr>
          <w:trHeight w:val="570"/>
        </w:trPr>
        <w:tc>
          <w:tcPr>
            <w:tcW w:type="auto" w:w="0"/>
            <w:gridSpan w:val="11"/>
            <w:tcBorders>
              <w:top w:val="nil"/>
              <w:left w:val="nil"/>
              <w:bottom w:val="nil"/>
              <w:right w:val="nil"/>
            </w:tcBorders>
            <w:shd w:val="clear" w:color="auto" w:fill="auto"/>
            <w:vAlign w:val="center"/>
            <w:hideMark/>
          </w:tcPr>
          <w:p>
            <w:pPr>
              <w:pStyle w:val="Normal_a601dfb7-2e27-44a6-b1e3-91b297936508"/>
              <w:widowControl/>
              <w:jc w:val="center"/>
              <w:rPr>
                <w:rFonts w:ascii="宋体" w:eastAsia="宋体" w:hAnsi="宋体" w:cs="宋体"/>
                <w:b/>
                <w:bCs/>
                <w:kern w:val="0"/>
                <w:sz w:val="38"/>
                <w:szCs w:val="38"/>
              </w:rPr>
            </w:pPr>
            <w:r w:rsidRPr="00FE078F">
              <w:rPr>
                <w:rFonts w:ascii="宋体" w:eastAsia="宋体" w:hAnsi="宋体" w:cs="宋体" w:hint="eastAsia"/>
                <w:b/>
                <w:bCs/>
                <w:kern w:val="0"/>
                <w:sz w:val="38"/>
                <w:szCs w:val="38"/>
              </w:rPr>
              <w:t xml:space="preserve">部门整体自评表</w:t>
            </w:r>
          </w:p>
        </w:tc>
      </w:tr>
      <w:tr w:rsidTr="00FE078F">
        <w:trPr>
          <w:trHeight w:val="640"/>
        </w:trPr>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部门（单位）名称</w:t>
            </w:r>
          </w:p>
        </w:tc>
        <w:tc>
          <w:tcPr>
            <w:tcW w:type="auto" w:w="0"/>
            <w:gridSpan w:val="7"/>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许昌日报社</w:t>
            </w:r>
          </w:p>
        </w:tc>
      </w:tr>
      <w:tr w:rsidTr="00FE078F">
        <w:trPr>
          <w:trHeight w:val="285"/>
        </w:trPr>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部门整体支出情况</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年初预算数</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全年预算数</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全年执行数</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分值</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执行率</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得分</w:t>
            </w:r>
          </w:p>
        </w:tc>
      </w:tr>
      <w:tr w:rsidTr="00FE078F">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部门预算总额（万元）</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6396.42</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7199.77</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6229.77</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86.53</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9.61</w:t>
            </w:r>
          </w:p>
        </w:tc>
      </w:tr>
      <w:tr w:rsidTr="00FE078F">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left"/>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资金来源：（1）政府预算资金</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2305.3</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3108.65</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2138.65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68.8</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w:t>
            </w:r>
          </w:p>
        </w:tc>
      </w:tr>
      <w:tr w:rsidTr="00FE078F">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left"/>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（2）财政专户管理资金</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w:t>
            </w:r>
          </w:p>
        </w:tc>
      </w:tr>
      <w:tr w:rsidTr="00FE078F">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left"/>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（3）单位资金</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4091.12</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4091.12</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4091.12</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w:t>
            </w:r>
          </w:p>
        </w:tc>
      </w:tr>
      <w:tr w:rsidTr="00FE078F">
        <w:trPr>
          <w:trHeight w:val="285"/>
        </w:trPr>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年度履职目标</w:t>
            </w: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预期目标</w:t>
            </w: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实际完成情况</w:t>
            </w:r>
          </w:p>
        </w:tc>
      </w:tr>
      <w:tr w:rsidTr="00FE078F">
        <w:trPr>
          <w:trHeight w:val="679"/>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做好市委、市政府宣传工作</w:t>
            </w:r>
            <w:r>
              <w:rPr/>
              <w:br/>
            </w:r>
            <w:r w:rsidRPr="00FE078F">
              <w:rPr>
                <w:rFonts w:ascii="宋体" w:eastAsia="宋体" w:hAnsi="宋体" w:cs="宋体" w:hint="eastAsia"/>
                <w:kern w:val="0"/>
                <w:sz w:val="18"/>
                <w:szCs w:val="18"/>
              </w:rPr>
              <w:t xml:space="preserve">做好许昌日报报纸发行工作 </w:t>
            </w: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我单位全年预算数偏大原因全年财政拨款数几乎固定，房租收入及广告收入需要造预算预防上缴非税收入后能及时返还。造成实际预算偏大。但财政拨款收入及单位资金都能确保保质保量完成。</w:t>
            </w:r>
          </w:p>
        </w:tc>
      </w:tr>
      <w:tr w:rsidTr="00FE078F">
        <w:trPr>
          <w:trHeight w:val="285"/>
        </w:trPr>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年度主要任务</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任务名称</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主要内容</w:t>
            </w: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实际完成情况</w:t>
            </w:r>
          </w:p>
        </w:tc>
      </w:tr>
      <w:tr w:rsidTr="00FE078F">
        <w:trPr>
          <w:trHeight w:val="709"/>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做好报纸宣传</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做好市委、市政府宣传工作</w:t>
            </w: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完成</w:t>
            </w:r>
          </w:p>
        </w:tc>
      </w:tr>
      <w:tr w:rsidTr="00FE078F">
        <w:trPr>
          <w:trHeight w:val="709"/>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控制舆论</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把控舆论导向</w:t>
            </w: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完成</w:t>
            </w:r>
          </w:p>
        </w:tc>
      </w:tr>
      <w:tr w:rsidTr="00FE078F">
        <w:trPr>
          <w:trHeight w:val="709"/>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宣传城市</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做好宣传美丽许昌形象</w:t>
            </w: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完成</w:t>
            </w:r>
          </w:p>
        </w:tc>
      </w:tr>
      <w:tr w:rsidTr="00FE078F">
        <w:trPr>
          <w:trHeight w:val="285"/>
        </w:trPr>
        <w:tc>
          <w:tcPr>
            <w:tcW w:type="auto" w:w="0"/>
            <w:tcBorders>
              <w:top w:val="nil"/>
              <w:left w:val="single" w:sz="4" w:space="0" w:color="000000"/>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一级指标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二级指标</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三级指标</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年度指标值</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实际完成值</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得分</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偏差度</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偏差原因分析及改进措施</w:t>
            </w:r>
          </w:p>
        </w:tc>
      </w:tr>
      <w:tr w:rsidTr="00FE078F">
        <w:trPr>
          <w:trHeight w:val="285"/>
        </w:trPr>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工作目标管理</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年度履职目标相关性</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相关</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w:t>
            </w:r>
          </w:p>
        </w:tc>
      </w:tr>
      <w:tr w:rsidTr="00FE078F">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工作任务科学性</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科学</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w:t>
            </w:r>
          </w:p>
        </w:tc>
      </w:tr>
      <w:tr w:rsidTr="00FE078F">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绩效指标合理性</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合理</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w:t>
            </w:r>
          </w:p>
        </w:tc>
      </w:tr>
      <w:tr w:rsidTr="00FE078F">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预算和财务管理</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预算编制完整性</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完整</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w:t>
            </w:r>
          </w:p>
        </w:tc>
      </w:tr>
      <w:tr w:rsidTr="00FE078F">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专项资金细化率</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≥95%</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99%</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w:t>
            </w:r>
          </w:p>
        </w:tc>
      </w:tr>
      <w:tr w:rsidTr="00FE078F">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预算调整率</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≤5%</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w:t>
            </w:r>
          </w:p>
        </w:tc>
      </w:tr>
      <w:tr w:rsidTr="00FE078F">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结转结余率</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≤5%</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w:t>
            </w:r>
          </w:p>
        </w:tc>
      </w:tr>
      <w:tr w:rsidTr="00FE078F">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“三公经费”控制率</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w:t>
            </w:r>
          </w:p>
        </w:tc>
      </w:tr>
      <w:tr w:rsidTr="00FE078F">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政府采购执行率</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≥95%</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99%</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w:t>
            </w:r>
          </w:p>
        </w:tc>
      </w:tr>
      <w:tr w:rsidTr="00FE078F">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决算真实性</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真实</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w:t>
            </w:r>
          </w:p>
        </w:tc>
      </w:tr>
      <w:tr w:rsidTr="00FE078F">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资金使用合规性</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合规</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w:t>
            </w:r>
          </w:p>
        </w:tc>
      </w:tr>
      <w:tr w:rsidTr="00FE078F">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管理制度健全性</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健全</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w:t>
            </w:r>
          </w:p>
        </w:tc>
      </w:tr>
      <w:tr w:rsidTr="00FE078F">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预决算信息公开性</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公开</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w:t>
            </w:r>
          </w:p>
        </w:tc>
      </w:tr>
      <w:tr w:rsidTr="00FE078F">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资产管理规范性</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规范</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w:t>
            </w:r>
          </w:p>
        </w:tc>
      </w:tr>
      <w:tr w:rsidTr="00FE078F">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绩效管理</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绩效目标编制完成率</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w:t>
            </w:r>
          </w:p>
        </w:tc>
      </w:tr>
      <w:tr w:rsidTr="00FE078F">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绩效监控完成率</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w:t>
            </w:r>
          </w:p>
        </w:tc>
      </w:tr>
      <w:tr w:rsidTr="00FE078F">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绩效自评完成率</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w:t>
            </w:r>
          </w:p>
        </w:tc>
      </w:tr>
      <w:tr w:rsidTr="00FE078F">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部门绩效评价完成率</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w:t>
            </w:r>
          </w:p>
        </w:tc>
      </w:tr>
      <w:tr w:rsidTr="00FE078F">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评价结果应用率</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w:t>
            </w:r>
          </w:p>
        </w:tc>
      </w:tr>
      <w:tr w:rsidTr="00FE078F">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产出指标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重点工作任务完成</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市委宣传任务完成率</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w:t>
            </w:r>
          </w:p>
        </w:tc>
      </w:tr>
      <w:tr w:rsidTr="00FE078F">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履职目标实现</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报纸发行任务实现率</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15</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15</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w:t>
            </w:r>
          </w:p>
        </w:tc>
      </w:tr>
      <w:tr w:rsidTr="00FE078F">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效益指标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履职效益</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提升“美丽许昌”形象</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大幅提升</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w:t>
            </w:r>
          </w:p>
        </w:tc>
      </w:tr>
      <w:tr w:rsidTr="00FE078F">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做好群众反映问题上报及</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≥95%</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w:t>
            </w:r>
          </w:p>
        </w:tc>
      </w:tr>
      <w:tr w:rsidTr="00FE078F">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做好市委方针政策及时率</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≥95%</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w:t>
            </w:r>
          </w:p>
        </w:tc>
      </w:tr>
      <w:tr w:rsidTr="00FE078F">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满意度</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群众满意度率</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≥95%</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w:t>
            </w:r>
          </w:p>
        </w:tc>
      </w:tr>
      <w:tr w:rsidTr="00FE078F">
        <w:trPr>
          <w:trHeight w:val="285"/>
        </w:trPr>
        <w:tc>
          <w:tcPr>
            <w:tcW w:type="auto" w:w="0"/>
            <w:vMerge/>
            <w:tcBorders>
              <w:top w:val="nil"/>
              <w:left w:val="single" w:sz="4" w:space="0" w:color="000000"/>
              <w:bottom w:val="single" w:sz="4" w:space="0" w:color="000000"/>
              <w:right w:val="single" w:sz="4" w:space="0" w:color="000000"/>
            </w:tcBorders>
            <w:vAlign w:val="center"/>
            <w:hideMark/>
          </w:tcPr>
          <w:p>
            <w:pPr>
              <w:pStyle w:val="Normal_a601dfb7-2e27-44a6-b1e3-91b297936508"/>
              <w:widowControl/>
              <w:jc w:val="left"/>
              <w:rPr>
                <w:rFonts w:ascii="宋体" w:eastAsia="宋体" w:hAnsi="宋体" w:cs="宋体"/>
                <w:kern w:val="0"/>
                <w:sz w:val="18"/>
                <w:szCs w:val="18"/>
              </w:rPr>
            </w:pPr>
          </w:p>
        </w:tc>
        <w:tc>
          <w:tcPr>
            <w:tcW w:type="auto" w:w="0"/>
            <w:gridSpan w:val="6"/>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总分</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center"/>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99.61</w:t>
            </w:r>
          </w:p>
        </w:tc>
        <w:tc>
          <w:tcPr>
            <w:tcW w:type="auto" w:w="0"/>
            <w:tcBorders>
              <w:top w:val="nil"/>
              <w:left w:val="nil"/>
              <w:bottom w:val="single" w:sz="4" w:space="0" w:color="000000"/>
              <w:right w:val="single" w:sz="4" w:space="0" w:color="000000"/>
            </w:tcBorders>
            <w:shd w:val="clear" w:color="auto" w:fill="auto"/>
            <w:vAlign w:val="center"/>
            <w:hideMark/>
          </w:tcPr>
          <w:p>
            <w:pPr>
              <w:pStyle w:val="Normal_a601dfb7-2e27-44a6-b1e3-91b297936508"/>
              <w:widowControl/>
              <w:jc w:val="left"/>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601dfb7-2e27-44a6-b1e3-91b297936508"/>
              <w:widowControl/>
              <w:jc w:val="left"/>
              <w:rPr>
                <w:rFonts w:ascii="宋体" w:eastAsia="宋体" w:hAnsi="宋体" w:cs="宋体" w:hint="eastAsia"/>
                <w:kern w:val="0"/>
                <w:sz w:val="18"/>
                <w:szCs w:val="18"/>
              </w:rPr>
            </w:pPr>
            <w:r w:rsidRPr="00FE078F">
              <w:rPr>
                <w:rFonts w:ascii="宋体" w:eastAsia="宋体" w:hAnsi="宋体" w:cs="宋体" w:hint="eastAsia"/>
                <w:kern w:val="0"/>
                <w:sz w:val="18"/>
                <w:szCs w:val="18"/>
              </w:rPr>
              <w:t xml:space="preserve">　</w:t>
            </w:r>
          </w:p>
        </w:tc>
      </w:tr>
    </w:tbl>
    <w:p>
      <w:pPr>
        <w:pStyle w:val="Normal_a601dfb7-2e27-44a6-b1e3-91b297936508"/>
        <w:rPr/>
        <w:sectPr>
          <w:pgSz w:w="16838" w:h="11906" w:orient="landscape"/>
          <w:pgMar w:top="1800" w:right="1440" w:bottom="1800" w:left="1440" w:header="851" w:footer="992" w:gutter="0"/>
          <w:cols w:num="1" w:space="425">
            <w:col w:w="13958" w:space="425"/>
          </w:cols>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1"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755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a601dfb7-2e27-44a6-b1e3-91b297936508">
    <w:name w:val="Normal_a601dfb7-2e27-44a6-b1e3-91b297936508"/>
    <w:qFormat/>
    <w:pPr>
      <w:widowControl w:val="0"/>
      <w:jc w:val="both"/>
    </w:pPr>
    <w:rPr/>
  </w:style>
  <w:style w:type="table" w:styleId="NormalTable_2c3966e3-3123-4406-ab4b-3effc9de8b21">
    <w:name w:val="Normal Table_2c3966e3-3123-4406-ab4b-3effc9de8b21"/>
    <w:uiPriority w:val="99"/>
    <w:semiHidden/>
    <w:unhideWhenUsed/>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2024-09-25T01:00:08Z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7</TotalTime>
  <Pages>44</Pages>
  <Words>6696</Words>
  <Characters>19169</Characters>
  <Application>WPS Office_12.1.0.18240_F1E327BC-269C-435d-A152-05C5408002CA</Application>
  <DocSecurity>0</DocSecurity>
  <Lines>1</Lines>
  <Paragraphs>1</Paragraphs>
  <CharactersWithSpaces>19414</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