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许昌市自然资源和规划局魏都区服务中心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许昌市自然资源和规划局魏都区服务中心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许昌市自然资源和规划局魏都区服务中心概况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(一)负责宣传和贯彻执行中央、省、市有关城乡规划 的法律、法规、规章及方针、政策；</w:t>
        <w:br/>
        <w:t xml:space="preserve">    (二)负责拟订辖区城乡规划编制计划；</w:t>
        <w:br/>
        <w:t xml:space="preserve">    (三)负责组织编制辖区内分区规划、控制性详细规划、城市设计、专项规划、重要地块修建性详细规划，并负责所编制规划的论证及上报工作；</w:t>
        <w:br/>
        <w:t xml:space="preserve">    (四) 负责辖区内建设项目规划方案的初审、论证及上报工作；</w:t>
        <w:br/>
        <w:t xml:space="preserve">    (五) 负责辖区内建设项目的批后监管工作；</w:t>
        <w:br/>
        <w:t xml:space="preserve">    (六) 做好本辖区城建重点项目的谋划、规划技术服务工作。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许昌市自然资源和规划局魏都区服务中心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许昌市自然资源和规划局魏都区服务中心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许昌市自然资源和规划局魏都区服务中心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142.73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6.16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7.42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7.94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114.80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6.41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142.73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142.73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142.73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142.73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142.73</w:t>
            </w:r>
          </w:p>
        </w:tc>
        <w:tc>
          <w:tcPr>
            <w:tcW w:w="1440" w:type="dxa"/>
            <w:tcBorders/>
            <w:vAlign w:val="center"/>
          </w:tcPr>
          <w:p>
            <w:pPr>
              <w:jc w:val="right"/>
            </w:pPr>
            <w:r>
              <w:rPr>
                <w:rFonts w:ascii="宋体" w:eastAsia="宋体" w:hAnsi="宋体" w:cs="宋体"/>
                <w:b/>
                <w:i w:val="0"/>
                <w:color w:val="000000"/>
                <w:sz w:val="17"/>
              </w:rPr>
              <w:t xml:space="preserve">142.73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5.15</w:t>
            </w:r>
          </w:p>
        </w:tc>
        <w:tc>
          <w:tcPr>
            <w:tcW w:w="1440" w:type="dxa"/>
            <w:tcBorders/>
            <w:vAlign w:val="center"/>
          </w:tcPr>
          <w:p>
            <w:pPr>
              <w:jc w:val="right"/>
            </w:pPr>
            <w:r>
              <w:rPr>
                <w:rFonts w:ascii="宋体" w:eastAsia="宋体" w:hAnsi="宋体" w:cs="宋体"/>
                <w:b w:val="0"/>
                <w:i w:val="0"/>
                <w:color w:val="000000"/>
                <w:sz w:val="17"/>
              </w:rPr>
              <w:t xml:space="preserve">5.15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5.15</w:t>
            </w:r>
          </w:p>
        </w:tc>
        <w:tc>
          <w:tcPr>
            <w:tcW w:w="1440" w:type="dxa"/>
            <w:tcBorders/>
            <w:vAlign w:val="center"/>
          </w:tcPr>
          <w:p>
            <w:pPr>
              <w:jc w:val="right"/>
            </w:pPr>
            <w:r>
              <w:rPr>
                <w:rFonts w:ascii="宋体" w:eastAsia="宋体" w:hAnsi="宋体" w:cs="宋体"/>
                <w:b w:val="0"/>
                <w:i w:val="0"/>
                <w:color w:val="000000"/>
                <w:sz w:val="17"/>
              </w:rPr>
              <w:t xml:space="preserve">5.15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7.94</w:t>
            </w:r>
          </w:p>
        </w:tc>
        <w:tc>
          <w:tcPr>
            <w:tcW w:w="1440" w:type="dxa"/>
            <w:tcBorders/>
            <w:vAlign w:val="center"/>
          </w:tcPr>
          <w:p>
            <w:pPr>
              <w:jc w:val="right"/>
            </w:pPr>
            <w:r>
              <w:rPr>
                <w:rFonts w:ascii="宋体" w:eastAsia="宋体" w:hAnsi="宋体" w:cs="宋体"/>
                <w:b w:val="0"/>
                <w:i w:val="0"/>
                <w:color w:val="000000"/>
                <w:sz w:val="17"/>
              </w:rPr>
              <w:t xml:space="preserve">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7.94</w:t>
            </w:r>
          </w:p>
        </w:tc>
        <w:tc>
          <w:tcPr>
            <w:tcW w:w="1440" w:type="dxa"/>
            <w:tcBorders/>
            <w:vAlign w:val="center"/>
          </w:tcPr>
          <w:p>
            <w:pPr>
              <w:jc w:val="right"/>
            </w:pPr>
            <w:r>
              <w:rPr>
                <w:rFonts w:ascii="宋体" w:eastAsia="宋体" w:hAnsi="宋体" w:cs="宋体"/>
                <w:b w:val="0"/>
                <w:i w:val="0"/>
                <w:color w:val="000000"/>
                <w:sz w:val="17"/>
              </w:rPr>
              <w:t xml:space="preserve">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4.18</w:t>
            </w:r>
          </w:p>
        </w:tc>
        <w:tc>
          <w:tcPr>
            <w:tcW w:w="1440" w:type="dxa"/>
            <w:tcBorders/>
            <w:vAlign w:val="center"/>
          </w:tcPr>
          <w:p>
            <w:pPr>
              <w:jc w:val="right"/>
            </w:pPr>
            <w:r>
              <w:rPr>
                <w:rFonts w:ascii="宋体" w:eastAsia="宋体" w:hAnsi="宋体" w:cs="宋体"/>
                <w:b w:val="0"/>
                <w:i w:val="0"/>
                <w:color w:val="000000"/>
                <w:sz w:val="17"/>
              </w:rPr>
              <w:t xml:space="preserve">4.18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114.80</w:t>
            </w:r>
          </w:p>
        </w:tc>
        <w:tc>
          <w:tcPr>
            <w:tcW w:w="1440" w:type="dxa"/>
            <w:tcBorders/>
            <w:vAlign w:val="center"/>
          </w:tcPr>
          <w:p>
            <w:pPr>
              <w:jc w:val="right"/>
            </w:pPr>
            <w:r>
              <w:rPr>
                <w:rFonts w:ascii="宋体" w:eastAsia="宋体" w:hAnsi="宋体" w:cs="宋体"/>
                <w:b w:val="0"/>
                <w:i w:val="0"/>
                <w:color w:val="000000"/>
                <w:sz w:val="17"/>
              </w:rPr>
              <w:t xml:space="preserve">114.80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104.36</w:t>
            </w:r>
          </w:p>
        </w:tc>
        <w:tc>
          <w:tcPr>
            <w:tcW w:w="1440" w:type="dxa"/>
            <w:tcBorders/>
            <w:vAlign w:val="center"/>
          </w:tcPr>
          <w:p>
            <w:pPr>
              <w:jc w:val="right"/>
            </w:pPr>
            <w:r>
              <w:rPr>
                <w:rFonts w:ascii="宋体" w:eastAsia="宋体" w:hAnsi="宋体" w:cs="宋体"/>
                <w:b w:val="0"/>
                <w:i w:val="0"/>
                <w:color w:val="000000"/>
                <w:sz w:val="17"/>
              </w:rPr>
              <w:t xml:space="preserve">104.36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104.36</w:t>
            </w:r>
          </w:p>
        </w:tc>
        <w:tc>
          <w:tcPr>
            <w:tcW w:w="1440" w:type="dxa"/>
            <w:tcBorders/>
            <w:vAlign w:val="center"/>
          </w:tcPr>
          <w:p>
            <w:pPr>
              <w:jc w:val="right"/>
            </w:pPr>
            <w:r>
              <w:rPr>
                <w:rFonts w:ascii="宋体" w:eastAsia="宋体" w:hAnsi="宋体" w:cs="宋体"/>
                <w:b w:val="0"/>
                <w:i w:val="0"/>
                <w:color w:val="000000"/>
                <w:sz w:val="17"/>
              </w:rPr>
              <w:t xml:space="preserve">104.36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6.41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142.73</w:t>
            </w:r>
          </w:p>
        </w:tc>
        <w:tc>
          <w:tcPr>
            <w:tcW w:w="1600" w:type="dxa"/>
            <w:tcBorders/>
            <w:vAlign w:val="center"/>
          </w:tcPr>
          <w:p>
            <w:pPr>
              <w:jc w:val="right"/>
            </w:pPr>
            <w:r>
              <w:rPr>
                <w:rFonts w:ascii="宋体" w:eastAsia="宋体" w:hAnsi="宋体" w:cs="宋体"/>
                <w:b/>
                <w:i w:val="0"/>
                <w:color w:val="000000"/>
                <w:sz w:val="19"/>
              </w:rPr>
              <w:t xml:space="preserve">142.73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7.94</w:t>
            </w:r>
          </w:p>
        </w:tc>
        <w:tc>
          <w:tcPr>
            <w:tcW w:w="1600" w:type="dxa"/>
            <w:tcBorders/>
            <w:vAlign w:val="center"/>
          </w:tcPr>
          <w:p>
            <w:pPr>
              <w:jc w:val="right"/>
            </w:pPr>
            <w:r>
              <w:rPr>
                <w:rFonts w:ascii="宋体" w:eastAsia="宋体" w:hAnsi="宋体" w:cs="宋体"/>
                <w:b w:val="0"/>
                <w:i w:val="0"/>
                <w:color w:val="000000"/>
                <w:sz w:val="19"/>
              </w:rPr>
              <w:t xml:space="preserve">7.94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7.94</w:t>
            </w:r>
          </w:p>
        </w:tc>
        <w:tc>
          <w:tcPr>
            <w:tcW w:w="1600" w:type="dxa"/>
            <w:tcBorders/>
            <w:vAlign w:val="center"/>
          </w:tcPr>
          <w:p>
            <w:pPr>
              <w:jc w:val="right"/>
            </w:pPr>
            <w:r>
              <w:rPr>
                <w:rFonts w:ascii="宋体" w:eastAsia="宋体" w:hAnsi="宋体" w:cs="宋体"/>
                <w:b w:val="0"/>
                <w:i w:val="0"/>
                <w:color w:val="000000"/>
                <w:sz w:val="19"/>
              </w:rPr>
              <w:t xml:space="preserve">7.94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4.18</w:t>
            </w:r>
          </w:p>
        </w:tc>
        <w:tc>
          <w:tcPr>
            <w:tcW w:w="1600" w:type="dxa"/>
            <w:tcBorders/>
            <w:vAlign w:val="center"/>
          </w:tcPr>
          <w:p>
            <w:pPr>
              <w:jc w:val="right"/>
            </w:pPr>
            <w:r>
              <w:rPr>
                <w:rFonts w:ascii="宋体" w:eastAsia="宋体" w:hAnsi="宋体" w:cs="宋体"/>
                <w:b w:val="0"/>
                <w:i w:val="0"/>
                <w:color w:val="000000"/>
                <w:sz w:val="19"/>
              </w:rPr>
              <w:t xml:space="preserve">4.18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114.80</w:t>
            </w:r>
          </w:p>
        </w:tc>
        <w:tc>
          <w:tcPr>
            <w:tcW w:w="1600" w:type="dxa"/>
            <w:tcBorders/>
            <w:vAlign w:val="center"/>
          </w:tcPr>
          <w:p>
            <w:pPr>
              <w:jc w:val="right"/>
            </w:pPr>
            <w:r>
              <w:rPr>
                <w:rFonts w:ascii="宋体" w:eastAsia="宋体" w:hAnsi="宋体" w:cs="宋体"/>
                <w:b w:val="0"/>
                <w:i w:val="0"/>
                <w:color w:val="000000"/>
                <w:sz w:val="19"/>
              </w:rPr>
              <w:t xml:space="preserve">114.80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104.36</w:t>
            </w:r>
          </w:p>
        </w:tc>
        <w:tc>
          <w:tcPr>
            <w:tcW w:w="1600" w:type="dxa"/>
            <w:tcBorders/>
            <w:vAlign w:val="center"/>
          </w:tcPr>
          <w:p>
            <w:pPr>
              <w:jc w:val="right"/>
            </w:pPr>
            <w:r>
              <w:rPr>
                <w:rFonts w:ascii="宋体" w:eastAsia="宋体" w:hAnsi="宋体" w:cs="宋体"/>
                <w:b w:val="0"/>
                <w:i w:val="0"/>
                <w:color w:val="000000"/>
                <w:sz w:val="19"/>
              </w:rPr>
              <w:t xml:space="preserve">104.36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104.36</w:t>
            </w:r>
          </w:p>
        </w:tc>
        <w:tc>
          <w:tcPr>
            <w:tcW w:w="1600" w:type="dxa"/>
            <w:tcBorders/>
            <w:vAlign w:val="center"/>
          </w:tcPr>
          <w:p>
            <w:pPr>
              <w:jc w:val="right"/>
            </w:pPr>
            <w:r>
              <w:rPr>
                <w:rFonts w:ascii="宋体" w:eastAsia="宋体" w:hAnsi="宋体" w:cs="宋体"/>
                <w:b w:val="0"/>
                <w:i w:val="0"/>
                <w:color w:val="000000"/>
                <w:sz w:val="19"/>
              </w:rPr>
              <w:t xml:space="preserve">104.36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6.41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6.16</w:t>
            </w:r>
          </w:p>
        </w:tc>
        <w:tc>
          <w:tcPr>
            <w:tcW w:w="1420" w:type="dxa"/>
            <w:tcBorders/>
            <w:vAlign w:val="center"/>
          </w:tcPr>
          <w:p>
            <w:pPr>
              <w:jc w:val="right"/>
            </w:pPr>
            <w:r>
              <w:rPr>
                <w:rFonts w:ascii="宋体" w:eastAsia="宋体" w:hAnsi="宋体" w:cs="宋体"/>
                <w:b w:val="0"/>
                <w:i w:val="0"/>
                <w:color w:val="000000"/>
                <w:sz w:val="18"/>
              </w:rPr>
              <w:t xml:space="preserve">6.16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7.42</w:t>
            </w:r>
          </w:p>
        </w:tc>
        <w:tc>
          <w:tcPr>
            <w:tcW w:w="1420" w:type="dxa"/>
            <w:tcBorders/>
            <w:vAlign w:val="center"/>
          </w:tcPr>
          <w:p>
            <w:pPr>
              <w:jc w:val="right"/>
            </w:pPr>
            <w:r>
              <w:rPr>
                <w:rFonts w:ascii="宋体" w:eastAsia="宋体" w:hAnsi="宋体" w:cs="宋体"/>
                <w:b w:val="0"/>
                <w:i w:val="0"/>
                <w:color w:val="000000"/>
                <w:sz w:val="18"/>
              </w:rPr>
              <w:t xml:space="preserve">7.42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7.94</w:t>
            </w:r>
          </w:p>
        </w:tc>
        <w:tc>
          <w:tcPr>
            <w:tcW w:w="1420" w:type="dxa"/>
            <w:tcBorders/>
            <w:vAlign w:val="center"/>
          </w:tcPr>
          <w:p>
            <w:pPr>
              <w:jc w:val="right"/>
            </w:pPr>
            <w:r>
              <w:rPr>
                <w:rFonts w:ascii="宋体" w:eastAsia="宋体" w:hAnsi="宋体" w:cs="宋体"/>
                <w:b w:val="0"/>
                <w:i w:val="0"/>
                <w:color w:val="000000"/>
                <w:sz w:val="18"/>
              </w:rPr>
              <w:t xml:space="preserve">7.94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114.80</w:t>
            </w:r>
          </w:p>
        </w:tc>
        <w:tc>
          <w:tcPr>
            <w:tcW w:w="1420" w:type="dxa"/>
            <w:tcBorders/>
            <w:vAlign w:val="center"/>
          </w:tcPr>
          <w:p>
            <w:pPr>
              <w:jc w:val="right"/>
            </w:pPr>
            <w:r>
              <w:rPr>
                <w:rFonts w:ascii="宋体" w:eastAsia="宋体" w:hAnsi="宋体" w:cs="宋体"/>
                <w:b w:val="0"/>
                <w:i w:val="0"/>
                <w:color w:val="000000"/>
                <w:sz w:val="18"/>
              </w:rPr>
              <w:t xml:space="preserve">114.80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6.41</w:t>
            </w:r>
          </w:p>
        </w:tc>
        <w:tc>
          <w:tcPr>
            <w:tcW w:w="1420" w:type="dxa"/>
            <w:tcBorders/>
            <w:vAlign w:val="center"/>
          </w:tcPr>
          <w:p>
            <w:pPr>
              <w:jc w:val="right"/>
            </w:pPr>
            <w:r>
              <w:rPr>
                <w:rFonts w:ascii="宋体" w:eastAsia="宋体" w:hAnsi="宋体" w:cs="宋体"/>
                <w:b w:val="0"/>
                <w:i w:val="0"/>
                <w:color w:val="000000"/>
                <w:sz w:val="18"/>
              </w:rPr>
              <w:t xml:space="preserve">6.41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1420" w:type="dxa"/>
            <w:tcBorders/>
            <w:vAlign w:val="center"/>
          </w:tcPr>
          <w:p>
            <w:pPr>
              <w:jc w:val="right"/>
            </w:pPr>
            <w:r>
              <w:rPr>
                <w:rFonts w:ascii="宋体" w:eastAsia="宋体" w:hAnsi="宋体" w:cs="宋体"/>
                <w:b w:val="0"/>
                <w:i w:val="0"/>
                <w:color w:val="000000"/>
                <w:sz w:val="18"/>
              </w:rPr>
              <w:t xml:space="preserve">142.73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142.73</w:t>
            </w:r>
          </w:p>
        </w:tc>
        <w:tc>
          <w:tcPr>
            <w:tcW w:w="2700" w:type="dxa"/>
            <w:tcBorders/>
            <w:vAlign w:val="center"/>
          </w:tcPr>
          <w:p>
            <w:pPr>
              <w:jc w:val="right"/>
            </w:pPr>
            <w:r>
              <w:rPr>
                <w:rFonts w:ascii="宋体" w:eastAsia="宋体" w:hAnsi="宋体" w:cs="宋体"/>
                <w:b/>
                <w:i w:val="0"/>
                <w:color w:val="000000"/>
                <w:sz w:val="25"/>
              </w:rPr>
              <w:t xml:space="preserve">142.73</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5.15</w:t>
            </w:r>
          </w:p>
        </w:tc>
        <w:tc>
          <w:tcPr>
            <w:tcW w:w="2700" w:type="dxa"/>
            <w:tcBorders/>
            <w:vAlign w:val="center"/>
          </w:tcPr>
          <w:p>
            <w:pPr>
              <w:jc w:val="right"/>
            </w:pPr>
            <w:r>
              <w:rPr>
                <w:rFonts w:ascii="宋体" w:eastAsia="宋体" w:hAnsi="宋体" w:cs="宋体"/>
                <w:b w:val="0"/>
                <w:i w:val="0"/>
                <w:color w:val="000000"/>
                <w:sz w:val="25"/>
              </w:rPr>
              <w:t xml:space="preserve">5.15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5.15</w:t>
            </w:r>
          </w:p>
        </w:tc>
        <w:tc>
          <w:tcPr>
            <w:tcW w:w="2700" w:type="dxa"/>
            <w:tcBorders/>
            <w:vAlign w:val="center"/>
          </w:tcPr>
          <w:p>
            <w:pPr>
              <w:jc w:val="right"/>
            </w:pPr>
            <w:r>
              <w:rPr>
                <w:rFonts w:ascii="宋体" w:eastAsia="宋体" w:hAnsi="宋体" w:cs="宋体"/>
                <w:b w:val="0"/>
                <w:i w:val="0"/>
                <w:color w:val="000000"/>
                <w:sz w:val="25"/>
              </w:rPr>
              <w:t xml:space="preserve">5.15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7.94</w:t>
            </w:r>
          </w:p>
        </w:tc>
        <w:tc>
          <w:tcPr>
            <w:tcW w:w="2700" w:type="dxa"/>
            <w:tcBorders/>
            <w:vAlign w:val="center"/>
          </w:tcPr>
          <w:p>
            <w:pPr>
              <w:jc w:val="right"/>
            </w:pPr>
            <w:r>
              <w:rPr>
                <w:rFonts w:ascii="宋体" w:eastAsia="宋体" w:hAnsi="宋体" w:cs="宋体"/>
                <w:b w:val="0"/>
                <w:i w:val="0"/>
                <w:color w:val="000000"/>
                <w:sz w:val="25"/>
              </w:rPr>
              <w:t xml:space="preserve">7.94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7.94</w:t>
            </w:r>
          </w:p>
        </w:tc>
        <w:tc>
          <w:tcPr>
            <w:tcW w:w="2700" w:type="dxa"/>
            <w:tcBorders/>
            <w:vAlign w:val="center"/>
          </w:tcPr>
          <w:p>
            <w:pPr>
              <w:jc w:val="right"/>
            </w:pPr>
            <w:r>
              <w:rPr>
                <w:rFonts w:ascii="宋体" w:eastAsia="宋体" w:hAnsi="宋体" w:cs="宋体"/>
                <w:b w:val="0"/>
                <w:i w:val="0"/>
                <w:color w:val="000000"/>
                <w:sz w:val="25"/>
              </w:rPr>
              <w:t xml:space="preserve">7.94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4.18</w:t>
            </w:r>
          </w:p>
        </w:tc>
        <w:tc>
          <w:tcPr>
            <w:tcW w:w="2700" w:type="dxa"/>
            <w:tcBorders/>
            <w:vAlign w:val="center"/>
          </w:tcPr>
          <w:p>
            <w:pPr>
              <w:jc w:val="right"/>
            </w:pPr>
            <w:r>
              <w:rPr>
                <w:rFonts w:ascii="宋体" w:eastAsia="宋体" w:hAnsi="宋体" w:cs="宋体"/>
                <w:b w:val="0"/>
                <w:i w:val="0"/>
                <w:color w:val="000000"/>
                <w:sz w:val="25"/>
              </w:rPr>
              <w:t xml:space="preserve">4.18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114.80</w:t>
            </w:r>
          </w:p>
        </w:tc>
        <w:tc>
          <w:tcPr>
            <w:tcW w:w="2700" w:type="dxa"/>
            <w:tcBorders/>
            <w:vAlign w:val="center"/>
          </w:tcPr>
          <w:p>
            <w:pPr>
              <w:jc w:val="right"/>
            </w:pPr>
            <w:r>
              <w:rPr>
                <w:rFonts w:ascii="宋体" w:eastAsia="宋体" w:hAnsi="宋体" w:cs="宋体"/>
                <w:b w:val="0"/>
                <w:i w:val="0"/>
                <w:color w:val="000000"/>
                <w:sz w:val="25"/>
              </w:rPr>
              <w:t xml:space="preserve">114.80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104.36</w:t>
            </w:r>
          </w:p>
        </w:tc>
        <w:tc>
          <w:tcPr>
            <w:tcW w:w="2700" w:type="dxa"/>
            <w:tcBorders/>
            <w:vAlign w:val="center"/>
          </w:tcPr>
          <w:p>
            <w:pPr>
              <w:jc w:val="right"/>
            </w:pPr>
            <w:r>
              <w:rPr>
                <w:rFonts w:ascii="宋体" w:eastAsia="宋体" w:hAnsi="宋体" w:cs="宋体"/>
                <w:b w:val="0"/>
                <w:i w:val="0"/>
                <w:color w:val="000000"/>
                <w:sz w:val="25"/>
              </w:rPr>
              <w:t xml:space="preserve">104.36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104.36</w:t>
            </w:r>
          </w:p>
        </w:tc>
        <w:tc>
          <w:tcPr>
            <w:tcW w:w="2700" w:type="dxa"/>
            <w:tcBorders/>
            <w:vAlign w:val="center"/>
          </w:tcPr>
          <w:p>
            <w:pPr>
              <w:jc w:val="right"/>
            </w:pPr>
            <w:r>
              <w:rPr>
                <w:rFonts w:ascii="宋体" w:eastAsia="宋体" w:hAnsi="宋体" w:cs="宋体"/>
                <w:b w:val="0"/>
                <w:i w:val="0"/>
                <w:color w:val="000000"/>
                <w:sz w:val="25"/>
              </w:rPr>
              <w:t xml:space="preserve">104.36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700" w:type="dxa"/>
            <w:tcBorders/>
            <w:vAlign w:val="center"/>
          </w:tcPr>
          <w:p>
            <w:pPr>
              <w:jc w:val="right"/>
            </w:pPr>
            <w:r>
              <w:rPr>
                <w:rFonts w:ascii="宋体" w:eastAsia="宋体" w:hAnsi="宋体" w:cs="宋体"/>
                <w:b w:val="0"/>
                <w:i w:val="0"/>
                <w:color w:val="000000"/>
                <w:sz w:val="25"/>
              </w:rPr>
              <w:t xml:space="preserve">6.41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128.42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14.07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28.80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3.45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62.52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1.58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15.24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0.25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0.25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7.42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3.76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4.18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6.41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2.23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0.56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0.62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5.40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128.42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14.32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142.73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增加20.01万元，增长16.31%</w:t>
      </w:r>
      <w:r>
        <w:rPr>
          <w:rFonts w:ascii="仿宋" w:eastAsia="仿宋" w:hAnsi="仿宋" w:cs="仿宋" w:hint="eastAsia"/>
          <w:kern w:val="0"/>
          <w:sz w:val="32"/>
          <w:szCs w:val="32"/>
          <w:lang w:val="en-US" w:eastAsia="zh-CN"/>
        </w:rPr>
        <w:t xml:space="preserve">。主要原因是人员工资增加、社保基数调整，发放往年人员经费。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142.73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财政拨款收入142.73万元，占100.00%；上级补助收入0.00万元，占0.00%；事业收入0.00万元，占0.00%；经营收入0.00万元，占0.00%；附属单位上缴收入0.00万元，占0.00%；其他收入0.00万元，占0.00%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142.73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基本支出142.73万元，占100.00%；项目支出0.00万元，占0.00%；上缴上级支出0.00万元，占0.00%；经营支出0.00万元，占0.00%；对附属单位补助支出0.00万元，占0.00%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142.73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增加20.01万元，增长16.31%</w:t>
      </w:r>
      <w:r>
        <w:rPr>
          <w:rFonts w:ascii="仿宋" w:eastAsia="仿宋" w:hAnsi="仿宋" w:cs="仿宋" w:hint="eastAsia"/>
          <w:kern w:val="0"/>
          <w:sz w:val="32"/>
          <w:szCs w:val="32"/>
          <w:lang w:val="en-US" w:eastAsia="zh-CN"/>
        </w:rPr>
        <w:t xml:space="preserve">。主要原因是人员工资增加、社保基数调整，发放往年人员经费。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142.73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增加20.01万元，增长16.31%</w:t>
      </w:r>
      <w:r>
        <w:rPr>
          <w:rFonts w:ascii="仿宋" w:eastAsia="仿宋" w:hAnsi="仿宋" w:cs="仿宋" w:hint="eastAsia"/>
          <w:kern w:val="0"/>
          <w:sz w:val="32"/>
          <w:szCs w:val="32"/>
          <w:lang w:val="en-US" w:eastAsia="zh-CN"/>
        </w:rPr>
        <w:t xml:space="preserve">。主要原因是人员工资调整、社保基数调整，发放往年人员经费。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142.73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一般公共服务支出（类）6.16万元，占4.32%；社会保障和就业支出（类）7.42万元，占5.20%；卫生健康支出（类）7.94万元，占5.56%；城乡社区支出（类）114.80万元，占80.43%；住房保障支出（类）6.41万元，占4.49%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126.12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142.73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113.17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年初预算数为0.00万元，决算数0.45万元,决算数与年初预算数存在差异的主要原因是发放2022年度优秀公务员奖励。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年初预算数为0.56万元，决算数0.56万元,完成年初预算的100.00%，决算数与年初预算数不存在差异。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年初预算数为0.00万元，决算数5.15万元,决算数与年初预算数存在差异的主要原因是发放2021年平安建设奖。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年初预算数为7.33万元，决算数7.42万元,完成年初预算的101.23%，决算数与年初预算数存在差异的主要原因是人员社保基数调整。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年初预算数为3.61万元，决算数3.76万元,完成年初预算的104.16%，决算数与年初预算数存在差异的主要原因是人员社保基数调整。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年初预算数为4.01万元，决算数4.18万元,完成年初预算的104.24%，决算数与年初预算数存在差异的主要原因是人员社保基数调整。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7.城乡社区支出（类）城乡社区管理事务（款）行政运行（项）</w:t>
      </w:r>
      <w:r>
        <w:rPr>
          <w:rFonts w:ascii="仿宋" w:eastAsia="仿宋" w:hAnsi="仿宋" w:cs="仿宋" w:hint="default"/>
          <w:kern w:val="2"/>
          <w:sz w:val="32"/>
          <w:szCs w:val="32"/>
          <w:lang w:val="en-US" w:eastAsia="zh-CN"/>
        </w:rPr>
        <w:t xml:space="preserve">年初预算数为0.00万元，决算数10.44万元,决算数与年初预算数存在差异的主要原因是发放往年人员经费。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8.城乡社区支出（类）城乡社区规划与管理（款）城乡社区规划与管理（项）</w:t>
      </w:r>
      <w:r>
        <w:rPr>
          <w:rFonts w:ascii="仿宋" w:eastAsia="仿宋" w:hAnsi="仿宋" w:cs="仿宋" w:hint="default"/>
          <w:kern w:val="2"/>
          <w:sz w:val="32"/>
          <w:szCs w:val="32"/>
          <w:lang w:val="en-US" w:eastAsia="zh-CN"/>
        </w:rPr>
        <w:t xml:space="preserve">年初预算数为103.73万元，决算数104.36万元,完成年初预算的100.61%，决算数与年初预算数存在差异的主要原因是人员工资调整。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年初预算数为6.87万元，决算数6.41万元,完成年初预算的93.30%，决算数与年初预算数存在差异的主要原因是本年部分支出使用上年结转资金。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142.73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其中：人员经费128.42万元，主要包括：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公用经费14.32万元，主要包括：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2023年度机关运行经费支出14.32万元，</w:t>
      </w:r>
      <w:r>
        <w:rPr>
          <w:rFonts w:ascii="仿宋" w:eastAsia="仿宋" w:hAnsi="仿宋" w:cs="仿宋" w:hint="eastAsia"/>
          <w:kern w:val="0"/>
          <w:sz w:val="32"/>
          <w:szCs w:val="32"/>
          <w:lang w:val="en-US" w:eastAsia="zh-CN"/>
        </w:rPr>
        <w:t xml:space="preserve">较2022年度增长6.58万元，</w:t>
      </w:r>
      <w:r>
        <w:rPr>
          <w:rFonts w:ascii="仿宋" w:eastAsia="仿宋" w:hAnsi="仿宋" w:cs="仿宋" w:hint="eastAsia"/>
          <w:kern w:val="0"/>
          <w:sz w:val="32"/>
          <w:szCs w:val="32"/>
          <w:lang w:val="en-US" w:eastAsia="zh-CN"/>
        </w:rPr>
        <w:t xml:space="preserve">增长85.01%，</w:t>
      </w:r>
      <w:r>
        <w:rPr>
          <w:rFonts w:ascii="仿宋" w:eastAsia="仿宋" w:hAnsi="仿宋" w:cs="仿宋" w:hint="eastAsia"/>
          <w:kern w:val="0"/>
          <w:sz w:val="32"/>
          <w:szCs w:val="32"/>
          <w:lang w:val="en-US" w:eastAsia="zh-CN"/>
        </w:rPr>
        <w:t xml:space="preserve">主要原因是其他交通费用计入机关运行经费。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126.12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2023年度主要履职目标及任务是负责宣传和贯彻执行中央、省、市有关城乡规划管理的方针政策、法律、法规、条例、推进国土空间规划编制工作的顺利进行，同时做好本辖区建设项目规划设计、区域城市设计、各类专项规划的规划技术服务工作以及建设项目的监管工作，根据2023年年初制定的绩效目标，单位整体绩效自评为优，达到年初预定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29406f79-65ff-40e2-a41f-ac04fd19685c"/>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171"/>
        <w:gridCol w:w="1428"/>
        <w:gridCol w:w="1042"/>
        <w:gridCol w:w="868"/>
        <w:gridCol w:w="2344"/>
        <w:gridCol w:w="1497"/>
        <w:gridCol w:w="1905"/>
        <w:gridCol w:w="863"/>
        <w:gridCol w:w="798"/>
        <w:gridCol w:w="1026"/>
        <w:gridCol w:w="1042"/>
        <w:gridCol w:w="1661"/>
      </w:tblGrid>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5647" w:type="dxa"/>
            <w:gridSpan w:val="12"/>
            <w:tcBorders>
              <w:top w:val="nil"/>
              <w:left w:val="nil"/>
              <w:bottom w:val="nil"/>
              <w:right w:val="nil"/>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5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w="111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许昌市自然资源和规划局魏都区服务中心</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单位整体支出情况</w:t>
            </w: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单位预算总额（万元）</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26.12</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42.73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42.73</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42.73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42.73</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7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7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目标1：负责宣传和贯彻执行中央、省、市有关城乡规划管理的方针政策、法律、法规、条例、推进国土空间规划编制工作的顺利进行。    </w:t>
            </w:r>
            <w:r>
              <w:rPr/>
              <w:br/>
            </w:r>
            <w:r>
              <w:rPr>
                <w:rFonts w:ascii="宋体" w:eastAsia="宋体" w:hAnsi="宋体" w:cs="宋体"/>
                <w:i w:val="0"/>
                <w:iCs w:val="0"/>
                <w:color w:val="000000"/>
                <w:kern w:val="0"/>
                <w:sz w:val="18"/>
                <w:szCs w:val="18"/>
                <w:u w:val="none"/>
                <w:lang w:val="en-US" w:eastAsia="zh-CN"/>
              </w:rPr>
              <w:t xml:space="preserve">目标2：做好本辖区建设项目规划设计、区域城市设计、各类专项规划的规划技术服务工作以及建设项目的监管工作。</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172" w:type="dxa"/>
            <w:vMerge w:val="restart"/>
            <w:tcBorders>
              <w:top w:val="single" w:sz="4" w:space="0" w:color="000000"/>
              <w:left w:val="single" w:sz="4" w:space="0" w:color="000000"/>
              <w:bottom w:val="nil"/>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172" w:type="dxa"/>
            <w:vMerge/>
            <w:tcBorders>
              <w:top w:val="single" w:sz="4" w:space="0" w:color="000000"/>
              <w:left w:val="single" w:sz="4" w:space="0" w:color="000000"/>
              <w:bottom w:val="nil"/>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1、开展国土空间规划编制攻坚行动</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要依照国家和省级规则要求，全力以赴，高质量配合市局做好市、县、乡三级国土空间规划同步编制工作，全面提升规划管理水平。</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40"/>
        </w:trPr>
        <w:tc>
          <w:tcPr>
            <w:tcW w:w="1172" w:type="dxa"/>
            <w:vMerge/>
            <w:tcBorders>
              <w:top w:val="single" w:sz="4" w:space="0" w:color="000000"/>
              <w:left w:val="single" w:sz="4" w:space="0" w:color="000000"/>
              <w:bottom w:val="nil"/>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2、积极服务辖区内各项城市设计编制工作，为公共服务类项目做好规划技术前期服务看，同时做好已审批建设项目的监管工作</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紧盯本辖区内各类基础设施项目、公共配套设施项目以及各类专项规划，督促项目单位尽快完善上报项目所需前期手续，并提交规划编制方案报市局联审会、市技术会、市规委会审批。</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1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结余结转变动率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政府釆购执行率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r>
              <w:rPr>
                <w:rFonts w:ascii="宋体" w:eastAsia="宋体" w:hAnsi="宋体" w:cs="宋体"/>
                <w:i w:val="0"/>
                <w:iCs w:val="0"/>
                <w:color w:val="000000"/>
                <w:kern w:val="0"/>
                <w:sz w:val="18"/>
                <w:szCs w:val="18"/>
                <w:u w:val="none"/>
                <w:lang w:val="en-US" w:eastAsia="zh-CN"/>
              </w:rPr>
              <w:t xml:space="preserve">.8</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财务管理制度正在完善</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按时公开</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重点工作1计划完成率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14.5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3</w:t>
            </w:r>
            <w:r>
              <w:rPr>
                <w:rFonts w:ascii="宋体" w:eastAsia="宋体" w:hAnsi="宋体" w:cs="宋体"/>
                <w:i w:val="0"/>
                <w:iCs w:val="0"/>
                <w:color w:val="000000"/>
                <w:kern w:val="0"/>
                <w:sz w:val="18"/>
                <w:szCs w:val="18"/>
                <w:u w:val="none"/>
                <w:lang w:val="en-US" w:eastAsia="zh-CN"/>
              </w:rPr>
              <w:t xml:space="preserve">%</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提升工作效率</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重点工作2计划完成率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14.5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3</w:t>
            </w:r>
            <w:r>
              <w:rPr>
                <w:rFonts w:ascii="宋体" w:eastAsia="宋体" w:hAnsi="宋体" w:cs="宋体"/>
                <w:i w:val="0"/>
                <w:iCs w:val="0"/>
                <w:color w:val="000000"/>
                <w:kern w:val="0"/>
                <w:sz w:val="18"/>
                <w:szCs w:val="18"/>
                <w:u w:val="none"/>
                <w:lang w:val="en-US" w:eastAsia="zh-CN"/>
              </w:rPr>
              <w:t xml:space="preserve">%</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提升工作效率</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年度工作目标实现率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提升工作效率</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提高服务意识</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社会公众满意度</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提高服务意识</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1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提高服务意识</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jc w:val="center"/>
              <w:rPr>
                <w:rFonts w:ascii="宋体" w:eastAsia="宋体" w:hAnsi="宋体" w:cs="宋体" w:hint="eastAsia"/>
                <w:i w:val="0"/>
                <w:iCs w:val="0"/>
                <w:color w:val="000000"/>
                <w:sz w:val="18"/>
                <w:szCs w:val="18"/>
                <w:u w:val="none"/>
              </w:rPr>
            </w:pPr>
          </w:p>
        </w:tc>
        <w:tc>
          <w:tcPr>
            <w:tcW w:w="90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6.8</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rPr>
                <w:rFonts w:ascii="宋体" w:eastAsia="宋体" w:hAnsi="宋体" w:cs="宋体" w:hint="eastAsia"/>
                <w:i w:val="0"/>
                <w:iCs w:val="0"/>
                <w:color w:val="000000"/>
                <w:sz w:val="18"/>
                <w:szCs w:val="18"/>
                <w:u w:val="none"/>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3e89405-4a98-4897-b0ac-6ae5b2956525"/>
              <w:rPr>
                <w:rFonts w:ascii="宋体" w:eastAsia="宋体" w:hAnsi="宋体" w:cs="宋体" w:hint="eastAsia"/>
                <w:i w:val="0"/>
                <w:iCs w:val="0"/>
                <w:color w:val="000000"/>
                <w:sz w:val="18"/>
                <w:szCs w:val="18"/>
                <w:u w:val="none"/>
              </w:rPr>
            </w:pPr>
          </w:p>
        </w:tc>
      </w:tr>
    </w:tbl>
    <w:p>
      <w:pPr>
        <w:pStyle w:val="Normal_b3e89405-4a98-4897-b0ac-6ae5b2956525"/>
        <w:sectPr>
          <w:pgSz w:w="16838" w:h="11906" w:orient="landscape"/>
          <w:pgMar w:top="720" w:right="720" w:bottom="720" w:left="720" w:header="851" w:footer="992" w:gutter="0"/>
          <w:cols w:num="1" w:space="425">
            <w:col w:w="1539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3e89405-4a98-4897-b0ac-6ae5b2956525">
    <w:name w:val="Normal_b3e89405-4a98-4897-b0ac-6ae5b295652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29406f79-65ff-40e2-a41f-ac04fd19685c">
    <w:name w:val="Normal Table_29406f79-65ff-40e2-a41f-ac04fd19685c"/>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