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许昌市自然资源和规划局经济技术开发区分局</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许昌市自然资源和规划局经济技术开发区分局</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许昌市自然资源和规划局经济技术开发区分局概况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（一）宣传和贯彻执行中央、省、市关于自然资源工作的法律、法规、规章、条例及方针、政策。</w:t>
        <w:br/>
        <w:t xml:space="preserve">    （二）负责拟定辖区内土地利用年度计划、国土空间规划、城乡规划编制计划、林业及其生态建设发展规划，负责组织编制辖区内城市设计、控制性详细规划、重要地块修建性详细规划以及相关专项规划;建立控制性详细规划单元编制管理体系并组织编制、调整管理及动态维护工作。</w:t>
        <w:br/>
        <w:t xml:space="preserve">    （三）负责承办辖区内集体土地用途转用前期基础工作;负责辖区内涉及市政交通设施相关专项规划及项目的编制工作，城建重点项目的谋划工作;负责辖区内森林资源保护发展、监督管理工作。</w:t>
        <w:br/>
        <w:t xml:space="preserve">    （四）负责拟定辖区内基础测绘规划，做好自然资源基础调查、变更调查、动态监测及自然资源专项调查监测工作。</w:t>
        <w:br/>
        <w:t xml:space="preserve">    （五）负责辖区内永久基本农田划定、占用和补划的监督，耕地占补平衡管理并承担土地征收征用报件的上报工作;负责辖区内国土空间综合整治、土地整理复垦、矿山地质环境恢复治理及生态保护补偿相关工作;负责辖区内花卉管理和林木种苗生成经营管理工作。</w:t>
        <w:br/>
        <w:t xml:space="preserve">    （六）负责辖区内土地违法、违规案件的调查处理;负责监督辖区内森林采伐限额、林(草)地征占使用，开展防火巡护、火源管理、防火设施建设，指导并监督辖区内造林绿化等工作;负责辖区内执法事项;受理群众来信、接待群众来访，为来信来访群众提供相关法律、法规和政策咨询服务;交办、转送及协调处理重要信访事项。</w:t>
        <w:br/>
        <w:t xml:space="preserve">    （七）参与辖区内国民经济和社会发展计划、自然资源发展规划、湿地林地保护利用规划及其他相关专项规划的编制工作，协助开展城市发展的战略研究，参与辖区内建设项目的可行性研究和论证。许昌市自然资源和规划局经济技术开发区分局是正科级行政单位，主要负责宣传和贯彻执行中央、省、市有关城乡规划的法律、法规、规章及方针、政策；负责拟订辖区城乡规划编制计划；负责组织编制辖区内分区规划、控制性详细规划、城市设计、专项规划、重要地块修建性详细规划，并负责所编制规划的论证及上报工作；负责辖区内建设项目规划方案的初审、论证及上报工作；负责辖区内建设项目的批后监管工作；做好本辖区城建重点项目的谋划、规划技术服务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许昌市自然资源和规划局经济技术开发区分局</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许昌市自然资源和规划局经济技术开发区分局</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许昌市自然资源和规划局经济技术开发区分局</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单位：许昌市自然资源和规划局经济技术开发区分局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94.28</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4.38</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4.47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4.70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76.69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4.04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94.28</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94.28</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94.28</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94.28</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单位：许昌市自然资源和规划局经济技术开发区分局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94.28</w:t>
            </w:r>
          </w:p>
        </w:tc>
        <w:tc>
          <w:tcPr>
            <w:tcW w:w="1440" w:type="dxa"/>
            <w:tcBorders/>
            <w:vAlign w:val="center"/>
          </w:tcPr>
          <w:p>
            <w:pPr>
              <w:jc w:val="right"/>
            </w:pPr>
            <w:r>
              <w:rPr>
                <w:rFonts w:ascii="宋体" w:eastAsia="宋体" w:hAnsi="宋体" w:cs="宋体"/>
                <w:b/>
                <w:i w:val="0"/>
                <w:color w:val="000000"/>
                <w:sz w:val="17"/>
              </w:rPr>
              <w:t xml:space="preserve">94.28</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4.38</w:t>
            </w:r>
          </w:p>
        </w:tc>
        <w:tc>
          <w:tcPr>
            <w:tcW w:w="1440" w:type="dxa"/>
            <w:tcBorders/>
            <w:vAlign w:val="center"/>
          </w:tcPr>
          <w:p>
            <w:pPr>
              <w:jc w:val="right"/>
            </w:pPr>
            <w:r>
              <w:rPr>
                <w:rFonts w:ascii="宋体" w:eastAsia="宋体" w:hAnsi="宋体" w:cs="宋体"/>
                <w:b w:val="0"/>
                <w:i w:val="0"/>
                <w:color w:val="000000"/>
                <w:sz w:val="17"/>
              </w:rPr>
              <w:t xml:space="preserve">4.38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0.45</w:t>
            </w:r>
          </w:p>
        </w:tc>
        <w:tc>
          <w:tcPr>
            <w:tcW w:w="1440" w:type="dxa"/>
            <w:tcBorders/>
            <w:vAlign w:val="center"/>
          </w:tcPr>
          <w:p>
            <w:pPr>
              <w:jc w:val="right"/>
            </w:pPr>
            <w:r>
              <w:rPr>
                <w:rFonts w:ascii="宋体" w:eastAsia="宋体" w:hAnsi="宋体" w:cs="宋体"/>
                <w:b w:val="0"/>
                <w:i w:val="0"/>
                <w:color w:val="000000"/>
                <w:sz w:val="17"/>
              </w:rPr>
              <w:t xml:space="preserve">0.45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0.45</w:t>
            </w:r>
          </w:p>
        </w:tc>
        <w:tc>
          <w:tcPr>
            <w:tcW w:w="1440" w:type="dxa"/>
            <w:tcBorders/>
            <w:vAlign w:val="center"/>
          </w:tcPr>
          <w:p>
            <w:pPr>
              <w:jc w:val="right"/>
            </w:pPr>
            <w:r>
              <w:rPr>
                <w:rFonts w:ascii="宋体" w:eastAsia="宋体" w:hAnsi="宋体" w:cs="宋体"/>
                <w:b w:val="0"/>
                <w:i w:val="0"/>
                <w:color w:val="000000"/>
                <w:sz w:val="17"/>
              </w:rPr>
              <w:t xml:space="preserve">0.45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3.93</w:t>
            </w:r>
          </w:p>
        </w:tc>
        <w:tc>
          <w:tcPr>
            <w:tcW w:w="1440" w:type="dxa"/>
            <w:tcBorders/>
            <w:vAlign w:val="center"/>
          </w:tcPr>
          <w:p>
            <w:pPr>
              <w:jc w:val="right"/>
            </w:pPr>
            <w:r>
              <w:rPr>
                <w:rFonts w:ascii="宋体" w:eastAsia="宋体" w:hAnsi="宋体" w:cs="宋体"/>
                <w:b w:val="0"/>
                <w:i w:val="0"/>
                <w:color w:val="000000"/>
                <w:sz w:val="17"/>
              </w:rPr>
              <w:t xml:space="preserve">3.93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3.93</w:t>
            </w:r>
          </w:p>
        </w:tc>
        <w:tc>
          <w:tcPr>
            <w:tcW w:w="1440" w:type="dxa"/>
            <w:tcBorders/>
            <w:vAlign w:val="center"/>
          </w:tcPr>
          <w:p>
            <w:pPr>
              <w:jc w:val="right"/>
            </w:pPr>
            <w:r>
              <w:rPr>
                <w:rFonts w:ascii="宋体" w:eastAsia="宋体" w:hAnsi="宋体" w:cs="宋体"/>
                <w:b w:val="0"/>
                <w:i w:val="0"/>
                <w:color w:val="000000"/>
                <w:sz w:val="17"/>
              </w:rPr>
              <w:t xml:space="preserve">3.93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4.47</w:t>
            </w:r>
          </w:p>
        </w:tc>
        <w:tc>
          <w:tcPr>
            <w:tcW w:w="1440" w:type="dxa"/>
            <w:tcBorders/>
            <w:vAlign w:val="center"/>
          </w:tcPr>
          <w:p>
            <w:pPr>
              <w:jc w:val="right"/>
            </w:pPr>
            <w:r>
              <w:rPr>
                <w:rFonts w:ascii="宋体" w:eastAsia="宋体" w:hAnsi="宋体" w:cs="宋体"/>
                <w:b w:val="0"/>
                <w:i w:val="0"/>
                <w:color w:val="000000"/>
                <w:sz w:val="17"/>
              </w:rPr>
              <w:t xml:space="preserve">4.47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4.47</w:t>
            </w:r>
          </w:p>
        </w:tc>
        <w:tc>
          <w:tcPr>
            <w:tcW w:w="1440" w:type="dxa"/>
            <w:tcBorders/>
            <w:vAlign w:val="center"/>
          </w:tcPr>
          <w:p>
            <w:pPr>
              <w:jc w:val="right"/>
            </w:pPr>
            <w:r>
              <w:rPr>
                <w:rFonts w:ascii="宋体" w:eastAsia="宋体" w:hAnsi="宋体" w:cs="宋体"/>
                <w:b w:val="0"/>
                <w:i w:val="0"/>
                <w:color w:val="000000"/>
                <w:sz w:val="17"/>
              </w:rPr>
              <w:t xml:space="preserve">4.47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4.47</w:t>
            </w:r>
          </w:p>
        </w:tc>
        <w:tc>
          <w:tcPr>
            <w:tcW w:w="1440" w:type="dxa"/>
            <w:tcBorders/>
            <w:vAlign w:val="center"/>
          </w:tcPr>
          <w:p>
            <w:pPr>
              <w:jc w:val="right"/>
            </w:pPr>
            <w:r>
              <w:rPr>
                <w:rFonts w:ascii="宋体" w:eastAsia="宋体" w:hAnsi="宋体" w:cs="宋体"/>
                <w:b w:val="0"/>
                <w:i w:val="0"/>
                <w:color w:val="000000"/>
                <w:sz w:val="17"/>
              </w:rPr>
              <w:t xml:space="preserve">4.47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4.70</w:t>
            </w:r>
          </w:p>
        </w:tc>
        <w:tc>
          <w:tcPr>
            <w:tcW w:w="1440" w:type="dxa"/>
            <w:tcBorders/>
            <w:vAlign w:val="center"/>
          </w:tcPr>
          <w:p>
            <w:pPr>
              <w:jc w:val="right"/>
            </w:pPr>
            <w:r>
              <w:rPr>
                <w:rFonts w:ascii="宋体" w:eastAsia="宋体" w:hAnsi="宋体" w:cs="宋体"/>
                <w:b w:val="0"/>
                <w:i w:val="0"/>
                <w:color w:val="000000"/>
                <w:sz w:val="17"/>
              </w:rPr>
              <w:t xml:space="preserve">4.70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4.70</w:t>
            </w:r>
          </w:p>
        </w:tc>
        <w:tc>
          <w:tcPr>
            <w:tcW w:w="1440" w:type="dxa"/>
            <w:tcBorders/>
            <w:vAlign w:val="center"/>
          </w:tcPr>
          <w:p>
            <w:pPr>
              <w:jc w:val="right"/>
            </w:pPr>
            <w:r>
              <w:rPr>
                <w:rFonts w:ascii="宋体" w:eastAsia="宋体" w:hAnsi="宋体" w:cs="宋体"/>
                <w:b w:val="0"/>
                <w:i w:val="0"/>
                <w:color w:val="000000"/>
                <w:sz w:val="17"/>
              </w:rPr>
              <w:t xml:space="preserve">4.70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2.23</w:t>
            </w:r>
          </w:p>
        </w:tc>
        <w:tc>
          <w:tcPr>
            <w:tcW w:w="1440" w:type="dxa"/>
            <w:tcBorders/>
            <w:vAlign w:val="center"/>
          </w:tcPr>
          <w:p>
            <w:pPr>
              <w:jc w:val="right"/>
            </w:pPr>
            <w:r>
              <w:rPr>
                <w:rFonts w:ascii="宋体" w:eastAsia="宋体" w:hAnsi="宋体" w:cs="宋体"/>
                <w:b w:val="0"/>
                <w:i w:val="0"/>
                <w:color w:val="000000"/>
                <w:sz w:val="17"/>
              </w:rPr>
              <w:t xml:space="preserve">2.23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2.47</w:t>
            </w:r>
          </w:p>
        </w:tc>
        <w:tc>
          <w:tcPr>
            <w:tcW w:w="1440" w:type="dxa"/>
            <w:tcBorders/>
            <w:vAlign w:val="center"/>
          </w:tcPr>
          <w:p>
            <w:pPr>
              <w:jc w:val="right"/>
            </w:pPr>
            <w:r>
              <w:rPr>
                <w:rFonts w:ascii="宋体" w:eastAsia="宋体" w:hAnsi="宋体" w:cs="宋体"/>
                <w:b w:val="0"/>
                <w:i w:val="0"/>
                <w:color w:val="000000"/>
                <w:sz w:val="17"/>
              </w:rPr>
              <w:t xml:space="preserve">2.47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城乡社区支出</w:t>
            </w:r>
          </w:p>
        </w:tc>
        <w:tc>
          <w:tcPr>
            <w:tcW w:w="1440" w:type="dxa"/>
            <w:tcBorders/>
            <w:vAlign w:val="center"/>
          </w:tcPr>
          <w:p>
            <w:pPr>
              <w:jc w:val="right"/>
            </w:pPr>
            <w:r>
              <w:rPr>
                <w:rFonts w:ascii="宋体" w:eastAsia="宋体" w:hAnsi="宋体" w:cs="宋体"/>
                <w:b w:val="0"/>
                <w:i w:val="0"/>
                <w:color w:val="000000"/>
                <w:sz w:val="17"/>
              </w:rPr>
              <w:t xml:space="preserve">76.69</w:t>
            </w:r>
          </w:p>
        </w:tc>
        <w:tc>
          <w:tcPr>
            <w:tcW w:w="1440" w:type="dxa"/>
            <w:tcBorders/>
            <w:vAlign w:val="center"/>
          </w:tcPr>
          <w:p>
            <w:pPr>
              <w:jc w:val="right"/>
            </w:pPr>
            <w:r>
              <w:rPr>
                <w:rFonts w:ascii="宋体" w:eastAsia="宋体" w:hAnsi="宋体" w:cs="宋体"/>
                <w:b w:val="0"/>
                <w:i w:val="0"/>
                <w:color w:val="000000"/>
                <w:sz w:val="17"/>
              </w:rPr>
              <w:t xml:space="preserve">76.69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城乡社区管理事务</w:t>
            </w:r>
          </w:p>
        </w:tc>
        <w:tc>
          <w:tcPr>
            <w:tcW w:w="1440" w:type="dxa"/>
            <w:tcBorders/>
            <w:vAlign w:val="center"/>
          </w:tcPr>
          <w:p>
            <w:pPr>
              <w:jc w:val="right"/>
            </w:pPr>
            <w:r>
              <w:rPr>
                <w:rFonts w:ascii="宋体" w:eastAsia="宋体" w:hAnsi="宋体" w:cs="宋体"/>
                <w:b w:val="0"/>
                <w:i w:val="0"/>
                <w:color w:val="000000"/>
                <w:sz w:val="17"/>
              </w:rPr>
              <w:t xml:space="preserve">76.69</w:t>
            </w:r>
          </w:p>
        </w:tc>
        <w:tc>
          <w:tcPr>
            <w:tcW w:w="1440" w:type="dxa"/>
            <w:tcBorders/>
            <w:vAlign w:val="center"/>
          </w:tcPr>
          <w:p>
            <w:pPr>
              <w:jc w:val="right"/>
            </w:pPr>
            <w:r>
              <w:rPr>
                <w:rFonts w:ascii="宋体" w:eastAsia="宋体" w:hAnsi="宋体" w:cs="宋体"/>
                <w:b w:val="0"/>
                <w:i w:val="0"/>
                <w:color w:val="000000"/>
                <w:sz w:val="17"/>
              </w:rPr>
              <w:t xml:space="preserve">76.69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76.69</w:t>
            </w:r>
          </w:p>
        </w:tc>
        <w:tc>
          <w:tcPr>
            <w:tcW w:w="1440" w:type="dxa"/>
            <w:tcBorders/>
            <w:vAlign w:val="center"/>
          </w:tcPr>
          <w:p>
            <w:pPr>
              <w:jc w:val="right"/>
            </w:pPr>
            <w:r>
              <w:rPr>
                <w:rFonts w:ascii="宋体" w:eastAsia="宋体" w:hAnsi="宋体" w:cs="宋体"/>
                <w:b w:val="0"/>
                <w:i w:val="0"/>
                <w:color w:val="000000"/>
                <w:sz w:val="17"/>
              </w:rPr>
              <w:t xml:space="preserve">76.69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4.04</w:t>
            </w:r>
          </w:p>
        </w:tc>
        <w:tc>
          <w:tcPr>
            <w:tcW w:w="1440" w:type="dxa"/>
            <w:tcBorders/>
            <w:vAlign w:val="center"/>
          </w:tcPr>
          <w:p>
            <w:pPr>
              <w:jc w:val="right"/>
            </w:pPr>
            <w:r>
              <w:rPr>
                <w:rFonts w:ascii="宋体" w:eastAsia="宋体" w:hAnsi="宋体" w:cs="宋体"/>
                <w:b w:val="0"/>
                <w:i w:val="0"/>
                <w:color w:val="000000"/>
                <w:sz w:val="17"/>
              </w:rPr>
              <w:t xml:space="preserve">4.04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4.04</w:t>
            </w:r>
          </w:p>
        </w:tc>
        <w:tc>
          <w:tcPr>
            <w:tcW w:w="1440" w:type="dxa"/>
            <w:tcBorders/>
            <w:vAlign w:val="center"/>
          </w:tcPr>
          <w:p>
            <w:pPr>
              <w:jc w:val="right"/>
            </w:pPr>
            <w:r>
              <w:rPr>
                <w:rFonts w:ascii="宋体" w:eastAsia="宋体" w:hAnsi="宋体" w:cs="宋体"/>
                <w:b w:val="0"/>
                <w:i w:val="0"/>
                <w:color w:val="000000"/>
                <w:sz w:val="17"/>
              </w:rPr>
              <w:t xml:space="preserve">4.04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4.04</w:t>
            </w:r>
          </w:p>
        </w:tc>
        <w:tc>
          <w:tcPr>
            <w:tcW w:w="1440" w:type="dxa"/>
            <w:tcBorders/>
            <w:vAlign w:val="center"/>
          </w:tcPr>
          <w:p>
            <w:pPr>
              <w:jc w:val="right"/>
            </w:pPr>
            <w:r>
              <w:rPr>
                <w:rFonts w:ascii="宋体" w:eastAsia="宋体" w:hAnsi="宋体" w:cs="宋体"/>
                <w:b w:val="0"/>
                <w:i w:val="0"/>
                <w:color w:val="000000"/>
                <w:sz w:val="17"/>
              </w:rPr>
              <w:t xml:space="preserve">4.04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单位：许昌市自然资源和规划局经济技术开发区分局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94.28</w:t>
            </w:r>
          </w:p>
        </w:tc>
        <w:tc>
          <w:tcPr>
            <w:tcW w:w="1600" w:type="dxa"/>
            <w:tcBorders/>
            <w:vAlign w:val="center"/>
          </w:tcPr>
          <w:p>
            <w:pPr>
              <w:jc w:val="right"/>
            </w:pPr>
            <w:r>
              <w:rPr>
                <w:rFonts w:ascii="宋体" w:eastAsia="宋体" w:hAnsi="宋体" w:cs="宋体"/>
                <w:b/>
                <w:i w:val="0"/>
                <w:color w:val="000000"/>
                <w:sz w:val="19"/>
              </w:rPr>
              <w:t xml:space="preserve">94.28</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4.38</w:t>
            </w:r>
          </w:p>
        </w:tc>
        <w:tc>
          <w:tcPr>
            <w:tcW w:w="1600" w:type="dxa"/>
            <w:tcBorders/>
            <w:vAlign w:val="center"/>
          </w:tcPr>
          <w:p>
            <w:pPr>
              <w:jc w:val="right"/>
            </w:pPr>
            <w:r>
              <w:rPr>
                <w:rFonts w:ascii="宋体" w:eastAsia="宋体" w:hAnsi="宋体" w:cs="宋体"/>
                <w:b w:val="0"/>
                <w:i w:val="0"/>
                <w:color w:val="000000"/>
                <w:sz w:val="19"/>
              </w:rPr>
              <w:t xml:space="preserve">4.38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0.45</w:t>
            </w:r>
          </w:p>
        </w:tc>
        <w:tc>
          <w:tcPr>
            <w:tcW w:w="1600" w:type="dxa"/>
            <w:tcBorders/>
            <w:vAlign w:val="center"/>
          </w:tcPr>
          <w:p>
            <w:pPr>
              <w:jc w:val="right"/>
            </w:pPr>
            <w:r>
              <w:rPr>
                <w:rFonts w:ascii="宋体" w:eastAsia="宋体" w:hAnsi="宋体" w:cs="宋体"/>
                <w:b w:val="0"/>
                <w:i w:val="0"/>
                <w:color w:val="000000"/>
                <w:sz w:val="19"/>
              </w:rPr>
              <w:t xml:space="preserve">0.45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0.45</w:t>
            </w:r>
          </w:p>
        </w:tc>
        <w:tc>
          <w:tcPr>
            <w:tcW w:w="1600" w:type="dxa"/>
            <w:tcBorders/>
            <w:vAlign w:val="center"/>
          </w:tcPr>
          <w:p>
            <w:pPr>
              <w:jc w:val="right"/>
            </w:pPr>
            <w:r>
              <w:rPr>
                <w:rFonts w:ascii="宋体" w:eastAsia="宋体" w:hAnsi="宋体" w:cs="宋体"/>
                <w:b w:val="0"/>
                <w:i w:val="0"/>
                <w:color w:val="000000"/>
                <w:sz w:val="19"/>
              </w:rPr>
              <w:t xml:space="preserve">0.45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3.93</w:t>
            </w:r>
          </w:p>
        </w:tc>
        <w:tc>
          <w:tcPr>
            <w:tcW w:w="1600" w:type="dxa"/>
            <w:tcBorders/>
            <w:vAlign w:val="center"/>
          </w:tcPr>
          <w:p>
            <w:pPr>
              <w:jc w:val="right"/>
            </w:pPr>
            <w:r>
              <w:rPr>
                <w:rFonts w:ascii="宋体" w:eastAsia="宋体" w:hAnsi="宋体" w:cs="宋体"/>
                <w:b w:val="0"/>
                <w:i w:val="0"/>
                <w:color w:val="000000"/>
                <w:sz w:val="19"/>
              </w:rPr>
              <w:t xml:space="preserve">3.93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3.93</w:t>
            </w:r>
          </w:p>
        </w:tc>
        <w:tc>
          <w:tcPr>
            <w:tcW w:w="1600" w:type="dxa"/>
            <w:tcBorders/>
            <w:vAlign w:val="center"/>
          </w:tcPr>
          <w:p>
            <w:pPr>
              <w:jc w:val="right"/>
            </w:pPr>
            <w:r>
              <w:rPr>
                <w:rFonts w:ascii="宋体" w:eastAsia="宋体" w:hAnsi="宋体" w:cs="宋体"/>
                <w:b w:val="0"/>
                <w:i w:val="0"/>
                <w:color w:val="000000"/>
                <w:sz w:val="19"/>
              </w:rPr>
              <w:t xml:space="preserve">3.93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4.47</w:t>
            </w:r>
          </w:p>
        </w:tc>
        <w:tc>
          <w:tcPr>
            <w:tcW w:w="1600" w:type="dxa"/>
            <w:tcBorders/>
            <w:vAlign w:val="center"/>
          </w:tcPr>
          <w:p>
            <w:pPr>
              <w:jc w:val="right"/>
            </w:pPr>
            <w:r>
              <w:rPr>
                <w:rFonts w:ascii="宋体" w:eastAsia="宋体" w:hAnsi="宋体" w:cs="宋体"/>
                <w:b w:val="0"/>
                <w:i w:val="0"/>
                <w:color w:val="000000"/>
                <w:sz w:val="19"/>
              </w:rPr>
              <w:t xml:space="preserve">4.47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4.47</w:t>
            </w:r>
          </w:p>
        </w:tc>
        <w:tc>
          <w:tcPr>
            <w:tcW w:w="1600" w:type="dxa"/>
            <w:tcBorders/>
            <w:vAlign w:val="center"/>
          </w:tcPr>
          <w:p>
            <w:pPr>
              <w:jc w:val="right"/>
            </w:pPr>
            <w:r>
              <w:rPr>
                <w:rFonts w:ascii="宋体" w:eastAsia="宋体" w:hAnsi="宋体" w:cs="宋体"/>
                <w:b w:val="0"/>
                <w:i w:val="0"/>
                <w:color w:val="000000"/>
                <w:sz w:val="19"/>
              </w:rPr>
              <w:t xml:space="preserve">4.47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4.47</w:t>
            </w:r>
          </w:p>
        </w:tc>
        <w:tc>
          <w:tcPr>
            <w:tcW w:w="1600" w:type="dxa"/>
            <w:tcBorders/>
            <w:vAlign w:val="center"/>
          </w:tcPr>
          <w:p>
            <w:pPr>
              <w:jc w:val="right"/>
            </w:pPr>
            <w:r>
              <w:rPr>
                <w:rFonts w:ascii="宋体" w:eastAsia="宋体" w:hAnsi="宋体" w:cs="宋体"/>
                <w:b w:val="0"/>
                <w:i w:val="0"/>
                <w:color w:val="000000"/>
                <w:sz w:val="19"/>
              </w:rPr>
              <w:t xml:space="preserve">4.47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4.70</w:t>
            </w:r>
          </w:p>
        </w:tc>
        <w:tc>
          <w:tcPr>
            <w:tcW w:w="1600" w:type="dxa"/>
            <w:tcBorders/>
            <w:vAlign w:val="center"/>
          </w:tcPr>
          <w:p>
            <w:pPr>
              <w:jc w:val="right"/>
            </w:pPr>
            <w:r>
              <w:rPr>
                <w:rFonts w:ascii="宋体" w:eastAsia="宋体" w:hAnsi="宋体" w:cs="宋体"/>
                <w:b w:val="0"/>
                <w:i w:val="0"/>
                <w:color w:val="000000"/>
                <w:sz w:val="19"/>
              </w:rPr>
              <w:t xml:space="preserve">4.70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4.70</w:t>
            </w:r>
          </w:p>
        </w:tc>
        <w:tc>
          <w:tcPr>
            <w:tcW w:w="1600" w:type="dxa"/>
            <w:tcBorders/>
            <w:vAlign w:val="center"/>
          </w:tcPr>
          <w:p>
            <w:pPr>
              <w:jc w:val="right"/>
            </w:pPr>
            <w:r>
              <w:rPr>
                <w:rFonts w:ascii="宋体" w:eastAsia="宋体" w:hAnsi="宋体" w:cs="宋体"/>
                <w:b w:val="0"/>
                <w:i w:val="0"/>
                <w:color w:val="000000"/>
                <w:sz w:val="19"/>
              </w:rPr>
              <w:t xml:space="preserve">4.70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2.23</w:t>
            </w:r>
          </w:p>
        </w:tc>
        <w:tc>
          <w:tcPr>
            <w:tcW w:w="1600" w:type="dxa"/>
            <w:tcBorders/>
            <w:vAlign w:val="center"/>
          </w:tcPr>
          <w:p>
            <w:pPr>
              <w:jc w:val="right"/>
            </w:pPr>
            <w:r>
              <w:rPr>
                <w:rFonts w:ascii="宋体" w:eastAsia="宋体" w:hAnsi="宋体" w:cs="宋体"/>
                <w:b w:val="0"/>
                <w:i w:val="0"/>
                <w:color w:val="000000"/>
                <w:sz w:val="19"/>
              </w:rPr>
              <w:t xml:space="preserve">2.23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2.47</w:t>
            </w:r>
          </w:p>
        </w:tc>
        <w:tc>
          <w:tcPr>
            <w:tcW w:w="1600" w:type="dxa"/>
            <w:tcBorders/>
            <w:vAlign w:val="center"/>
          </w:tcPr>
          <w:p>
            <w:pPr>
              <w:jc w:val="right"/>
            </w:pPr>
            <w:r>
              <w:rPr>
                <w:rFonts w:ascii="宋体" w:eastAsia="宋体" w:hAnsi="宋体" w:cs="宋体"/>
                <w:b w:val="0"/>
                <w:i w:val="0"/>
                <w:color w:val="000000"/>
                <w:sz w:val="19"/>
              </w:rPr>
              <w:t xml:space="preserve">2.47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城乡社区支出</w:t>
            </w:r>
          </w:p>
        </w:tc>
        <w:tc>
          <w:tcPr>
            <w:tcW w:w="1600" w:type="dxa"/>
            <w:tcBorders/>
            <w:vAlign w:val="center"/>
          </w:tcPr>
          <w:p>
            <w:pPr>
              <w:jc w:val="right"/>
            </w:pPr>
            <w:r>
              <w:rPr>
                <w:rFonts w:ascii="宋体" w:eastAsia="宋体" w:hAnsi="宋体" w:cs="宋体"/>
                <w:b w:val="0"/>
                <w:i w:val="0"/>
                <w:color w:val="000000"/>
                <w:sz w:val="19"/>
              </w:rPr>
              <w:t xml:space="preserve">76.69</w:t>
            </w:r>
          </w:p>
        </w:tc>
        <w:tc>
          <w:tcPr>
            <w:tcW w:w="1600" w:type="dxa"/>
            <w:tcBorders/>
            <w:vAlign w:val="center"/>
          </w:tcPr>
          <w:p>
            <w:pPr>
              <w:jc w:val="right"/>
            </w:pPr>
            <w:r>
              <w:rPr>
                <w:rFonts w:ascii="宋体" w:eastAsia="宋体" w:hAnsi="宋体" w:cs="宋体"/>
                <w:b w:val="0"/>
                <w:i w:val="0"/>
                <w:color w:val="000000"/>
                <w:sz w:val="19"/>
              </w:rPr>
              <w:t xml:space="preserve">76.69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城乡社区管理事务</w:t>
            </w:r>
          </w:p>
        </w:tc>
        <w:tc>
          <w:tcPr>
            <w:tcW w:w="1600" w:type="dxa"/>
            <w:tcBorders/>
            <w:vAlign w:val="center"/>
          </w:tcPr>
          <w:p>
            <w:pPr>
              <w:jc w:val="right"/>
            </w:pPr>
            <w:r>
              <w:rPr>
                <w:rFonts w:ascii="宋体" w:eastAsia="宋体" w:hAnsi="宋体" w:cs="宋体"/>
                <w:b w:val="0"/>
                <w:i w:val="0"/>
                <w:color w:val="000000"/>
                <w:sz w:val="19"/>
              </w:rPr>
              <w:t xml:space="preserve">76.69</w:t>
            </w:r>
          </w:p>
        </w:tc>
        <w:tc>
          <w:tcPr>
            <w:tcW w:w="1600" w:type="dxa"/>
            <w:tcBorders/>
            <w:vAlign w:val="center"/>
          </w:tcPr>
          <w:p>
            <w:pPr>
              <w:jc w:val="right"/>
            </w:pPr>
            <w:r>
              <w:rPr>
                <w:rFonts w:ascii="宋体" w:eastAsia="宋体" w:hAnsi="宋体" w:cs="宋体"/>
                <w:b w:val="0"/>
                <w:i w:val="0"/>
                <w:color w:val="000000"/>
                <w:sz w:val="19"/>
              </w:rPr>
              <w:t xml:space="preserve">76.69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76.69</w:t>
            </w:r>
          </w:p>
        </w:tc>
        <w:tc>
          <w:tcPr>
            <w:tcW w:w="1600" w:type="dxa"/>
            <w:tcBorders/>
            <w:vAlign w:val="center"/>
          </w:tcPr>
          <w:p>
            <w:pPr>
              <w:jc w:val="right"/>
            </w:pPr>
            <w:r>
              <w:rPr>
                <w:rFonts w:ascii="宋体" w:eastAsia="宋体" w:hAnsi="宋体" w:cs="宋体"/>
                <w:b w:val="0"/>
                <w:i w:val="0"/>
                <w:color w:val="000000"/>
                <w:sz w:val="19"/>
              </w:rPr>
              <w:t xml:space="preserve">76.69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4.04</w:t>
            </w:r>
          </w:p>
        </w:tc>
        <w:tc>
          <w:tcPr>
            <w:tcW w:w="1600" w:type="dxa"/>
            <w:tcBorders/>
            <w:vAlign w:val="center"/>
          </w:tcPr>
          <w:p>
            <w:pPr>
              <w:jc w:val="right"/>
            </w:pPr>
            <w:r>
              <w:rPr>
                <w:rFonts w:ascii="宋体" w:eastAsia="宋体" w:hAnsi="宋体" w:cs="宋体"/>
                <w:b w:val="0"/>
                <w:i w:val="0"/>
                <w:color w:val="000000"/>
                <w:sz w:val="19"/>
              </w:rPr>
              <w:t xml:space="preserve">4.04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4.04</w:t>
            </w:r>
          </w:p>
        </w:tc>
        <w:tc>
          <w:tcPr>
            <w:tcW w:w="1600" w:type="dxa"/>
            <w:tcBorders/>
            <w:vAlign w:val="center"/>
          </w:tcPr>
          <w:p>
            <w:pPr>
              <w:jc w:val="right"/>
            </w:pPr>
            <w:r>
              <w:rPr>
                <w:rFonts w:ascii="宋体" w:eastAsia="宋体" w:hAnsi="宋体" w:cs="宋体"/>
                <w:b w:val="0"/>
                <w:i w:val="0"/>
                <w:color w:val="000000"/>
                <w:sz w:val="19"/>
              </w:rPr>
              <w:t xml:space="preserve">4.04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4.04</w:t>
            </w:r>
          </w:p>
        </w:tc>
        <w:tc>
          <w:tcPr>
            <w:tcW w:w="1600" w:type="dxa"/>
            <w:tcBorders/>
            <w:vAlign w:val="center"/>
          </w:tcPr>
          <w:p>
            <w:pPr>
              <w:jc w:val="right"/>
            </w:pPr>
            <w:r>
              <w:rPr>
                <w:rFonts w:ascii="宋体" w:eastAsia="宋体" w:hAnsi="宋体" w:cs="宋体"/>
                <w:b w:val="0"/>
                <w:i w:val="0"/>
                <w:color w:val="000000"/>
                <w:sz w:val="19"/>
              </w:rPr>
              <w:t xml:space="preserve">4.04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单位：许昌市自然资源和规划局经济技术开发区分局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94.28</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4.38</w:t>
            </w:r>
          </w:p>
        </w:tc>
        <w:tc>
          <w:tcPr>
            <w:tcW w:w="1420" w:type="dxa"/>
            <w:tcBorders/>
            <w:vAlign w:val="center"/>
          </w:tcPr>
          <w:p>
            <w:pPr>
              <w:jc w:val="right"/>
            </w:pPr>
            <w:r>
              <w:rPr>
                <w:rFonts w:ascii="宋体" w:eastAsia="宋体" w:hAnsi="宋体" w:cs="宋体"/>
                <w:b w:val="0"/>
                <w:i w:val="0"/>
                <w:color w:val="000000"/>
                <w:sz w:val="18"/>
              </w:rPr>
              <w:t xml:space="preserve">4.38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4.47</w:t>
            </w:r>
          </w:p>
        </w:tc>
        <w:tc>
          <w:tcPr>
            <w:tcW w:w="1420" w:type="dxa"/>
            <w:tcBorders/>
            <w:vAlign w:val="center"/>
          </w:tcPr>
          <w:p>
            <w:pPr>
              <w:jc w:val="right"/>
            </w:pPr>
            <w:r>
              <w:rPr>
                <w:rFonts w:ascii="宋体" w:eastAsia="宋体" w:hAnsi="宋体" w:cs="宋体"/>
                <w:b w:val="0"/>
                <w:i w:val="0"/>
                <w:color w:val="000000"/>
                <w:sz w:val="18"/>
              </w:rPr>
              <w:t xml:space="preserve">4.47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4.70</w:t>
            </w:r>
          </w:p>
        </w:tc>
        <w:tc>
          <w:tcPr>
            <w:tcW w:w="1420" w:type="dxa"/>
            <w:tcBorders/>
            <w:vAlign w:val="center"/>
          </w:tcPr>
          <w:p>
            <w:pPr>
              <w:jc w:val="right"/>
            </w:pPr>
            <w:r>
              <w:rPr>
                <w:rFonts w:ascii="宋体" w:eastAsia="宋体" w:hAnsi="宋体" w:cs="宋体"/>
                <w:b w:val="0"/>
                <w:i w:val="0"/>
                <w:color w:val="000000"/>
                <w:sz w:val="18"/>
              </w:rPr>
              <w:t xml:space="preserve">4.70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76.69</w:t>
            </w:r>
          </w:p>
        </w:tc>
        <w:tc>
          <w:tcPr>
            <w:tcW w:w="1420" w:type="dxa"/>
            <w:tcBorders/>
            <w:vAlign w:val="center"/>
          </w:tcPr>
          <w:p>
            <w:pPr>
              <w:jc w:val="right"/>
            </w:pPr>
            <w:r>
              <w:rPr>
                <w:rFonts w:ascii="宋体" w:eastAsia="宋体" w:hAnsi="宋体" w:cs="宋体"/>
                <w:b w:val="0"/>
                <w:i w:val="0"/>
                <w:color w:val="000000"/>
                <w:sz w:val="18"/>
              </w:rPr>
              <w:t xml:space="preserve">76.69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4.04</w:t>
            </w:r>
          </w:p>
        </w:tc>
        <w:tc>
          <w:tcPr>
            <w:tcW w:w="1420" w:type="dxa"/>
            <w:tcBorders/>
            <w:vAlign w:val="center"/>
          </w:tcPr>
          <w:p>
            <w:pPr>
              <w:jc w:val="right"/>
            </w:pPr>
            <w:r>
              <w:rPr>
                <w:rFonts w:ascii="宋体" w:eastAsia="宋体" w:hAnsi="宋体" w:cs="宋体"/>
                <w:b w:val="0"/>
                <w:i w:val="0"/>
                <w:color w:val="000000"/>
                <w:sz w:val="18"/>
              </w:rPr>
              <w:t xml:space="preserve">4.04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94.28</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94.28</w:t>
            </w:r>
          </w:p>
        </w:tc>
        <w:tc>
          <w:tcPr>
            <w:tcW w:w="1420" w:type="dxa"/>
            <w:tcBorders/>
            <w:vAlign w:val="center"/>
          </w:tcPr>
          <w:p>
            <w:pPr>
              <w:jc w:val="right"/>
            </w:pPr>
            <w:r>
              <w:rPr>
                <w:rFonts w:ascii="宋体" w:eastAsia="宋体" w:hAnsi="宋体" w:cs="宋体"/>
                <w:b w:val="0"/>
                <w:i w:val="0"/>
                <w:color w:val="000000"/>
                <w:sz w:val="18"/>
              </w:rPr>
              <w:t xml:space="preserve">94.28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94.28</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94.28</w:t>
            </w:r>
          </w:p>
        </w:tc>
        <w:tc>
          <w:tcPr>
            <w:tcW w:w="1420" w:type="dxa"/>
            <w:tcBorders/>
            <w:vAlign w:val="center"/>
          </w:tcPr>
          <w:p>
            <w:pPr>
              <w:jc w:val="right"/>
            </w:pPr>
            <w:r>
              <w:rPr>
                <w:rFonts w:ascii="宋体" w:eastAsia="宋体" w:hAnsi="宋体" w:cs="宋体"/>
                <w:b w:val="0"/>
                <w:i w:val="0"/>
                <w:color w:val="000000"/>
                <w:sz w:val="18"/>
              </w:rPr>
              <w:t xml:space="preserve">94.28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单位：许昌市自然资源和规划局经济技术开发区分局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94.28</w:t>
            </w:r>
          </w:p>
        </w:tc>
        <w:tc>
          <w:tcPr>
            <w:tcW w:w="2700" w:type="dxa"/>
            <w:tcBorders/>
            <w:vAlign w:val="center"/>
          </w:tcPr>
          <w:p>
            <w:pPr>
              <w:jc w:val="right"/>
            </w:pPr>
            <w:r>
              <w:rPr>
                <w:rFonts w:ascii="宋体" w:eastAsia="宋体" w:hAnsi="宋体" w:cs="宋体"/>
                <w:b/>
                <w:i w:val="0"/>
                <w:color w:val="000000"/>
                <w:sz w:val="25"/>
              </w:rPr>
              <w:t xml:space="preserve">94.28</w:t>
            </w:r>
          </w:p>
        </w:tc>
        <w:tc>
          <w:tcPr>
            <w:tcW w:w="2658" w:type="dxa"/>
            <w:tcBorders/>
            <w:vAlign w:val="center"/>
          </w:tcPr>
          <w:p>
            <w:pPr>
              <w:jc w:val="right"/>
            </w:pPr>
            <w:r>
              <w:rPr>
                <w:rFonts w:ascii="宋体" w:eastAsia="宋体" w:hAnsi="宋体" w:cs="宋体"/>
                <w:b/>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4.38</w:t>
            </w:r>
          </w:p>
        </w:tc>
        <w:tc>
          <w:tcPr>
            <w:tcW w:w="2700" w:type="dxa"/>
            <w:tcBorders/>
            <w:vAlign w:val="center"/>
          </w:tcPr>
          <w:p>
            <w:pPr>
              <w:jc w:val="right"/>
            </w:pPr>
            <w:r>
              <w:rPr>
                <w:rFonts w:ascii="宋体" w:eastAsia="宋体" w:hAnsi="宋体" w:cs="宋体"/>
                <w:b w:val="0"/>
                <w:i w:val="0"/>
                <w:color w:val="000000"/>
                <w:sz w:val="25"/>
              </w:rPr>
              <w:t xml:space="preserve">4.38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0.45</w:t>
            </w:r>
          </w:p>
        </w:tc>
        <w:tc>
          <w:tcPr>
            <w:tcW w:w="2700" w:type="dxa"/>
            <w:tcBorders/>
            <w:vAlign w:val="center"/>
          </w:tcPr>
          <w:p>
            <w:pPr>
              <w:jc w:val="right"/>
            </w:pPr>
            <w:r>
              <w:rPr>
                <w:rFonts w:ascii="宋体" w:eastAsia="宋体" w:hAnsi="宋体" w:cs="宋体"/>
                <w:b w:val="0"/>
                <w:i w:val="0"/>
                <w:color w:val="000000"/>
                <w:sz w:val="25"/>
              </w:rPr>
              <w:t xml:space="preserve">0.45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0.45</w:t>
            </w:r>
          </w:p>
        </w:tc>
        <w:tc>
          <w:tcPr>
            <w:tcW w:w="2700" w:type="dxa"/>
            <w:tcBorders/>
            <w:vAlign w:val="center"/>
          </w:tcPr>
          <w:p>
            <w:pPr>
              <w:jc w:val="right"/>
            </w:pPr>
            <w:r>
              <w:rPr>
                <w:rFonts w:ascii="宋体" w:eastAsia="宋体" w:hAnsi="宋体" w:cs="宋体"/>
                <w:b w:val="0"/>
                <w:i w:val="0"/>
                <w:color w:val="000000"/>
                <w:sz w:val="25"/>
              </w:rPr>
              <w:t xml:space="preserve">0.45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3.93</w:t>
            </w:r>
          </w:p>
        </w:tc>
        <w:tc>
          <w:tcPr>
            <w:tcW w:w="2700" w:type="dxa"/>
            <w:tcBorders/>
            <w:vAlign w:val="center"/>
          </w:tcPr>
          <w:p>
            <w:pPr>
              <w:jc w:val="right"/>
            </w:pPr>
            <w:r>
              <w:rPr>
                <w:rFonts w:ascii="宋体" w:eastAsia="宋体" w:hAnsi="宋体" w:cs="宋体"/>
                <w:b w:val="0"/>
                <w:i w:val="0"/>
                <w:color w:val="000000"/>
                <w:sz w:val="25"/>
              </w:rPr>
              <w:t xml:space="preserve">3.93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3.93</w:t>
            </w:r>
          </w:p>
        </w:tc>
        <w:tc>
          <w:tcPr>
            <w:tcW w:w="2700" w:type="dxa"/>
            <w:tcBorders/>
            <w:vAlign w:val="center"/>
          </w:tcPr>
          <w:p>
            <w:pPr>
              <w:jc w:val="right"/>
            </w:pPr>
            <w:r>
              <w:rPr>
                <w:rFonts w:ascii="宋体" w:eastAsia="宋体" w:hAnsi="宋体" w:cs="宋体"/>
                <w:b w:val="0"/>
                <w:i w:val="0"/>
                <w:color w:val="000000"/>
                <w:sz w:val="25"/>
              </w:rPr>
              <w:t xml:space="preserve">3.93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4.47</w:t>
            </w:r>
          </w:p>
        </w:tc>
        <w:tc>
          <w:tcPr>
            <w:tcW w:w="2700" w:type="dxa"/>
            <w:tcBorders/>
            <w:vAlign w:val="center"/>
          </w:tcPr>
          <w:p>
            <w:pPr>
              <w:jc w:val="right"/>
            </w:pPr>
            <w:r>
              <w:rPr>
                <w:rFonts w:ascii="宋体" w:eastAsia="宋体" w:hAnsi="宋体" w:cs="宋体"/>
                <w:b w:val="0"/>
                <w:i w:val="0"/>
                <w:color w:val="000000"/>
                <w:sz w:val="25"/>
              </w:rPr>
              <w:t xml:space="preserve">4.47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4.47</w:t>
            </w:r>
          </w:p>
        </w:tc>
        <w:tc>
          <w:tcPr>
            <w:tcW w:w="2700" w:type="dxa"/>
            <w:tcBorders/>
            <w:vAlign w:val="center"/>
          </w:tcPr>
          <w:p>
            <w:pPr>
              <w:jc w:val="right"/>
            </w:pPr>
            <w:r>
              <w:rPr>
                <w:rFonts w:ascii="宋体" w:eastAsia="宋体" w:hAnsi="宋体" w:cs="宋体"/>
                <w:b w:val="0"/>
                <w:i w:val="0"/>
                <w:color w:val="000000"/>
                <w:sz w:val="25"/>
              </w:rPr>
              <w:t xml:space="preserve">4.47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4.47</w:t>
            </w:r>
          </w:p>
        </w:tc>
        <w:tc>
          <w:tcPr>
            <w:tcW w:w="2700" w:type="dxa"/>
            <w:tcBorders/>
            <w:vAlign w:val="center"/>
          </w:tcPr>
          <w:p>
            <w:pPr>
              <w:jc w:val="right"/>
            </w:pPr>
            <w:r>
              <w:rPr>
                <w:rFonts w:ascii="宋体" w:eastAsia="宋体" w:hAnsi="宋体" w:cs="宋体"/>
                <w:b w:val="0"/>
                <w:i w:val="0"/>
                <w:color w:val="000000"/>
                <w:sz w:val="25"/>
              </w:rPr>
              <w:t xml:space="preserve">4.47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4.70</w:t>
            </w:r>
          </w:p>
        </w:tc>
        <w:tc>
          <w:tcPr>
            <w:tcW w:w="2700" w:type="dxa"/>
            <w:tcBorders/>
            <w:vAlign w:val="center"/>
          </w:tcPr>
          <w:p>
            <w:pPr>
              <w:jc w:val="right"/>
            </w:pPr>
            <w:r>
              <w:rPr>
                <w:rFonts w:ascii="宋体" w:eastAsia="宋体" w:hAnsi="宋体" w:cs="宋体"/>
                <w:b w:val="0"/>
                <w:i w:val="0"/>
                <w:color w:val="000000"/>
                <w:sz w:val="25"/>
              </w:rPr>
              <w:t xml:space="preserve">4.70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4.70</w:t>
            </w:r>
          </w:p>
        </w:tc>
        <w:tc>
          <w:tcPr>
            <w:tcW w:w="2700" w:type="dxa"/>
            <w:tcBorders/>
            <w:vAlign w:val="center"/>
          </w:tcPr>
          <w:p>
            <w:pPr>
              <w:jc w:val="right"/>
            </w:pPr>
            <w:r>
              <w:rPr>
                <w:rFonts w:ascii="宋体" w:eastAsia="宋体" w:hAnsi="宋体" w:cs="宋体"/>
                <w:b w:val="0"/>
                <w:i w:val="0"/>
                <w:color w:val="000000"/>
                <w:sz w:val="25"/>
              </w:rPr>
              <w:t xml:space="preserve">4.70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2.23</w:t>
            </w:r>
          </w:p>
        </w:tc>
        <w:tc>
          <w:tcPr>
            <w:tcW w:w="2700" w:type="dxa"/>
            <w:tcBorders/>
            <w:vAlign w:val="center"/>
          </w:tcPr>
          <w:p>
            <w:pPr>
              <w:jc w:val="right"/>
            </w:pPr>
            <w:r>
              <w:rPr>
                <w:rFonts w:ascii="宋体" w:eastAsia="宋体" w:hAnsi="宋体" w:cs="宋体"/>
                <w:b w:val="0"/>
                <w:i w:val="0"/>
                <w:color w:val="000000"/>
                <w:sz w:val="25"/>
              </w:rPr>
              <w:t xml:space="preserve">2.23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2.47</w:t>
            </w:r>
          </w:p>
        </w:tc>
        <w:tc>
          <w:tcPr>
            <w:tcW w:w="2700" w:type="dxa"/>
            <w:tcBorders/>
            <w:vAlign w:val="center"/>
          </w:tcPr>
          <w:p>
            <w:pPr>
              <w:jc w:val="right"/>
            </w:pPr>
            <w:r>
              <w:rPr>
                <w:rFonts w:ascii="宋体" w:eastAsia="宋体" w:hAnsi="宋体" w:cs="宋体"/>
                <w:b w:val="0"/>
                <w:i w:val="0"/>
                <w:color w:val="000000"/>
                <w:sz w:val="25"/>
              </w:rPr>
              <w:t xml:space="preserve">2.47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城乡社区支出</w:t>
            </w:r>
          </w:p>
        </w:tc>
        <w:tc>
          <w:tcPr>
            <w:tcW w:w="2700" w:type="dxa"/>
            <w:tcBorders/>
            <w:vAlign w:val="center"/>
          </w:tcPr>
          <w:p>
            <w:pPr>
              <w:jc w:val="right"/>
            </w:pPr>
            <w:r>
              <w:rPr>
                <w:rFonts w:ascii="宋体" w:eastAsia="宋体" w:hAnsi="宋体" w:cs="宋体"/>
                <w:b w:val="0"/>
                <w:i w:val="0"/>
                <w:color w:val="000000"/>
                <w:sz w:val="25"/>
              </w:rPr>
              <w:t xml:space="preserve">76.69</w:t>
            </w:r>
          </w:p>
        </w:tc>
        <w:tc>
          <w:tcPr>
            <w:tcW w:w="2700" w:type="dxa"/>
            <w:tcBorders/>
            <w:vAlign w:val="center"/>
          </w:tcPr>
          <w:p>
            <w:pPr>
              <w:jc w:val="right"/>
            </w:pPr>
            <w:r>
              <w:rPr>
                <w:rFonts w:ascii="宋体" w:eastAsia="宋体" w:hAnsi="宋体" w:cs="宋体"/>
                <w:b w:val="0"/>
                <w:i w:val="0"/>
                <w:color w:val="000000"/>
                <w:sz w:val="25"/>
              </w:rPr>
              <w:t xml:space="preserve">76.69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城乡社区管理事务</w:t>
            </w:r>
          </w:p>
        </w:tc>
        <w:tc>
          <w:tcPr>
            <w:tcW w:w="2700" w:type="dxa"/>
            <w:tcBorders/>
            <w:vAlign w:val="center"/>
          </w:tcPr>
          <w:p>
            <w:pPr>
              <w:jc w:val="right"/>
            </w:pPr>
            <w:r>
              <w:rPr>
                <w:rFonts w:ascii="宋体" w:eastAsia="宋体" w:hAnsi="宋体" w:cs="宋体"/>
                <w:b w:val="0"/>
                <w:i w:val="0"/>
                <w:color w:val="000000"/>
                <w:sz w:val="25"/>
              </w:rPr>
              <w:t xml:space="preserve">76.69</w:t>
            </w:r>
          </w:p>
        </w:tc>
        <w:tc>
          <w:tcPr>
            <w:tcW w:w="2700" w:type="dxa"/>
            <w:tcBorders/>
            <w:vAlign w:val="center"/>
          </w:tcPr>
          <w:p>
            <w:pPr>
              <w:jc w:val="right"/>
            </w:pPr>
            <w:r>
              <w:rPr>
                <w:rFonts w:ascii="宋体" w:eastAsia="宋体" w:hAnsi="宋体" w:cs="宋体"/>
                <w:b w:val="0"/>
                <w:i w:val="0"/>
                <w:color w:val="000000"/>
                <w:sz w:val="25"/>
              </w:rPr>
              <w:t xml:space="preserve">76.69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76.69</w:t>
            </w:r>
          </w:p>
        </w:tc>
        <w:tc>
          <w:tcPr>
            <w:tcW w:w="2700" w:type="dxa"/>
            <w:tcBorders/>
            <w:vAlign w:val="center"/>
          </w:tcPr>
          <w:p>
            <w:pPr>
              <w:jc w:val="right"/>
            </w:pPr>
            <w:r>
              <w:rPr>
                <w:rFonts w:ascii="宋体" w:eastAsia="宋体" w:hAnsi="宋体" w:cs="宋体"/>
                <w:b w:val="0"/>
                <w:i w:val="0"/>
                <w:color w:val="000000"/>
                <w:sz w:val="25"/>
              </w:rPr>
              <w:t xml:space="preserve">76.69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4.04</w:t>
            </w:r>
          </w:p>
        </w:tc>
        <w:tc>
          <w:tcPr>
            <w:tcW w:w="2700" w:type="dxa"/>
            <w:tcBorders/>
            <w:vAlign w:val="center"/>
          </w:tcPr>
          <w:p>
            <w:pPr>
              <w:jc w:val="right"/>
            </w:pPr>
            <w:r>
              <w:rPr>
                <w:rFonts w:ascii="宋体" w:eastAsia="宋体" w:hAnsi="宋体" w:cs="宋体"/>
                <w:b w:val="0"/>
                <w:i w:val="0"/>
                <w:color w:val="000000"/>
                <w:sz w:val="25"/>
              </w:rPr>
              <w:t xml:space="preserve">4.04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4.04</w:t>
            </w:r>
          </w:p>
        </w:tc>
        <w:tc>
          <w:tcPr>
            <w:tcW w:w="2700" w:type="dxa"/>
            <w:tcBorders/>
            <w:vAlign w:val="center"/>
          </w:tcPr>
          <w:p>
            <w:pPr>
              <w:jc w:val="right"/>
            </w:pPr>
            <w:r>
              <w:rPr>
                <w:rFonts w:ascii="宋体" w:eastAsia="宋体" w:hAnsi="宋体" w:cs="宋体"/>
                <w:b w:val="0"/>
                <w:i w:val="0"/>
                <w:color w:val="000000"/>
                <w:sz w:val="25"/>
              </w:rPr>
              <w:t xml:space="preserve">4.04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4.04</w:t>
            </w:r>
          </w:p>
        </w:tc>
        <w:tc>
          <w:tcPr>
            <w:tcW w:w="2700" w:type="dxa"/>
            <w:tcBorders/>
            <w:vAlign w:val="center"/>
          </w:tcPr>
          <w:p>
            <w:pPr>
              <w:jc w:val="right"/>
            </w:pPr>
            <w:r>
              <w:rPr>
                <w:rFonts w:ascii="宋体" w:eastAsia="宋体" w:hAnsi="宋体" w:cs="宋体"/>
                <w:b w:val="0"/>
                <w:i w:val="0"/>
                <w:color w:val="000000"/>
                <w:sz w:val="25"/>
              </w:rPr>
              <w:t xml:space="preserve">4.04</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单位：许昌市自然资源和规划局经济技术开发区分局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82.44</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11.84</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17.45</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2.31</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27.17</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4.78</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24.58</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4.47</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2.23</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2.47</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0.03</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0.43</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4.04</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0.45</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0.53</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3.34</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82.44</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11.84</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单位：许昌市自然资源和规划局经济技术开发区分局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单位：许昌市自然资源和规划局经济技术开发区分局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单位：许昌市自然资源和规划局经济技术开发区分局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94.28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增加1.43万元，增长1.54%</w:t>
      </w:r>
      <w:r>
        <w:rPr>
          <w:rFonts w:ascii="仿宋" w:eastAsia="仿宋" w:hAnsi="仿宋" w:cs="仿宋" w:hint="eastAsia"/>
          <w:kern w:val="0"/>
          <w:sz w:val="32"/>
          <w:szCs w:val="32"/>
          <w:lang w:val="en-US" w:eastAsia="zh-CN"/>
        </w:rPr>
        <w:t xml:space="preserve">。主要原因是2023年度业务量增加，工作经费增长。</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94.28</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财政拨款收入94.28万元，占100.00%；上级补助收入0.00万元，占0.00%；事业收入0.00万元，占0.00%；经营收入0.00万元，占0.00%；附属单位上缴收入0.00万元，占0.00%；其他收入0.00万元，占0.00%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94.28</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基本支出94.28万元，占100.00%；项目支出0.00万元，占0.00%；上缴上级支出0.00万元，占0.00%；经营支出0.00万元，占0.00%；对附属单位补助支出0.00万元，占0.00%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94.28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增加1.76万元，增长1.90%</w:t>
      </w:r>
      <w:r>
        <w:rPr>
          <w:rFonts w:ascii="仿宋" w:eastAsia="仿宋" w:hAnsi="仿宋" w:cs="仿宋" w:hint="eastAsia"/>
          <w:kern w:val="0"/>
          <w:sz w:val="32"/>
          <w:szCs w:val="32"/>
          <w:lang w:val="en-US" w:eastAsia="zh-CN"/>
        </w:rPr>
        <w:t xml:space="preserve">。主要原因是2023年度业务量增加，工作经费增长。</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94.28</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增加1.76万元，增长1.90%</w:t>
      </w:r>
      <w:r>
        <w:rPr>
          <w:rFonts w:ascii="仿宋" w:eastAsia="仿宋" w:hAnsi="仿宋" w:cs="仿宋" w:hint="eastAsia"/>
          <w:kern w:val="0"/>
          <w:sz w:val="32"/>
          <w:szCs w:val="32"/>
          <w:lang w:val="en-US" w:eastAsia="zh-CN"/>
        </w:rPr>
        <w:t xml:space="preserve">。主要原因是2023年度业务量增加，工作经费增长。</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94.28</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一般公共服务支出（类）4.38万元，占4.65%；社会保障和就业支出（类）4.47万元，占4.74%；卫生健康支出（类）4.70万元，占4.99%；城乡社区支出（类）76.69万元，占81.34%；住房保障支出（类）4.04万元，占4.29%</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96.68</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94.28</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97.52</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年初预算数为0.45万元，决算数0.45万元,完成年初预算的100.00%，决算数与年初预算数不存在差异。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年初预算数为0.00万元，决算数3.93万元,决算数与年初预算数存在差异的主要原因是2023年度追加人员经费，发放2021年度平安建设奖。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年初预算数为5.63万元，决算数4.47万元,完成年初预算的79.40%，决算数与年初预算数存在差异的主要原因是2023年度增加退休人员1人，在职人员减少1人，人员经费减少。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4.卫生健康支出（类）行政事业单位医疗（款）行政单位医疗（项）</w:t>
      </w:r>
      <w:r>
        <w:rPr>
          <w:rFonts w:ascii="仿宋" w:eastAsia="仿宋" w:hAnsi="仿宋" w:cs="仿宋" w:hint="default"/>
          <w:kern w:val="2"/>
          <w:sz w:val="32"/>
          <w:szCs w:val="32"/>
          <w:lang w:val="en-US" w:eastAsia="zh-CN"/>
        </w:rPr>
        <w:t xml:space="preserve">年初预算数为2.74万元，决算数2.23万元,完成年初预算的81.39%，决算数与年初预算数存在差异的主要原因是2023年度增加退休人员1人，在职人员减少1人，人员经费减少。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5.卫生健康支出（类）行政事业单位医疗（款）公务员医疗补助（项）</w:t>
      </w:r>
      <w:r>
        <w:rPr>
          <w:rFonts w:ascii="仿宋" w:eastAsia="仿宋" w:hAnsi="仿宋" w:cs="仿宋" w:hint="default"/>
          <w:kern w:val="2"/>
          <w:sz w:val="32"/>
          <w:szCs w:val="32"/>
          <w:lang w:val="en-US" w:eastAsia="zh-CN"/>
        </w:rPr>
        <w:t xml:space="preserve">年初预算数为3.04万元，决算数2.47万元,完成年初预算的81.25%，决算数与年初预算数存在差异的主要原因是2023年度增加退休人员1人，在职人员减少1人，人员经费减少。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6.城乡社区支出（类）城乡社区管理事务（款）行政运行（项）</w:t>
      </w:r>
      <w:r>
        <w:rPr>
          <w:rFonts w:ascii="仿宋" w:eastAsia="仿宋" w:hAnsi="仿宋" w:cs="仿宋" w:hint="default"/>
          <w:kern w:val="2"/>
          <w:sz w:val="32"/>
          <w:szCs w:val="32"/>
          <w:lang w:val="en-US" w:eastAsia="zh-CN"/>
        </w:rPr>
        <w:t xml:space="preserve">年初预算数为79.60万元，决算数76.69万元,完成年初预算的96.34%，决算数与年初预算数存在差异的主要原因是2023年度增加退休人员1人，在职人员减少1人，人员经费减少。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7.住房保障支出（类）住房改革支出（款）住房公积金（项）</w:t>
      </w:r>
      <w:r>
        <w:rPr>
          <w:rFonts w:ascii="仿宋" w:eastAsia="仿宋" w:hAnsi="仿宋" w:cs="仿宋" w:hint="default"/>
          <w:kern w:val="2"/>
          <w:sz w:val="32"/>
          <w:szCs w:val="32"/>
          <w:lang w:val="en-US" w:eastAsia="zh-CN"/>
        </w:rPr>
        <w:t xml:space="preserve">年初预算数为5.22万元，决算数4.04万元,完成年初预算的77.39%，决算数与年初预算数存在差异的主要原因是2023年度增加退休人员1人，在职人员减少1人，人员经费减少。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94.28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其中：人员经费82.44万元，主要包括：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公用经费11.84万元，主要包括：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2023年度机关运行经费支出11.84万元，</w:t>
      </w:r>
      <w:r>
        <w:rPr>
          <w:rFonts w:ascii="仿宋" w:eastAsia="仿宋" w:hAnsi="仿宋" w:cs="仿宋" w:hint="eastAsia"/>
          <w:kern w:val="0"/>
          <w:sz w:val="32"/>
          <w:szCs w:val="32"/>
          <w:lang w:val="en-US" w:eastAsia="zh-CN"/>
        </w:rPr>
        <w:t xml:space="preserve">较2022年度增长2.30万元，</w:t>
      </w:r>
      <w:r>
        <w:rPr>
          <w:rFonts w:ascii="仿宋" w:eastAsia="仿宋" w:hAnsi="仿宋" w:cs="仿宋" w:hint="eastAsia"/>
          <w:kern w:val="0"/>
          <w:sz w:val="32"/>
          <w:szCs w:val="32"/>
          <w:lang w:val="en-US" w:eastAsia="zh-CN"/>
        </w:rPr>
        <w:t xml:space="preserve">增长24.11%，</w:t>
      </w:r>
      <w:r>
        <w:rPr>
          <w:rFonts w:ascii="仿宋" w:eastAsia="仿宋" w:hAnsi="仿宋" w:cs="仿宋" w:hint="eastAsia"/>
          <w:kern w:val="0"/>
          <w:sz w:val="32"/>
          <w:szCs w:val="32"/>
          <w:lang w:val="en-US" w:eastAsia="zh-CN"/>
        </w:rPr>
        <w:t xml:space="preserve">主要原因是2023年度业务量增加，工作经费增长。</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94.28</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96.9</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根据2023年年初设定的绩效目标，单位整体绩效自评为优，达到年初预期目标</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651993ad-fb93-4e4b-a604-73c3f10cc7af"/>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616"/>
        <w:gridCol w:w="764"/>
        <w:gridCol w:w="544"/>
        <w:gridCol w:w="456"/>
        <w:gridCol w:w="1255"/>
        <w:gridCol w:w="789"/>
        <w:gridCol w:w="1019"/>
        <w:gridCol w:w="486"/>
        <w:gridCol w:w="576"/>
        <w:gridCol w:w="576"/>
        <w:gridCol w:w="545"/>
        <w:gridCol w:w="896"/>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3"/>
        </w:trPr>
        <w:tc>
          <w:tcPr>
            <w:tcW w:type="auto" w:w="0"/>
            <w:gridSpan w:val="12"/>
            <w:tcBorders>
              <w:top w:val="nil"/>
              <w:left w:val="nil"/>
              <w:bottom w:val="nil"/>
              <w:right w:val="nil"/>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单位整体自评表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许昌市自然资源和规划局经济技术开发区分局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单位</w:t>
            </w:r>
            <w:r>
              <w:rPr>
                <w:rFonts w:ascii="宋体" w:eastAsia="宋体" w:hAnsi="宋体" w:cs="宋体"/>
                <w:i w:val="0"/>
                <w:iCs w:val="0"/>
                <w:color w:val="000000"/>
                <w:kern w:val="0"/>
                <w:sz w:val="18"/>
                <w:szCs w:val="18"/>
                <w:u w:val="none"/>
                <w:lang w:val="en-US" w:eastAsia="zh-CN"/>
              </w:rPr>
              <w:t xml:space="preserve">整体支出情况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单位</w:t>
            </w:r>
            <w:r>
              <w:rPr>
                <w:rFonts w:ascii="宋体" w:eastAsia="宋体" w:hAnsi="宋体" w:cs="宋体"/>
                <w:i w:val="0"/>
                <w:iCs w:val="0"/>
                <w:color w:val="000000"/>
                <w:kern w:val="0"/>
                <w:sz w:val="18"/>
                <w:szCs w:val="18"/>
                <w:u w:val="none"/>
                <w:lang w:val="en-US" w:eastAsia="zh-CN"/>
              </w:rPr>
              <w:t xml:space="preserve">预算总额（万元）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96.68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94.28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94.28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资金来源：（1）政府预算资金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96.68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94.28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94.28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（2）财政专户管理资金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（3）单位资金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w:t>
            </w:r>
          </w:p>
        </w:tc>
        <w:tc>
          <w:tcPr>
            <w:tcW w:type="auto" w:w="0"/>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制定开发区辖区年度用地计划，并承担土地用途转用前期准备工作，负责开发区辖区内土地违法、违规案件的调查处理，负责开发区辖区内基本农田的划定、占用和补划的监管</w:t>
            </w:r>
            <w:r>
              <w:rPr>
                <w:rFonts w:ascii="宋体" w:eastAsia="宋体" w:hAnsi="宋体" w:cs="宋体" w:hint="eastAsia"/>
                <w:i w:val="0"/>
                <w:iCs w:val="0"/>
                <w:color w:val="000000"/>
                <w:kern w:val="0"/>
                <w:sz w:val="18"/>
                <w:szCs w:val="18"/>
                <w:u w:val="none"/>
                <w:lang w:val="en-US" w:eastAsia="zh-CN"/>
              </w:rPr>
              <w:t xml:space="preserve">。</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5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达到95%以上</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vMerge w:val="restart"/>
            <w:tcBorders>
              <w:top w:val="single" w:sz="4" w:space="0" w:color="000000"/>
              <w:left w:val="single" w:sz="4" w:space="0" w:color="000000"/>
              <w:bottom w:val="nil"/>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6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土地报批</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制定开发区辖区年度用地计划，并承担土地用途转用前期准备工作</w:t>
            </w:r>
            <w:r>
              <w:rPr>
                <w:rFonts w:ascii="宋体" w:eastAsia="宋体" w:hAnsi="宋体" w:cs="宋体" w:hint="eastAsia"/>
                <w:i w:val="0"/>
                <w:iCs w:val="0"/>
                <w:color w:val="000000"/>
                <w:kern w:val="0"/>
                <w:sz w:val="18"/>
                <w:szCs w:val="18"/>
                <w:u w:val="none"/>
                <w:lang w:val="en-US" w:eastAsia="zh-CN"/>
              </w:rPr>
              <w:t xml:space="preserve">。</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达到94%以上</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6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违法案件查处</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负责开发区辖区内土地违法、违规案件的调查处理</w:t>
            </w:r>
            <w:r>
              <w:rPr>
                <w:rFonts w:ascii="宋体" w:eastAsia="宋体" w:hAnsi="宋体" w:cs="宋体" w:hint="eastAsia"/>
                <w:i w:val="0"/>
                <w:iCs w:val="0"/>
                <w:color w:val="000000"/>
                <w:kern w:val="0"/>
                <w:sz w:val="18"/>
                <w:szCs w:val="18"/>
                <w:u w:val="none"/>
                <w:lang w:val="en-US" w:eastAsia="zh-CN"/>
              </w:rPr>
              <w:t xml:space="preserve">。</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达到95%以上</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6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规划编制</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开发区建设项目规划方案的初审、论证及上报</w:t>
            </w:r>
            <w:r>
              <w:rPr>
                <w:rFonts w:ascii="宋体" w:eastAsia="宋体" w:hAnsi="宋体" w:cs="宋体" w:hint="eastAsia"/>
                <w:i w:val="0"/>
                <w:iCs w:val="0"/>
                <w:color w:val="000000"/>
                <w:kern w:val="0"/>
                <w:sz w:val="18"/>
                <w:szCs w:val="18"/>
                <w:u w:val="none"/>
                <w:lang w:val="en-US" w:eastAsia="zh-CN"/>
              </w:rPr>
              <w:t xml:space="preserve">。</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达到95%以上</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目标充分、内容合法合规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合理、清晰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完整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预算调整率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结转结余率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“三公经费”控制率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无三公经费预算</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决算真实性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健全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完善财务制度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nil"/>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2"/>
            <w:vMerge w:val="restart"/>
            <w:tcBorders>
              <w:top w:val="nil"/>
              <w:left w:val="single" w:sz="4" w:space="0" w:color="000000"/>
              <w:bottom w:val="single" w:sz="4" w:space="0" w:color="000000"/>
              <w:right w:val="nil"/>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绩效目标编制完成率</w:t>
            </w:r>
          </w:p>
        </w:tc>
        <w:tc>
          <w:tcPr>
            <w:tcW w:type="auto" w:w="0"/>
            <w:tcBorders>
              <w:top w:val="single" w:sz="4" w:space="0" w:color="000000"/>
              <w:left w:val="nil"/>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gridSpan w:val="2"/>
            <w:vMerge/>
            <w:tcBorders>
              <w:top w:val="nil"/>
              <w:left w:val="single" w:sz="4" w:space="0" w:color="000000"/>
              <w:bottom w:val="single" w:sz="4" w:space="0" w:color="000000"/>
              <w:right w:val="nil"/>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绩效监控完成率</w:t>
            </w:r>
          </w:p>
        </w:tc>
        <w:tc>
          <w:tcPr>
            <w:tcW w:type="auto" w:w="0"/>
            <w:tcBorders>
              <w:top w:val="single" w:sz="4" w:space="0" w:color="000000"/>
              <w:left w:val="nil"/>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gridSpan w:val="2"/>
            <w:vMerge/>
            <w:tcBorders>
              <w:top w:val="nil"/>
              <w:left w:val="single" w:sz="4" w:space="0" w:color="000000"/>
              <w:bottom w:val="single" w:sz="4" w:space="0" w:color="000000"/>
              <w:right w:val="nil"/>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绩效自评完成率</w:t>
            </w:r>
          </w:p>
        </w:tc>
        <w:tc>
          <w:tcPr>
            <w:tcW w:type="auto" w:w="0"/>
            <w:tcBorders>
              <w:top w:val="single" w:sz="4" w:space="0" w:color="000000"/>
              <w:left w:val="nil"/>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gridSpan w:val="2"/>
            <w:vMerge/>
            <w:tcBorders>
              <w:top w:val="nil"/>
              <w:left w:val="single" w:sz="4" w:space="0" w:color="000000"/>
              <w:bottom w:val="single" w:sz="4" w:space="0" w:color="000000"/>
              <w:right w:val="nil"/>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部门绩效评价完成率</w:t>
            </w:r>
          </w:p>
        </w:tc>
        <w:tc>
          <w:tcPr>
            <w:tcW w:type="auto" w:w="0"/>
            <w:tcBorders>
              <w:top w:val="single" w:sz="4" w:space="0" w:color="000000"/>
              <w:left w:val="nil"/>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加强绩效评价工作</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gridSpan w:val="2"/>
            <w:vMerge/>
            <w:tcBorders>
              <w:top w:val="nil"/>
              <w:left w:val="single" w:sz="4" w:space="0" w:color="000000"/>
              <w:bottom w:val="single" w:sz="4" w:space="0" w:color="000000"/>
              <w:right w:val="nil"/>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评价结果应用率</w:t>
            </w:r>
          </w:p>
        </w:tc>
        <w:tc>
          <w:tcPr>
            <w:tcW w:type="auto" w:w="0"/>
            <w:tcBorders>
              <w:top w:val="single" w:sz="4" w:space="0" w:color="000000"/>
              <w:left w:val="nil"/>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加强评价结果应用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8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gridSpan w:val="2"/>
            <w:vMerge w:val="restart"/>
            <w:tcBorders>
              <w:top w:val="nil"/>
              <w:left w:val="single" w:sz="4" w:space="0" w:color="000000"/>
              <w:bottom w:val="single" w:sz="4" w:space="0" w:color="000000"/>
              <w:right w:val="nil"/>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土地审批实现率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加强报批进度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8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gridSpan w:val="2"/>
            <w:vMerge/>
            <w:tcBorders>
              <w:top w:val="nil"/>
              <w:left w:val="single" w:sz="4" w:space="0" w:color="000000"/>
              <w:bottom w:val="single" w:sz="4" w:space="0" w:color="000000"/>
              <w:right w:val="nil"/>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自然资源执法工作完成率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2"/>
            <w:vMerge w:val="restart"/>
            <w:tcBorders>
              <w:top w:val="nil"/>
              <w:left w:val="single" w:sz="4" w:space="0" w:color="000000"/>
              <w:bottom w:val="nil"/>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土地审批实现率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gridSpan w:val="2"/>
            <w:vMerge/>
            <w:tcBorders>
              <w:top w:val="nil"/>
              <w:left w:val="single" w:sz="4" w:space="0" w:color="000000"/>
              <w:bottom w:val="nil"/>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基本农田保护实现率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gridSpan w:val="2"/>
            <w:vMerge/>
            <w:tcBorders>
              <w:top w:val="nil"/>
              <w:left w:val="single" w:sz="4" w:space="0" w:color="000000"/>
              <w:bottom w:val="nil"/>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自然资源执法工作完成率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提升自然资源规划工作水平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w:t>
            </w:r>
          </w:p>
        </w:tc>
        <w:tc>
          <w:tcPr>
            <w:tcW w:type="auto" w:w="0"/>
            <w:tcBorders>
              <w:top w:val="single" w:sz="4" w:space="0" w:color="000000"/>
              <w:left w:val="single" w:sz="4" w:space="0" w:color="000000"/>
              <w:bottom w:val="nil"/>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加强满意度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服务对象满意度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加强满意度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96.9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2d8ed05-a03c-4153-aeeb-9216bea9eac9"/>
              <w:rPr>
                <w:rFonts w:ascii="宋体" w:eastAsia="宋体" w:hAnsi="宋体" w:cs="宋体" w:hint="eastAsia"/>
                <w:i w:val="0"/>
                <w:iCs w:val="0"/>
                <w:color w:val="000000"/>
                <w:sz w:val="18"/>
                <w:szCs w:val="18"/>
                <w:u w:val="none"/>
              </w:rPr>
            </w:pPr>
          </w:p>
        </w:tc>
      </w:tr>
    </w:tbl>
    <w:p>
      <w:pPr>
        <w:pStyle w:val="Normal_32d8ed05-a03c-4153-aeeb-9216bea9eac9"/>
        <w:sectPr>
          <w:pgSz w:w="11906" w:h="16838" w:orient="portrait"/>
          <w:pgMar w:top="1440" w:right="1800" w:bottom="1440" w:left="1800" w:header="851" w:footer="992" w:gutter="0"/>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4"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53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32d8ed05-a03c-4153-aeeb-9216bea9eac9">
    <w:name w:val="Normal_32d8ed05-a03c-4153-aeeb-9216bea9eac9"/>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651993ad-fb93-4e4b-a604-73c3f10cc7af">
    <w:name w:val="Normal Table_651993ad-fb93-4e4b-a604-73c3f10cc7af"/>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2024-10-10T09:21:16Z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