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许昌市自然资源和规划局建安区服务中心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许昌市自然资源和规划局建安区服务中心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许昌市自然资源和规划局建安区服务中心概况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自然资源和规划局建安区服务中心主要负责宣传和贯彻执行中央、省、市有关城乡规划的法律、法规、规章及方针、政策；负责拟订辖区城乡规划编制计划；负责组织编制辖区内分区规划、控制性详细规划、城市设计、专项规划、重要地块修建性详细规划，并负责所编制规划的论证及上报工作；负责辖区内建设项目规划方案的初审、论证及上报工作；负责辖区内建设项目的批后监管工作；做好本辖区城建重点项目的谋划、规划技术服务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许昌市自然资源和规划局建安区服务中心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许昌市自然资源和规划局建安区服务中心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许昌市自然资源和规划局建安区服务中心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77.12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5.04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4.51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3.61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60.20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3.76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77.12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77.12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77.12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77.12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77.12</w:t>
            </w:r>
          </w:p>
        </w:tc>
        <w:tc>
          <w:tcPr>
            <w:tcW w:w="1440" w:type="dxa"/>
            <w:tcBorders/>
            <w:vAlign w:val="center"/>
          </w:tcPr>
          <w:p>
            <w:pPr>
              <w:jc w:val="right"/>
            </w:pPr>
            <w:r>
              <w:rPr>
                <w:rFonts w:ascii="宋体" w:eastAsia="宋体" w:hAnsi="宋体" w:cs="宋体"/>
                <w:b/>
                <w:i w:val="0"/>
                <w:color w:val="000000"/>
                <w:sz w:val="17"/>
              </w:rPr>
              <w:t xml:space="preserve">77.12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5.04</w:t>
            </w:r>
          </w:p>
        </w:tc>
        <w:tc>
          <w:tcPr>
            <w:tcW w:w="1440" w:type="dxa"/>
            <w:tcBorders/>
            <w:vAlign w:val="center"/>
          </w:tcPr>
          <w:p>
            <w:pPr>
              <w:jc w:val="right"/>
            </w:pPr>
            <w:r>
              <w:rPr>
                <w:rFonts w:ascii="宋体" w:eastAsia="宋体" w:hAnsi="宋体" w:cs="宋体"/>
                <w:b w:val="0"/>
                <w:i w:val="0"/>
                <w:color w:val="000000"/>
                <w:sz w:val="17"/>
              </w:rPr>
              <w:t xml:space="preserve">5.04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1.73</w:t>
            </w:r>
          </w:p>
        </w:tc>
        <w:tc>
          <w:tcPr>
            <w:tcW w:w="1440" w:type="dxa"/>
            <w:tcBorders/>
            <w:vAlign w:val="center"/>
          </w:tcPr>
          <w:p>
            <w:pPr>
              <w:jc w:val="right"/>
            </w:pPr>
            <w:r>
              <w:rPr>
                <w:rFonts w:ascii="宋体" w:eastAsia="宋体" w:hAnsi="宋体" w:cs="宋体"/>
                <w:b w:val="0"/>
                <w:i w:val="0"/>
                <w:color w:val="000000"/>
                <w:sz w:val="17"/>
              </w:rPr>
              <w:t xml:space="preserve">1.73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1.73</w:t>
            </w:r>
          </w:p>
        </w:tc>
        <w:tc>
          <w:tcPr>
            <w:tcW w:w="1440" w:type="dxa"/>
            <w:tcBorders/>
            <w:vAlign w:val="center"/>
          </w:tcPr>
          <w:p>
            <w:pPr>
              <w:jc w:val="right"/>
            </w:pPr>
            <w:r>
              <w:rPr>
                <w:rFonts w:ascii="宋体" w:eastAsia="宋体" w:hAnsi="宋体" w:cs="宋体"/>
                <w:b w:val="0"/>
                <w:i w:val="0"/>
                <w:color w:val="000000"/>
                <w:sz w:val="17"/>
              </w:rPr>
              <w:t xml:space="preserve">1.73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40" w:type="dxa"/>
            <w:tcBorders/>
            <w:vAlign w:val="center"/>
          </w:tcPr>
          <w:p>
            <w:pPr>
              <w:jc w:val="right"/>
            </w:pPr>
            <w:r>
              <w:rPr>
                <w:rFonts w:ascii="宋体" w:eastAsia="宋体" w:hAnsi="宋体" w:cs="宋体"/>
                <w:b w:val="0"/>
                <w:i w:val="0"/>
                <w:color w:val="000000"/>
                <w:sz w:val="17"/>
              </w:rPr>
              <w:t xml:space="preserve">0.33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4.51</w:t>
            </w:r>
          </w:p>
        </w:tc>
        <w:tc>
          <w:tcPr>
            <w:tcW w:w="1440" w:type="dxa"/>
            <w:tcBorders/>
            <w:vAlign w:val="center"/>
          </w:tcPr>
          <w:p>
            <w:pPr>
              <w:jc w:val="right"/>
            </w:pPr>
            <w:r>
              <w:rPr>
                <w:rFonts w:ascii="宋体" w:eastAsia="宋体" w:hAnsi="宋体" w:cs="宋体"/>
                <w:b w:val="0"/>
                <w:i w:val="0"/>
                <w:color w:val="000000"/>
                <w:sz w:val="17"/>
              </w:rPr>
              <w:t xml:space="preserve">4.51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4.51</w:t>
            </w:r>
          </w:p>
        </w:tc>
        <w:tc>
          <w:tcPr>
            <w:tcW w:w="1440" w:type="dxa"/>
            <w:tcBorders/>
            <w:vAlign w:val="center"/>
          </w:tcPr>
          <w:p>
            <w:pPr>
              <w:jc w:val="right"/>
            </w:pPr>
            <w:r>
              <w:rPr>
                <w:rFonts w:ascii="宋体" w:eastAsia="宋体" w:hAnsi="宋体" w:cs="宋体"/>
                <w:b w:val="0"/>
                <w:i w:val="0"/>
                <w:color w:val="000000"/>
                <w:sz w:val="17"/>
              </w:rPr>
              <w:t xml:space="preserve">4.51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3.61</w:t>
            </w:r>
          </w:p>
        </w:tc>
        <w:tc>
          <w:tcPr>
            <w:tcW w:w="1440" w:type="dxa"/>
            <w:tcBorders/>
            <w:vAlign w:val="center"/>
          </w:tcPr>
          <w:p>
            <w:pPr>
              <w:jc w:val="right"/>
            </w:pPr>
            <w:r>
              <w:rPr>
                <w:rFonts w:ascii="宋体" w:eastAsia="宋体" w:hAnsi="宋体" w:cs="宋体"/>
                <w:b w:val="0"/>
                <w:i w:val="0"/>
                <w:color w:val="000000"/>
                <w:sz w:val="17"/>
              </w:rPr>
              <w:t xml:space="preserve">3.61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3.61</w:t>
            </w:r>
          </w:p>
        </w:tc>
        <w:tc>
          <w:tcPr>
            <w:tcW w:w="1440" w:type="dxa"/>
            <w:tcBorders/>
            <w:vAlign w:val="center"/>
          </w:tcPr>
          <w:p>
            <w:pPr>
              <w:jc w:val="right"/>
            </w:pPr>
            <w:r>
              <w:rPr>
                <w:rFonts w:ascii="宋体" w:eastAsia="宋体" w:hAnsi="宋体" w:cs="宋体"/>
                <w:b w:val="0"/>
                <w:i w:val="0"/>
                <w:color w:val="000000"/>
                <w:sz w:val="17"/>
              </w:rPr>
              <w:t xml:space="preserve">3.61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1.71</w:t>
            </w:r>
          </w:p>
        </w:tc>
        <w:tc>
          <w:tcPr>
            <w:tcW w:w="1440" w:type="dxa"/>
            <w:tcBorders/>
            <w:vAlign w:val="center"/>
          </w:tcPr>
          <w:p>
            <w:pPr>
              <w:jc w:val="right"/>
            </w:pPr>
            <w:r>
              <w:rPr>
                <w:rFonts w:ascii="宋体" w:eastAsia="宋体" w:hAnsi="宋体" w:cs="宋体"/>
                <w:b w:val="0"/>
                <w:i w:val="0"/>
                <w:color w:val="000000"/>
                <w:sz w:val="17"/>
              </w:rPr>
              <w:t xml:space="preserve">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1.90</w:t>
            </w:r>
          </w:p>
        </w:tc>
        <w:tc>
          <w:tcPr>
            <w:tcW w:w="1440" w:type="dxa"/>
            <w:tcBorders/>
            <w:vAlign w:val="center"/>
          </w:tcPr>
          <w:p>
            <w:pPr>
              <w:jc w:val="right"/>
            </w:pPr>
            <w:r>
              <w:rPr>
                <w:rFonts w:ascii="宋体" w:eastAsia="宋体" w:hAnsi="宋体" w:cs="宋体"/>
                <w:b w:val="0"/>
                <w:i w:val="0"/>
                <w:color w:val="000000"/>
                <w:sz w:val="17"/>
              </w:rPr>
              <w:t xml:space="preserve">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60.20</w:t>
            </w:r>
          </w:p>
        </w:tc>
        <w:tc>
          <w:tcPr>
            <w:tcW w:w="1440" w:type="dxa"/>
            <w:tcBorders/>
            <w:vAlign w:val="center"/>
          </w:tcPr>
          <w:p>
            <w:pPr>
              <w:jc w:val="right"/>
            </w:pPr>
            <w:r>
              <w:rPr>
                <w:rFonts w:ascii="宋体" w:eastAsia="宋体" w:hAnsi="宋体" w:cs="宋体"/>
                <w:b w:val="0"/>
                <w:i w:val="0"/>
                <w:color w:val="000000"/>
                <w:sz w:val="17"/>
              </w:rPr>
              <w:t xml:space="preserve">60.20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1.03</w:t>
            </w:r>
          </w:p>
        </w:tc>
        <w:tc>
          <w:tcPr>
            <w:tcW w:w="1440" w:type="dxa"/>
            <w:tcBorders/>
            <w:vAlign w:val="center"/>
          </w:tcPr>
          <w:p>
            <w:pPr>
              <w:jc w:val="right"/>
            </w:pPr>
            <w:r>
              <w:rPr>
                <w:rFonts w:ascii="宋体" w:eastAsia="宋体" w:hAnsi="宋体" w:cs="宋体"/>
                <w:b w:val="0"/>
                <w:i w:val="0"/>
                <w:color w:val="000000"/>
                <w:sz w:val="17"/>
              </w:rPr>
              <w:t xml:space="preserve">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1.03</w:t>
            </w:r>
          </w:p>
        </w:tc>
        <w:tc>
          <w:tcPr>
            <w:tcW w:w="1440" w:type="dxa"/>
            <w:tcBorders/>
            <w:vAlign w:val="center"/>
          </w:tcPr>
          <w:p>
            <w:pPr>
              <w:jc w:val="right"/>
            </w:pPr>
            <w:r>
              <w:rPr>
                <w:rFonts w:ascii="宋体" w:eastAsia="宋体" w:hAnsi="宋体" w:cs="宋体"/>
                <w:b w:val="0"/>
                <w:i w:val="0"/>
                <w:color w:val="000000"/>
                <w:sz w:val="17"/>
              </w:rPr>
              <w:t xml:space="preserve">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59.17</w:t>
            </w:r>
          </w:p>
        </w:tc>
        <w:tc>
          <w:tcPr>
            <w:tcW w:w="1440" w:type="dxa"/>
            <w:tcBorders/>
            <w:vAlign w:val="center"/>
          </w:tcPr>
          <w:p>
            <w:pPr>
              <w:jc w:val="right"/>
            </w:pPr>
            <w:r>
              <w:rPr>
                <w:rFonts w:ascii="宋体" w:eastAsia="宋体" w:hAnsi="宋体" w:cs="宋体"/>
                <w:b w:val="0"/>
                <w:i w:val="0"/>
                <w:color w:val="000000"/>
                <w:sz w:val="17"/>
              </w:rPr>
              <w:t xml:space="preserve">59.17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59.17</w:t>
            </w:r>
          </w:p>
        </w:tc>
        <w:tc>
          <w:tcPr>
            <w:tcW w:w="1440" w:type="dxa"/>
            <w:tcBorders/>
            <w:vAlign w:val="center"/>
          </w:tcPr>
          <w:p>
            <w:pPr>
              <w:jc w:val="right"/>
            </w:pPr>
            <w:r>
              <w:rPr>
                <w:rFonts w:ascii="宋体" w:eastAsia="宋体" w:hAnsi="宋体" w:cs="宋体"/>
                <w:b w:val="0"/>
                <w:i w:val="0"/>
                <w:color w:val="000000"/>
                <w:sz w:val="17"/>
              </w:rPr>
              <w:t xml:space="preserve">59.17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77.12</w:t>
            </w:r>
          </w:p>
        </w:tc>
        <w:tc>
          <w:tcPr>
            <w:tcW w:w="1600" w:type="dxa"/>
            <w:tcBorders/>
            <w:vAlign w:val="center"/>
          </w:tcPr>
          <w:p>
            <w:pPr>
              <w:jc w:val="right"/>
            </w:pPr>
            <w:r>
              <w:rPr>
                <w:rFonts w:ascii="宋体" w:eastAsia="宋体" w:hAnsi="宋体" w:cs="宋体"/>
                <w:b/>
                <w:i w:val="0"/>
                <w:color w:val="000000"/>
                <w:sz w:val="19"/>
              </w:rPr>
              <w:t xml:space="preserve">77.12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5.04</w:t>
            </w:r>
          </w:p>
        </w:tc>
        <w:tc>
          <w:tcPr>
            <w:tcW w:w="1600" w:type="dxa"/>
            <w:tcBorders/>
            <w:vAlign w:val="center"/>
          </w:tcPr>
          <w:p>
            <w:pPr>
              <w:jc w:val="right"/>
            </w:pPr>
            <w:r>
              <w:rPr>
                <w:rFonts w:ascii="宋体" w:eastAsia="宋体" w:hAnsi="宋体" w:cs="宋体"/>
                <w:b w:val="0"/>
                <w:i w:val="0"/>
                <w:color w:val="000000"/>
                <w:sz w:val="19"/>
              </w:rPr>
              <w:t xml:space="preserve">5.04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1.73</w:t>
            </w:r>
          </w:p>
        </w:tc>
        <w:tc>
          <w:tcPr>
            <w:tcW w:w="1600" w:type="dxa"/>
            <w:tcBorders/>
            <w:vAlign w:val="center"/>
          </w:tcPr>
          <w:p>
            <w:pPr>
              <w:jc w:val="right"/>
            </w:pPr>
            <w:r>
              <w:rPr>
                <w:rFonts w:ascii="宋体" w:eastAsia="宋体" w:hAnsi="宋体" w:cs="宋体"/>
                <w:b w:val="0"/>
                <w:i w:val="0"/>
                <w:color w:val="000000"/>
                <w:sz w:val="19"/>
              </w:rPr>
              <w:t xml:space="preserve">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1.73</w:t>
            </w:r>
          </w:p>
        </w:tc>
        <w:tc>
          <w:tcPr>
            <w:tcW w:w="1600" w:type="dxa"/>
            <w:tcBorders/>
            <w:vAlign w:val="center"/>
          </w:tcPr>
          <w:p>
            <w:pPr>
              <w:jc w:val="right"/>
            </w:pPr>
            <w:r>
              <w:rPr>
                <w:rFonts w:ascii="宋体" w:eastAsia="宋体" w:hAnsi="宋体" w:cs="宋体"/>
                <w:b w:val="0"/>
                <w:i w:val="0"/>
                <w:color w:val="000000"/>
                <w:sz w:val="19"/>
              </w:rPr>
              <w:t xml:space="preserve">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0.33</w:t>
            </w:r>
          </w:p>
        </w:tc>
        <w:tc>
          <w:tcPr>
            <w:tcW w:w="1600" w:type="dxa"/>
            <w:tcBorders/>
            <w:vAlign w:val="center"/>
          </w:tcPr>
          <w:p>
            <w:pPr>
              <w:jc w:val="right"/>
            </w:pPr>
            <w:r>
              <w:rPr>
                <w:rFonts w:ascii="宋体" w:eastAsia="宋体" w:hAnsi="宋体" w:cs="宋体"/>
                <w:b w:val="0"/>
                <w:i w:val="0"/>
                <w:color w:val="000000"/>
                <w:sz w:val="19"/>
              </w:rPr>
              <w:t xml:space="preserve">0.33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0.33</w:t>
            </w:r>
          </w:p>
        </w:tc>
        <w:tc>
          <w:tcPr>
            <w:tcW w:w="1600" w:type="dxa"/>
            <w:tcBorders/>
            <w:vAlign w:val="center"/>
          </w:tcPr>
          <w:p>
            <w:pPr>
              <w:jc w:val="right"/>
            </w:pPr>
            <w:r>
              <w:rPr>
                <w:rFonts w:ascii="宋体" w:eastAsia="宋体" w:hAnsi="宋体" w:cs="宋体"/>
                <w:b w:val="0"/>
                <w:i w:val="0"/>
                <w:color w:val="000000"/>
                <w:sz w:val="19"/>
              </w:rPr>
              <w:t xml:space="preserve">0.33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4.51</w:t>
            </w:r>
          </w:p>
        </w:tc>
        <w:tc>
          <w:tcPr>
            <w:tcW w:w="1600" w:type="dxa"/>
            <w:tcBorders/>
            <w:vAlign w:val="center"/>
          </w:tcPr>
          <w:p>
            <w:pPr>
              <w:jc w:val="right"/>
            </w:pPr>
            <w:r>
              <w:rPr>
                <w:rFonts w:ascii="宋体" w:eastAsia="宋体" w:hAnsi="宋体" w:cs="宋体"/>
                <w:b w:val="0"/>
                <w:i w:val="0"/>
                <w:color w:val="000000"/>
                <w:sz w:val="19"/>
              </w:rPr>
              <w:t xml:space="preserve">4.51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4.51</w:t>
            </w:r>
          </w:p>
        </w:tc>
        <w:tc>
          <w:tcPr>
            <w:tcW w:w="1600" w:type="dxa"/>
            <w:tcBorders/>
            <w:vAlign w:val="center"/>
          </w:tcPr>
          <w:p>
            <w:pPr>
              <w:jc w:val="right"/>
            </w:pPr>
            <w:r>
              <w:rPr>
                <w:rFonts w:ascii="宋体" w:eastAsia="宋体" w:hAnsi="宋体" w:cs="宋体"/>
                <w:b w:val="0"/>
                <w:i w:val="0"/>
                <w:color w:val="000000"/>
                <w:sz w:val="19"/>
              </w:rPr>
              <w:t xml:space="preserve">4.51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3.61</w:t>
            </w:r>
          </w:p>
        </w:tc>
        <w:tc>
          <w:tcPr>
            <w:tcW w:w="1600" w:type="dxa"/>
            <w:tcBorders/>
            <w:vAlign w:val="center"/>
          </w:tcPr>
          <w:p>
            <w:pPr>
              <w:jc w:val="right"/>
            </w:pPr>
            <w:r>
              <w:rPr>
                <w:rFonts w:ascii="宋体" w:eastAsia="宋体" w:hAnsi="宋体" w:cs="宋体"/>
                <w:b w:val="0"/>
                <w:i w:val="0"/>
                <w:color w:val="000000"/>
                <w:sz w:val="19"/>
              </w:rPr>
              <w:t xml:space="preserve">3.61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3.61</w:t>
            </w:r>
          </w:p>
        </w:tc>
        <w:tc>
          <w:tcPr>
            <w:tcW w:w="1600" w:type="dxa"/>
            <w:tcBorders/>
            <w:vAlign w:val="center"/>
          </w:tcPr>
          <w:p>
            <w:pPr>
              <w:jc w:val="right"/>
            </w:pPr>
            <w:r>
              <w:rPr>
                <w:rFonts w:ascii="宋体" w:eastAsia="宋体" w:hAnsi="宋体" w:cs="宋体"/>
                <w:b w:val="0"/>
                <w:i w:val="0"/>
                <w:color w:val="000000"/>
                <w:sz w:val="19"/>
              </w:rPr>
              <w:t xml:space="preserve">3.61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1.71</w:t>
            </w:r>
          </w:p>
        </w:tc>
        <w:tc>
          <w:tcPr>
            <w:tcW w:w="1600" w:type="dxa"/>
            <w:tcBorders/>
            <w:vAlign w:val="center"/>
          </w:tcPr>
          <w:p>
            <w:pPr>
              <w:jc w:val="right"/>
            </w:pPr>
            <w:r>
              <w:rPr>
                <w:rFonts w:ascii="宋体" w:eastAsia="宋体" w:hAnsi="宋体" w:cs="宋体"/>
                <w:b w:val="0"/>
                <w:i w:val="0"/>
                <w:color w:val="000000"/>
                <w:sz w:val="19"/>
              </w:rPr>
              <w:t xml:space="preserve">1.71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1.90</w:t>
            </w:r>
          </w:p>
        </w:tc>
        <w:tc>
          <w:tcPr>
            <w:tcW w:w="1600" w:type="dxa"/>
            <w:tcBorders/>
            <w:vAlign w:val="center"/>
          </w:tcPr>
          <w:p>
            <w:pPr>
              <w:jc w:val="right"/>
            </w:pPr>
            <w:r>
              <w:rPr>
                <w:rFonts w:ascii="宋体" w:eastAsia="宋体" w:hAnsi="宋体" w:cs="宋体"/>
                <w:b w:val="0"/>
                <w:i w:val="0"/>
                <w:color w:val="000000"/>
                <w:sz w:val="19"/>
              </w:rPr>
              <w:t xml:space="preserve">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60.20</w:t>
            </w:r>
          </w:p>
        </w:tc>
        <w:tc>
          <w:tcPr>
            <w:tcW w:w="1600" w:type="dxa"/>
            <w:tcBorders/>
            <w:vAlign w:val="center"/>
          </w:tcPr>
          <w:p>
            <w:pPr>
              <w:jc w:val="right"/>
            </w:pPr>
            <w:r>
              <w:rPr>
                <w:rFonts w:ascii="宋体" w:eastAsia="宋体" w:hAnsi="宋体" w:cs="宋体"/>
                <w:b w:val="0"/>
                <w:i w:val="0"/>
                <w:color w:val="000000"/>
                <w:sz w:val="19"/>
              </w:rPr>
              <w:t xml:space="preserve">60.20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1.03</w:t>
            </w:r>
          </w:p>
        </w:tc>
        <w:tc>
          <w:tcPr>
            <w:tcW w:w="1600" w:type="dxa"/>
            <w:tcBorders/>
            <w:vAlign w:val="center"/>
          </w:tcPr>
          <w:p>
            <w:pPr>
              <w:jc w:val="right"/>
            </w:pPr>
            <w:r>
              <w:rPr>
                <w:rFonts w:ascii="宋体" w:eastAsia="宋体" w:hAnsi="宋体" w:cs="宋体"/>
                <w:b w:val="0"/>
                <w:i w:val="0"/>
                <w:color w:val="000000"/>
                <w:sz w:val="19"/>
              </w:rPr>
              <w:t xml:space="preserve">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1.03</w:t>
            </w:r>
          </w:p>
        </w:tc>
        <w:tc>
          <w:tcPr>
            <w:tcW w:w="1600" w:type="dxa"/>
            <w:tcBorders/>
            <w:vAlign w:val="center"/>
          </w:tcPr>
          <w:p>
            <w:pPr>
              <w:jc w:val="right"/>
            </w:pPr>
            <w:r>
              <w:rPr>
                <w:rFonts w:ascii="宋体" w:eastAsia="宋体" w:hAnsi="宋体" w:cs="宋体"/>
                <w:b w:val="0"/>
                <w:i w:val="0"/>
                <w:color w:val="000000"/>
                <w:sz w:val="19"/>
              </w:rPr>
              <w:t xml:space="preserve">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59.17</w:t>
            </w:r>
          </w:p>
        </w:tc>
        <w:tc>
          <w:tcPr>
            <w:tcW w:w="1600" w:type="dxa"/>
            <w:tcBorders/>
            <w:vAlign w:val="center"/>
          </w:tcPr>
          <w:p>
            <w:pPr>
              <w:jc w:val="right"/>
            </w:pPr>
            <w:r>
              <w:rPr>
                <w:rFonts w:ascii="宋体" w:eastAsia="宋体" w:hAnsi="宋体" w:cs="宋体"/>
                <w:b w:val="0"/>
                <w:i w:val="0"/>
                <w:color w:val="000000"/>
                <w:sz w:val="19"/>
              </w:rPr>
              <w:t xml:space="preserve">59.17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59.17</w:t>
            </w:r>
          </w:p>
        </w:tc>
        <w:tc>
          <w:tcPr>
            <w:tcW w:w="1600" w:type="dxa"/>
            <w:tcBorders/>
            <w:vAlign w:val="center"/>
          </w:tcPr>
          <w:p>
            <w:pPr>
              <w:jc w:val="right"/>
            </w:pPr>
            <w:r>
              <w:rPr>
                <w:rFonts w:ascii="宋体" w:eastAsia="宋体" w:hAnsi="宋体" w:cs="宋体"/>
                <w:b w:val="0"/>
                <w:i w:val="0"/>
                <w:color w:val="000000"/>
                <w:sz w:val="19"/>
              </w:rPr>
              <w:t xml:space="preserve">59.17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5.04</w:t>
            </w:r>
          </w:p>
        </w:tc>
        <w:tc>
          <w:tcPr>
            <w:tcW w:w="1420" w:type="dxa"/>
            <w:tcBorders/>
            <w:vAlign w:val="center"/>
          </w:tcPr>
          <w:p>
            <w:pPr>
              <w:jc w:val="right"/>
            </w:pPr>
            <w:r>
              <w:rPr>
                <w:rFonts w:ascii="宋体" w:eastAsia="宋体" w:hAnsi="宋体" w:cs="宋体"/>
                <w:b w:val="0"/>
                <w:i w:val="0"/>
                <w:color w:val="000000"/>
                <w:sz w:val="18"/>
              </w:rPr>
              <w:t xml:space="preserve">5.04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4.51</w:t>
            </w:r>
          </w:p>
        </w:tc>
        <w:tc>
          <w:tcPr>
            <w:tcW w:w="1420" w:type="dxa"/>
            <w:tcBorders/>
            <w:vAlign w:val="center"/>
          </w:tcPr>
          <w:p>
            <w:pPr>
              <w:jc w:val="right"/>
            </w:pPr>
            <w:r>
              <w:rPr>
                <w:rFonts w:ascii="宋体" w:eastAsia="宋体" w:hAnsi="宋体" w:cs="宋体"/>
                <w:b w:val="0"/>
                <w:i w:val="0"/>
                <w:color w:val="000000"/>
                <w:sz w:val="18"/>
              </w:rPr>
              <w:t xml:space="preserve">4.51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3.61</w:t>
            </w:r>
          </w:p>
        </w:tc>
        <w:tc>
          <w:tcPr>
            <w:tcW w:w="1420" w:type="dxa"/>
            <w:tcBorders/>
            <w:vAlign w:val="center"/>
          </w:tcPr>
          <w:p>
            <w:pPr>
              <w:jc w:val="right"/>
            </w:pPr>
            <w:r>
              <w:rPr>
                <w:rFonts w:ascii="宋体" w:eastAsia="宋体" w:hAnsi="宋体" w:cs="宋体"/>
                <w:b w:val="0"/>
                <w:i w:val="0"/>
                <w:color w:val="000000"/>
                <w:sz w:val="18"/>
              </w:rPr>
              <w:t xml:space="preserve">3.61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60.20</w:t>
            </w:r>
          </w:p>
        </w:tc>
        <w:tc>
          <w:tcPr>
            <w:tcW w:w="1420" w:type="dxa"/>
            <w:tcBorders/>
            <w:vAlign w:val="center"/>
          </w:tcPr>
          <w:p>
            <w:pPr>
              <w:jc w:val="right"/>
            </w:pPr>
            <w:r>
              <w:rPr>
                <w:rFonts w:ascii="宋体" w:eastAsia="宋体" w:hAnsi="宋体" w:cs="宋体"/>
                <w:b w:val="0"/>
                <w:i w:val="0"/>
                <w:color w:val="000000"/>
                <w:sz w:val="18"/>
              </w:rPr>
              <w:t xml:space="preserve">60.20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3.76</w:t>
            </w:r>
          </w:p>
        </w:tc>
        <w:tc>
          <w:tcPr>
            <w:tcW w:w="1420" w:type="dxa"/>
            <w:tcBorders/>
            <w:vAlign w:val="center"/>
          </w:tcPr>
          <w:p>
            <w:pPr>
              <w:jc w:val="right"/>
            </w:pPr>
            <w:r>
              <w:rPr>
                <w:rFonts w:ascii="宋体" w:eastAsia="宋体" w:hAnsi="宋体" w:cs="宋体"/>
                <w:b w:val="0"/>
                <w:i w:val="0"/>
                <w:color w:val="000000"/>
                <w:sz w:val="18"/>
              </w:rPr>
              <w:t xml:space="preserve">3.76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1420" w:type="dxa"/>
            <w:tcBorders/>
            <w:vAlign w:val="center"/>
          </w:tcPr>
          <w:p>
            <w:pPr>
              <w:jc w:val="right"/>
            </w:pPr>
            <w:r>
              <w:rPr>
                <w:rFonts w:ascii="宋体" w:eastAsia="宋体" w:hAnsi="宋体" w:cs="宋体"/>
                <w:b w:val="0"/>
                <w:i w:val="0"/>
                <w:color w:val="000000"/>
                <w:sz w:val="18"/>
              </w:rPr>
              <w:t xml:space="preserve">77.12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77.12</w:t>
            </w:r>
          </w:p>
        </w:tc>
        <w:tc>
          <w:tcPr>
            <w:tcW w:w="2700" w:type="dxa"/>
            <w:tcBorders/>
            <w:vAlign w:val="center"/>
          </w:tcPr>
          <w:p>
            <w:pPr>
              <w:jc w:val="right"/>
            </w:pPr>
            <w:r>
              <w:rPr>
                <w:rFonts w:ascii="宋体" w:eastAsia="宋体" w:hAnsi="宋体" w:cs="宋体"/>
                <w:b/>
                <w:i w:val="0"/>
                <w:color w:val="000000"/>
                <w:sz w:val="25"/>
              </w:rPr>
              <w:t xml:space="preserve">77.12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5.04</w:t>
            </w:r>
          </w:p>
        </w:tc>
        <w:tc>
          <w:tcPr>
            <w:tcW w:w="2700" w:type="dxa"/>
            <w:tcBorders/>
            <w:vAlign w:val="center"/>
          </w:tcPr>
          <w:p>
            <w:pPr>
              <w:jc w:val="right"/>
            </w:pPr>
            <w:r>
              <w:rPr>
                <w:rFonts w:ascii="宋体" w:eastAsia="宋体" w:hAnsi="宋体" w:cs="宋体"/>
                <w:b w:val="0"/>
                <w:i w:val="0"/>
                <w:color w:val="000000"/>
                <w:sz w:val="25"/>
              </w:rPr>
              <w:t xml:space="preserve">5.04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1.73</w:t>
            </w:r>
          </w:p>
        </w:tc>
        <w:tc>
          <w:tcPr>
            <w:tcW w:w="2700" w:type="dxa"/>
            <w:tcBorders/>
            <w:vAlign w:val="center"/>
          </w:tcPr>
          <w:p>
            <w:pPr>
              <w:jc w:val="right"/>
            </w:pPr>
            <w:r>
              <w:rPr>
                <w:rFonts w:ascii="宋体" w:eastAsia="宋体" w:hAnsi="宋体" w:cs="宋体"/>
                <w:b w:val="0"/>
                <w:i w:val="0"/>
                <w:color w:val="000000"/>
                <w:sz w:val="25"/>
              </w:rPr>
              <w:t xml:space="preserve">1.73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1.73</w:t>
            </w:r>
          </w:p>
        </w:tc>
        <w:tc>
          <w:tcPr>
            <w:tcW w:w="2700" w:type="dxa"/>
            <w:tcBorders/>
            <w:vAlign w:val="center"/>
          </w:tcPr>
          <w:p>
            <w:pPr>
              <w:jc w:val="right"/>
            </w:pPr>
            <w:r>
              <w:rPr>
                <w:rFonts w:ascii="宋体" w:eastAsia="宋体" w:hAnsi="宋体" w:cs="宋体"/>
                <w:b w:val="0"/>
                <w:i w:val="0"/>
                <w:color w:val="000000"/>
                <w:sz w:val="25"/>
              </w:rPr>
              <w:t xml:space="preserve">1.73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0.33</w:t>
            </w:r>
          </w:p>
        </w:tc>
        <w:tc>
          <w:tcPr>
            <w:tcW w:w="2700" w:type="dxa"/>
            <w:tcBorders/>
            <w:vAlign w:val="center"/>
          </w:tcPr>
          <w:p>
            <w:pPr>
              <w:jc w:val="right"/>
            </w:pPr>
            <w:r>
              <w:rPr>
                <w:rFonts w:ascii="宋体" w:eastAsia="宋体" w:hAnsi="宋体" w:cs="宋体"/>
                <w:b w:val="0"/>
                <w:i w:val="0"/>
                <w:color w:val="000000"/>
                <w:sz w:val="25"/>
              </w:rPr>
              <w:t xml:space="preserve">0.33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0.33</w:t>
            </w:r>
          </w:p>
        </w:tc>
        <w:tc>
          <w:tcPr>
            <w:tcW w:w="2700" w:type="dxa"/>
            <w:tcBorders/>
            <w:vAlign w:val="center"/>
          </w:tcPr>
          <w:p>
            <w:pPr>
              <w:jc w:val="right"/>
            </w:pPr>
            <w:r>
              <w:rPr>
                <w:rFonts w:ascii="宋体" w:eastAsia="宋体" w:hAnsi="宋体" w:cs="宋体"/>
                <w:b w:val="0"/>
                <w:i w:val="0"/>
                <w:color w:val="000000"/>
                <w:sz w:val="25"/>
              </w:rPr>
              <w:t xml:space="preserve">0.33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4.51</w:t>
            </w:r>
          </w:p>
        </w:tc>
        <w:tc>
          <w:tcPr>
            <w:tcW w:w="2700" w:type="dxa"/>
            <w:tcBorders/>
            <w:vAlign w:val="center"/>
          </w:tcPr>
          <w:p>
            <w:pPr>
              <w:jc w:val="right"/>
            </w:pPr>
            <w:r>
              <w:rPr>
                <w:rFonts w:ascii="宋体" w:eastAsia="宋体" w:hAnsi="宋体" w:cs="宋体"/>
                <w:b w:val="0"/>
                <w:i w:val="0"/>
                <w:color w:val="000000"/>
                <w:sz w:val="25"/>
              </w:rPr>
              <w:t xml:space="preserve">4.51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4.51</w:t>
            </w:r>
          </w:p>
        </w:tc>
        <w:tc>
          <w:tcPr>
            <w:tcW w:w="2700" w:type="dxa"/>
            <w:tcBorders/>
            <w:vAlign w:val="center"/>
          </w:tcPr>
          <w:p>
            <w:pPr>
              <w:jc w:val="right"/>
            </w:pPr>
            <w:r>
              <w:rPr>
                <w:rFonts w:ascii="宋体" w:eastAsia="宋体" w:hAnsi="宋体" w:cs="宋体"/>
                <w:b w:val="0"/>
                <w:i w:val="0"/>
                <w:color w:val="000000"/>
                <w:sz w:val="25"/>
              </w:rPr>
              <w:t xml:space="preserve">4.51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3.61</w:t>
            </w:r>
          </w:p>
        </w:tc>
        <w:tc>
          <w:tcPr>
            <w:tcW w:w="2700" w:type="dxa"/>
            <w:tcBorders/>
            <w:vAlign w:val="center"/>
          </w:tcPr>
          <w:p>
            <w:pPr>
              <w:jc w:val="right"/>
            </w:pPr>
            <w:r>
              <w:rPr>
                <w:rFonts w:ascii="宋体" w:eastAsia="宋体" w:hAnsi="宋体" w:cs="宋体"/>
                <w:b w:val="0"/>
                <w:i w:val="0"/>
                <w:color w:val="000000"/>
                <w:sz w:val="25"/>
              </w:rPr>
              <w:t xml:space="preserve">3.61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3.61</w:t>
            </w:r>
          </w:p>
        </w:tc>
        <w:tc>
          <w:tcPr>
            <w:tcW w:w="2700" w:type="dxa"/>
            <w:tcBorders/>
            <w:vAlign w:val="center"/>
          </w:tcPr>
          <w:p>
            <w:pPr>
              <w:jc w:val="right"/>
            </w:pPr>
            <w:r>
              <w:rPr>
                <w:rFonts w:ascii="宋体" w:eastAsia="宋体" w:hAnsi="宋体" w:cs="宋体"/>
                <w:b w:val="0"/>
                <w:i w:val="0"/>
                <w:color w:val="000000"/>
                <w:sz w:val="25"/>
              </w:rPr>
              <w:t xml:space="preserve">3.61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1.71</w:t>
            </w:r>
          </w:p>
        </w:tc>
        <w:tc>
          <w:tcPr>
            <w:tcW w:w="2700" w:type="dxa"/>
            <w:tcBorders/>
            <w:vAlign w:val="center"/>
          </w:tcPr>
          <w:p>
            <w:pPr>
              <w:jc w:val="right"/>
            </w:pPr>
            <w:r>
              <w:rPr>
                <w:rFonts w:ascii="宋体" w:eastAsia="宋体" w:hAnsi="宋体" w:cs="宋体"/>
                <w:b w:val="0"/>
                <w:i w:val="0"/>
                <w:color w:val="000000"/>
                <w:sz w:val="25"/>
              </w:rPr>
              <w:t xml:space="preserve">1.71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1.90</w:t>
            </w:r>
          </w:p>
        </w:tc>
        <w:tc>
          <w:tcPr>
            <w:tcW w:w="2700" w:type="dxa"/>
            <w:tcBorders/>
            <w:vAlign w:val="center"/>
          </w:tcPr>
          <w:p>
            <w:pPr>
              <w:jc w:val="right"/>
            </w:pPr>
            <w:r>
              <w:rPr>
                <w:rFonts w:ascii="宋体" w:eastAsia="宋体" w:hAnsi="宋体" w:cs="宋体"/>
                <w:b w:val="0"/>
                <w:i w:val="0"/>
                <w:color w:val="000000"/>
                <w:sz w:val="25"/>
              </w:rPr>
              <w:t xml:space="preserve">1.90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60.20</w:t>
            </w:r>
          </w:p>
        </w:tc>
        <w:tc>
          <w:tcPr>
            <w:tcW w:w="2700" w:type="dxa"/>
            <w:tcBorders/>
            <w:vAlign w:val="center"/>
          </w:tcPr>
          <w:p>
            <w:pPr>
              <w:jc w:val="right"/>
            </w:pPr>
            <w:r>
              <w:rPr>
                <w:rFonts w:ascii="宋体" w:eastAsia="宋体" w:hAnsi="宋体" w:cs="宋体"/>
                <w:b w:val="0"/>
                <w:i w:val="0"/>
                <w:color w:val="000000"/>
                <w:sz w:val="25"/>
              </w:rPr>
              <w:t xml:space="preserve">60.20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1.03</w:t>
            </w:r>
          </w:p>
        </w:tc>
        <w:tc>
          <w:tcPr>
            <w:tcW w:w="2700" w:type="dxa"/>
            <w:tcBorders/>
            <w:vAlign w:val="center"/>
          </w:tcPr>
          <w:p>
            <w:pPr>
              <w:jc w:val="right"/>
            </w:pPr>
            <w:r>
              <w:rPr>
                <w:rFonts w:ascii="宋体" w:eastAsia="宋体" w:hAnsi="宋体" w:cs="宋体"/>
                <w:b w:val="0"/>
                <w:i w:val="0"/>
                <w:color w:val="000000"/>
                <w:sz w:val="25"/>
              </w:rPr>
              <w:t xml:space="preserve">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1.03</w:t>
            </w:r>
          </w:p>
        </w:tc>
        <w:tc>
          <w:tcPr>
            <w:tcW w:w="2700" w:type="dxa"/>
            <w:tcBorders/>
            <w:vAlign w:val="center"/>
          </w:tcPr>
          <w:p>
            <w:pPr>
              <w:jc w:val="right"/>
            </w:pPr>
            <w:r>
              <w:rPr>
                <w:rFonts w:ascii="宋体" w:eastAsia="宋体" w:hAnsi="宋体" w:cs="宋体"/>
                <w:b w:val="0"/>
                <w:i w:val="0"/>
                <w:color w:val="000000"/>
                <w:sz w:val="25"/>
              </w:rPr>
              <w:t xml:space="preserve">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59.17</w:t>
            </w:r>
          </w:p>
        </w:tc>
        <w:tc>
          <w:tcPr>
            <w:tcW w:w="2700" w:type="dxa"/>
            <w:tcBorders/>
            <w:vAlign w:val="center"/>
          </w:tcPr>
          <w:p>
            <w:pPr>
              <w:jc w:val="right"/>
            </w:pPr>
            <w:r>
              <w:rPr>
                <w:rFonts w:ascii="宋体" w:eastAsia="宋体" w:hAnsi="宋体" w:cs="宋体"/>
                <w:b w:val="0"/>
                <w:i w:val="0"/>
                <w:color w:val="000000"/>
                <w:sz w:val="25"/>
              </w:rPr>
              <w:t xml:space="preserve">59.17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59.17</w:t>
            </w:r>
          </w:p>
        </w:tc>
        <w:tc>
          <w:tcPr>
            <w:tcW w:w="2700" w:type="dxa"/>
            <w:tcBorders/>
            <w:vAlign w:val="center"/>
          </w:tcPr>
          <w:p>
            <w:pPr>
              <w:jc w:val="right"/>
            </w:pPr>
            <w:r>
              <w:rPr>
                <w:rFonts w:ascii="宋体" w:eastAsia="宋体" w:hAnsi="宋体" w:cs="宋体"/>
                <w:b w:val="0"/>
                <w:i w:val="0"/>
                <w:color w:val="000000"/>
                <w:sz w:val="25"/>
              </w:rPr>
              <w:t xml:space="preserve">59.17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71.79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4.67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16.53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28.78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13.90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3.85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1.90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3.76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1.32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3.32</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72.45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4.67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单位：许昌市自然资源和规划局建安区服务中心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77.12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增加9.43万元，增长13.93%</w:t>
      </w:r>
      <w:r>
        <w:rPr>
          <w:rFonts w:ascii="仿宋" w:eastAsia="仿宋" w:hAnsi="仿宋" w:cs="仿宋" w:hint="eastAsia"/>
          <w:kern w:val="0"/>
          <w:sz w:val="32"/>
          <w:szCs w:val="32"/>
          <w:lang w:val="en-US" w:eastAsia="zh-CN"/>
        </w:rPr>
        <w:t xml:space="preserve">。主要原因是较上年度相比，中心共计晋升四级调研员1名、晋升正科级领导1名、晋升三级主任科员1名，增长部分为相应的人员经费。。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77.12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财政拨款收入77.12万元，占100.00%；上级补助收入0.00万元，占0.00%；事业收入0.00万元，占0.00%；经营收入0.00万元，占0.00%；附属单位上缴收入0.00万元，占0.00%；其他收入0.00万元，占0.00%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77.12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基本支出77.12万元，占100.00%；项目支出0.00万元，占0.00%；上缴上级支出0.00万元，占0.00%；经营支出0.00万元，占0.00%；对附属单位补助支出0.00万元，占0.00%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77.12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增加9.43万元，增长13.93%</w:t>
      </w:r>
      <w:r>
        <w:rPr>
          <w:rFonts w:ascii="仿宋" w:eastAsia="仿宋" w:hAnsi="仿宋" w:cs="仿宋" w:hint="eastAsia"/>
          <w:kern w:val="0"/>
          <w:sz w:val="32"/>
          <w:szCs w:val="32"/>
          <w:lang w:val="en-US" w:eastAsia="zh-CN"/>
        </w:rPr>
        <w:t xml:space="preserve">。主要原因是较上年度相比，中心共计晋升四级调研员1名、晋升正科级领导1名、晋升三级主任科员1名，增长部分为相应的人员经费。。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77.12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增加9.43万元，增长13.93%</w:t>
      </w:r>
      <w:r>
        <w:rPr>
          <w:rFonts w:ascii="仿宋" w:eastAsia="仿宋" w:hAnsi="仿宋" w:cs="仿宋" w:hint="eastAsia"/>
          <w:kern w:val="0"/>
          <w:sz w:val="32"/>
          <w:szCs w:val="32"/>
          <w:lang w:val="en-US" w:eastAsia="zh-CN"/>
        </w:rPr>
        <w:t xml:space="preserve">。主要原因是较上年度相比，中心共计晋升四级调研员1名、晋升正科级领导1名、晋升三级主任科员1名，增长部分为相应的人员经费。。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77.12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一般公共服务支出（类）5.04万元，占6.54%；社会保障和就业支出（类）4.51万元，占5.85%；卫生健康支出（类）3.61万元，占4.68%；城乡社区支出（类）60.20万元，占78.06%；住房保障支出（类）3.76万元，占4.88%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75.97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77.12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101.51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年初预算数为0.00万元，决算数1.73万元,决算数与年初预算数存在差异的主要原因是晋升1名正科级领导，从2022年5月开始执行，补发了2022年度工资增长部分的经费，追加了2023年度工资增长部分的经费。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年初预算数为0.33万元，决算数0.33万元,完成年初预算的100.00%，决算数与年初预算数不存在差异。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年初预算数为0.00万元，决算数2.98万元,决算数与年初预算数存在差异的主要原因是晋升1名正科级领导，从2022年5月开始执行，补发了2022年度工资增长部分的经费，追加了2023年度工资增长部分的经费。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年初预算数为0.00万元，决算数0.66万元,决算数与年初预算数存在差异的主要原因是退休1名四级调研员，从2023年11月开始执行，追加了2023年度工资增长部分的经费。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年初预算数为3.95万元，决算数3.85万元,完成年初预算的97.47%，决算数与年初预算数存在差异的主要原因是退休1名四级调研员，从2023年11月开始执行，后续在职人员减少1名，故相应经费支出减少。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6.卫生健康支出（类）行政事业单位医疗（款）行政单位医疗（项）</w:t>
      </w:r>
      <w:r>
        <w:rPr>
          <w:rFonts w:ascii="仿宋" w:eastAsia="仿宋" w:hAnsi="仿宋" w:cs="仿宋" w:hint="default"/>
          <w:kern w:val="2"/>
          <w:sz w:val="32"/>
          <w:szCs w:val="32"/>
          <w:lang w:val="en-US" w:eastAsia="zh-CN"/>
        </w:rPr>
        <w:t xml:space="preserve">年初预算数为2.09万元，决算数1.71万元,完成年初预算的81.82%，决算数与年初预算数存在差异的主要原因是退休1名四级调研员，从2023年11月开始执行，后续在职人员减少1名，故相应经费支出减少。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年初预算数为1.99万元，决算数1.90万元,完成年初预算的95.48%，决算数与年初预算数存在差异的主要原因是退休1名四级调研员，从2023年11月开始执行，后续在职人员减少1名，故相应经费支出减少。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8.城乡社区支出（类）城乡社区管理事务（款）行政运行（项）</w:t>
      </w:r>
      <w:r>
        <w:rPr>
          <w:rFonts w:ascii="仿宋" w:eastAsia="仿宋" w:hAnsi="仿宋" w:cs="仿宋" w:hint="default"/>
          <w:kern w:val="2"/>
          <w:sz w:val="32"/>
          <w:szCs w:val="32"/>
          <w:lang w:val="en-US" w:eastAsia="zh-CN"/>
        </w:rPr>
        <w:t xml:space="preserve">年初预算数为0.00万元，决算数1.03万元,决算数与年初预算数存在差异的主要原因是退休1名四级调研员，从2023年11月开始执行，追加了2023年度工资增长部分的经费。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9.城乡社区支出（类）城乡社区规划与管理（款）城乡社区规划与管理（项）</w:t>
      </w:r>
      <w:r>
        <w:rPr>
          <w:rFonts w:ascii="仿宋" w:eastAsia="仿宋" w:hAnsi="仿宋" w:cs="仿宋" w:hint="default"/>
          <w:kern w:val="2"/>
          <w:sz w:val="32"/>
          <w:szCs w:val="32"/>
          <w:lang w:val="en-US" w:eastAsia="zh-CN"/>
        </w:rPr>
        <w:t xml:space="preserve">年初预算数为63.63万元，决算数59.17万元,完成年初预算的92.99%，决算数与年初预算数存在差异的主要原因是响应政府过紧日子思想，压缩节约了办公经费。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年初预算数为3.98万元，决算数3.76万元,完成年初预算的94.47%，决算数与年初预算数存在差异的主要原因是退休1名四级调研员，从2023年11月开始执行，后续在职人员减少1名，故相应经费支出减少。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77.12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其中：人员经费72.45万元，主要包括：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公用经费4.67万元，主要包括：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2023年度机关运行经费支出4.67万元，</w:t>
      </w:r>
      <w:r>
        <w:rPr>
          <w:rFonts w:ascii="仿宋" w:eastAsia="仿宋" w:hAnsi="仿宋" w:cs="仿宋" w:hint="eastAsia"/>
          <w:kern w:val="0"/>
          <w:sz w:val="32"/>
          <w:szCs w:val="32"/>
          <w:lang w:val="en-US" w:eastAsia="zh-CN"/>
        </w:rPr>
        <w:t xml:space="preserve">较2022年度增长0.24万元，</w:t>
      </w:r>
      <w:r>
        <w:rPr>
          <w:rFonts w:ascii="仿宋" w:eastAsia="仿宋" w:hAnsi="仿宋" w:cs="仿宋" w:hint="eastAsia"/>
          <w:kern w:val="0"/>
          <w:sz w:val="32"/>
          <w:szCs w:val="32"/>
          <w:lang w:val="en-US" w:eastAsia="zh-CN"/>
        </w:rPr>
        <w:t xml:space="preserve">增长5.42%，</w:t>
      </w:r>
      <w:r>
        <w:rPr>
          <w:rFonts w:ascii="仿宋" w:eastAsia="仿宋" w:hAnsi="仿宋" w:cs="仿宋" w:hint="eastAsia"/>
          <w:kern w:val="0"/>
          <w:sz w:val="32"/>
          <w:szCs w:val="32"/>
          <w:lang w:val="en-US" w:eastAsia="zh-CN"/>
        </w:rPr>
        <w:t xml:space="preserve">主要原因是较上年度相比，中心共计晋升四级调研员1名、晋升正科级领导1名、晋升三级主任科员1名，其职工福利费、职工教育费、工会经费标准均有所提升，故导致机关运行经费增加。。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75.96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有效使用了财政资金，保障人员经费等支出。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15645" w:type="dxa"/>
        <w:tblInd w:w="93" w:type="dxa"/>
        <w:tblCellMar>
          <w:top w:w="0" w:type="dxa"/>
          <w:left w:w="108" w:type="dxa"/>
          <w:bottom w:w="0" w:type="dxa"/>
          <w:right w:w="108" w:type="dxa"/>
        </w:tblCellMar>
        <w:tblLook w:val="0000" w:firstRow="0" w:lastRow="0" w:firstColumn="0" w:lastColumn="0" w:noHBand="0" w:noVBand="0"/>
      </w:tblPr>
      <w:tblGrid>
        <w:gridCol w:w="1171"/>
        <w:gridCol w:w="1428"/>
        <w:gridCol w:w="1042"/>
        <w:gridCol w:w="868"/>
        <w:gridCol w:w="2344"/>
        <w:gridCol w:w="1497"/>
        <w:gridCol w:w="1905"/>
        <w:gridCol w:w="863"/>
        <w:gridCol w:w="798"/>
        <w:gridCol w:w="1026"/>
        <w:gridCol w:w="1042"/>
        <w:gridCol w:w="1661"/>
      </w:tblGrid>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5647" w:type="dxa"/>
            <w:gridSpan w:val="12"/>
            <w:tcBorders>
              <w:top w:val="nil"/>
              <w:left w:val="nil"/>
              <w:bottom w:val="nil"/>
              <w:right w:val="nil"/>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部门整体自评表</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511"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w="11136"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许昌市自然资源和规划局建安区服务中心</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w="33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6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20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w="1661"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75.97</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75.97</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77.12</w:t>
            </w:r>
          </w:p>
        </w:tc>
        <w:tc>
          <w:tcPr>
            <w:tcW w:w="16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0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101.51</w:t>
            </w:r>
            <w:r>
              <w:rPr>
                <w:rFonts w:ascii="宋体" w:eastAsia="宋体" w:hAnsi="宋体" w:cs="宋体"/>
                <w:i w:val="0"/>
                <w:iCs w:val="0"/>
                <w:color w:val="000000"/>
                <w:kern w:val="0"/>
                <w:sz w:val="18"/>
                <w:szCs w:val="18"/>
                <w:u w:val="none"/>
                <w:lang w:val="en-US" w:eastAsia="zh-CN" w:bidi="en-AU"/>
              </w:rPr>
              <w:t xml:space="preserve">%</w:t>
            </w:r>
          </w:p>
        </w:tc>
        <w:tc>
          <w:tcPr>
            <w:tcW w:w="1661"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75.97</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75.97</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77.12</w:t>
            </w:r>
          </w:p>
        </w:tc>
        <w:tc>
          <w:tcPr>
            <w:tcW w:w="16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101.51</w:t>
            </w:r>
            <w:r>
              <w:rPr>
                <w:rFonts w:ascii="宋体" w:eastAsia="宋体" w:hAnsi="宋体" w:cs="宋体"/>
                <w:i w:val="0"/>
                <w:iCs w:val="0"/>
                <w:color w:val="000000"/>
                <w:kern w:val="0"/>
                <w:sz w:val="18"/>
                <w:szCs w:val="18"/>
                <w:u w:val="none"/>
                <w:lang w:val="en-US" w:eastAsia="zh-CN" w:bidi="en-AU"/>
              </w:rPr>
              <w:t xml:space="preserve">%</w:t>
            </w:r>
          </w:p>
        </w:tc>
        <w:tc>
          <w:tcPr>
            <w:tcW w:w="1661"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661"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20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661"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w="718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729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718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为城乡建设提供规划管理服务</w:t>
            </w:r>
          </w:p>
        </w:tc>
        <w:tc>
          <w:tcPr>
            <w:tcW w:w="729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w="24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w="470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w="729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24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w="470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完成局党组交办的一切事物</w:t>
            </w:r>
          </w:p>
        </w:tc>
        <w:tc>
          <w:tcPr>
            <w:tcW w:w="729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142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完成局党组交办的一切事物</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正常</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为城乡建设提供规划管理服务</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正常</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w="2344"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w:t>
            </w:r>
          </w:p>
        </w:tc>
        <w:tc>
          <w:tcPr>
            <w:tcW w:w="1497"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w:t>
            </w:r>
          </w:p>
        </w:tc>
        <w:tc>
          <w:tcPr>
            <w:tcW w:w="1905"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w:t>
            </w: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r>
      <w:tr>
        <w:tblPrEx>
          <w:tblW w:w="1564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jc w:val="center"/>
              <w:rPr>
                <w:rFonts w:ascii="宋体" w:eastAsia="宋体" w:hAnsi="宋体" w:cs="宋体" w:hint="eastAsia"/>
                <w:i w:val="0"/>
                <w:iCs w:val="0"/>
                <w:color w:val="000000"/>
                <w:sz w:val="18"/>
                <w:szCs w:val="18"/>
                <w:u w:val="none"/>
              </w:rPr>
            </w:pPr>
          </w:p>
        </w:tc>
        <w:tc>
          <w:tcPr>
            <w:tcW w:w="908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863"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110</w:t>
            </w:r>
          </w:p>
        </w:tc>
        <w:tc>
          <w:tcPr>
            <w:tcW w:w="798"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109.5</w:t>
            </w:r>
          </w:p>
        </w:tc>
        <w:tc>
          <w:tcPr>
            <w:tcW w:w="1026" w:type="dxa"/>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rPr>
                <w:rFonts w:ascii="宋体" w:eastAsia="宋体" w:hAnsi="宋体" w:cs="宋体" w:hint="eastAsia"/>
                <w:i w:val="0"/>
                <w:iCs w:val="0"/>
                <w:color w:val="000000"/>
                <w:sz w:val="18"/>
                <w:szCs w:val="18"/>
                <w:u w:val="none"/>
              </w:rPr>
            </w:pPr>
          </w:p>
        </w:tc>
        <w:tc>
          <w:tcPr>
            <w:tcW w:w="270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f998ba-ab79-46d9-a2e6-c5c660576452"/>
              <w:rPr>
                <w:rFonts w:ascii="宋体" w:eastAsia="宋体" w:hAnsi="宋体" w:cs="宋体" w:hint="eastAsia"/>
                <w:i w:val="0"/>
                <w:iCs w:val="0"/>
                <w:color w:val="000000"/>
                <w:sz w:val="18"/>
                <w:szCs w:val="18"/>
                <w:u w:val="none"/>
              </w:rPr>
            </w:pPr>
          </w:p>
        </w:tc>
      </w:tr>
    </w:tbl>
    <w:p>
      <w:pPr>
        <w:pStyle w:val="Normal_a8f998ba-ab79-46d9-a2e6-c5c660576452"/>
        <w:sectPr>
          <w:type w:val="nextPage"/>
          <w:pgSz w:w="16838" w:h="11906" w:orient="landscape"/>
          <w:pgMar w:top="567" w:right="567" w:bottom="567" w:left="567" w:header="851" w:footer="992" w:gutter="0"/>
          <w:paperSrc w:first="0" w:other="0"/>
          <w:titlePg w:val="0"/>
          <w:rtlGutter w:val="0"/>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2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8f998ba-ab79-46d9-a2e6-c5c660576452">
    <w:name w:val="Normal_a8f998ba-ab79-46d9-a2e6-c5c660576452"/>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