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许昌市老干部活动中心单位决算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许昌市老干部活动中心概况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许昌市老干部活动中心概况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许昌市老干部活动中心主要职能是承担离退休老干部活动的组织、服务与管理工作。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许昌市老干部活动中心内设机构2个,包括：办公室、活动科。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从决算单位构成看，许昌市老干部活动中心单位决算包括：本级决算（1个）。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1.许昌市老干部活动中心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单位：许昌市老干部活动中心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191.10</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138.57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33.78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8.69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7.81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191.10</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191.36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0.26</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191.36</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191.36</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单位：许昌市老干部活动中心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191.10</w:t>
            </w:r>
          </w:p>
        </w:tc>
        <w:tc>
          <w:tcPr>
            <w:tcW w:w="1440" w:type="dxa"/>
            <w:vAlign w:val="center"/>
          </w:tcPr>
          <w:p>
            <w:pPr>
              <w:jc w:val="right"/>
            </w:pPr>
            <w:r>
              <w:rPr>
                <w:rFonts w:ascii="宋体" w:hAnsi="宋体" w:eastAsia="宋体" w:cs="宋体"/>
                <w:b/>
                <w:i w:val="0"/>
                <w:color w:val="000000"/>
                <w:sz w:val="17"/>
              </w:rPr>
              <w:t>191.10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138.32</w:t>
            </w:r>
          </w:p>
        </w:tc>
        <w:tc>
          <w:tcPr>
            <w:tcW w:w="1440" w:type="dxa"/>
            <w:vAlign w:val="center"/>
          </w:tcPr>
          <w:p>
            <w:pPr>
              <w:jc w:val="right"/>
            </w:pPr>
            <w:r>
              <w:rPr>
                <w:rFonts w:ascii="宋体" w:hAnsi="宋体" w:eastAsia="宋体" w:cs="宋体"/>
                <w:b w:val="0"/>
                <w:i w:val="0"/>
                <w:color w:val="000000"/>
                <w:sz w:val="17"/>
              </w:rPr>
              <w:t>138.32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0.65</w:t>
            </w:r>
          </w:p>
        </w:tc>
        <w:tc>
          <w:tcPr>
            <w:tcW w:w="1440" w:type="dxa"/>
            <w:vAlign w:val="center"/>
          </w:tcPr>
          <w:p>
            <w:pPr>
              <w:jc w:val="right"/>
            </w:pPr>
            <w:r>
              <w:rPr>
                <w:rFonts w:ascii="宋体" w:hAnsi="宋体" w:eastAsia="宋体" w:cs="宋体"/>
                <w:b w:val="0"/>
                <w:i w:val="0"/>
                <w:color w:val="000000"/>
                <w:sz w:val="17"/>
              </w:rPr>
              <w:t>0.65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0.65</w:t>
            </w:r>
          </w:p>
        </w:tc>
        <w:tc>
          <w:tcPr>
            <w:tcW w:w="1440" w:type="dxa"/>
            <w:vAlign w:val="center"/>
          </w:tcPr>
          <w:p>
            <w:pPr>
              <w:jc w:val="right"/>
            </w:pPr>
            <w:r>
              <w:rPr>
                <w:rFonts w:ascii="宋体" w:hAnsi="宋体" w:eastAsia="宋体" w:cs="宋体"/>
                <w:b w:val="0"/>
                <w:i w:val="0"/>
                <w:color w:val="000000"/>
                <w:sz w:val="17"/>
              </w:rPr>
              <w:t>0.65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w:t>
            </w:r>
          </w:p>
        </w:tc>
        <w:tc>
          <w:tcPr>
            <w:tcW w:w="3140" w:type="dxa"/>
            <w:vAlign w:val="center"/>
          </w:tcPr>
          <w:p>
            <w:pPr>
              <w:jc w:val="left"/>
            </w:pPr>
            <w:r>
              <w:rPr>
                <w:rFonts w:ascii="宋体" w:hAnsi="宋体" w:eastAsia="宋体" w:cs="宋体"/>
                <w:b w:val="0"/>
                <w:i w:val="0"/>
                <w:color w:val="000000"/>
                <w:sz w:val="17"/>
              </w:rPr>
              <w:t>组织事务</w:t>
            </w:r>
          </w:p>
        </w:tc>
        <w:tc>
          <w:tcPr>
            <w:tcW w:w="1440" w:type="dxa"/>
            <w:vAlign w:val="center"/>
          </w:tcPr>
          <w:p>
            <w:pPr>
              <w:jc w:val="right"/>
            </w:pPr>
            <w:r>
              <w:rPr>
                <w:rFonts w:ascii="宋体" w:hAnsi="宋体" w:eastAsia="宋体" w:cs="宋体"/>
                <w:b w:val="0"/>
                <w:i w:val="0"/>
                <w:color w:val="000000"/>
                <w:sz w:val="17"/>
              </w:rPr>
              <w:t>132.10</w:t>
            </w:r>
          </w:p>
        </w:tc>
        <w:tc>
          <w:tcPr>
            <w:tcW w:w="1440" w:type="dxa"/>
            <w:vAlign w:val="center"/>
          </w:tcPr>
          <w:p>
            <w:pPr>
              <w:jc w:val="right"/>
            </w:pPr>
            <w:r>
              <w:rPr>
                <w:rFonts w:ascii="宋体" w:hAnsi="宋体" w:eastAsia="宋体" w:cs="宋体"/>
                <w:b w:val="0"/>
                <w:i w:val="0"/>
                <w:color w:val="000000"/>
                <w:sz w:val="17"/>
              </w:rPr>
              <w:t>132.10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132.10</w:t>
            </w:r>
          </w:p>
        </w:tc>
        <w:tc>
          <w:tcPr>
            <w:tcW w:w="1440" w:type="dxa"/>
            <w:vAlign w:val="center"/>
          </w:tcPr>
          <w:p>
            <w:pPr>
              <w:jc w:val="right"/>
            </w:pPr>
            <w:r>
              <w:rPr>
                <w:rFonts w:ascii="宋体" w:hAnsi="宋体" w:eastAsia="宋体" w:cs="宋体"/>
                <w:b w:val="0"/>
                <w:i w:val="0"/>
                <w:color w:val="000000"/>
                <w:sz w:val="17"/>
              </w:rPr>
              <w:t>132.10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5.57</w:t>
            </w:r>
          </w:p>
        </w:tc>
        <w:tc>
          <w:tcPr>
            <w:tcW w:w="1440" w:type="dxa"/>
            <w:vAlign w:val="center"/>
          </w:tcPr>
          <w:p>
            <w:pPr>
              <w:jc w:val="right"/>
            </w:pPr>
            <w:r>
              <w:rPr>
                <w:rFonts w:ascii="宋体" w:hAnsi="宋体" w:eastAsia="宋体" w:cs="宋体"/>
                <w:b w:val="0"/>
                <w:i w:val="0"/>
                <w:color w:val="000000"/>
                <w:sz w:val="17"/>
              </w:rPr>
              <w:t>5.57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5.57</w:t>
            </w:r>
          </w:p>
        </w:tc>
        <w:tc>
          <w:tcPr>
            <w:tcW w:w="1440" w:type="dxa"/>
            <w:vAlign w:val="center"/>
          </w:tcPr>
          <w:p>
            <w:pPr>
              <w:jc w:val="right"/>
            </w:pPr>
            <w:r>
              <w:rPr>
                <w:rFonts w:ascii="宋体" w:hAnsi="宋体" w:eastAsia="宋体" w:cs="宋体"/>
                <w:b w:val="0"/>
                <w:i w:val="0"/>
                <w:color w:val="000000"/>
                <w:sz w:val="17"/>
              </w:rPr>
              <w:t>5.57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33.77</w:t>
            </w:r>
          </w:p>
        </w:tc>
        <w:tc>
          <w:tcPr>
            <w:tcW w:w="1440" w:type="dxa"/>
            <w:vAlign w:val="center"/>
          </w:tcPr>
          <w:p>
            <w:pPr>
              <w:jc w:val="right"/>
            </w:pPr>
            <w:r>
              <w:rPr>
                <w:rFonts w:ascii="宋体" w:hAnsi="宋体" w:eastAsia="宋体" w:cs="宋体"/>
                <w:b w:val="0"/>
                <w:i w:val="0"/>
                <w:color w:val="000000"/>
                <w:sz w:val="17"/>
              </w:rPr>
              <w:t>33.77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33.77</w:t>
            </w:r>
          </w:p>
        </w:tc>
        <w:tc>
          <w:tcPr>
            <w:tcW w:w="1440" w:type="dxa"/>
            <w:vAlign w:val="center"/>
          </w:tcPr>
          <w:p>
            <w:pPr>
              <w:jc w:val="right"/>
            </w:pPr>
            <w:r>
              <w:rPr>
                <w:rFonts w:ascii="宋体" w:hAnsi="宋体" w:eastAsia="宋体" w:cs="宋体"/>
                <w:b w:val="0"/>
                <w:i w:val="0"/>
                <w:color w:val="000000"/>
                <w:sz w:val="17"/>
              </w:rPr>
              <w:t>33.77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26.13</w:t>
            </w:r>
          </w:p>
        </w:tc>
        <w:tc>
          <w:tcPr>
            <w:tcW w:w="1440" w:type="dxa"/>
            <w:vAlign w:val="center"/>
          </w:tcPr>
          <w:p>
            <w:pPr>
              <w:jc w:val="right"/>
            </w:pPr>
            <w:r>
              <w:rPr>
                <w:rFonts w:ascii="宋体" w:hAnsi="宋体" w:eastAsia="宋体" w:cs="宋体"/>
                <w:b w:val="0"/>
                <w:i w:val="0"/>
                <w:color w:val="000000"/>
                <w:sz w:val="17"/>
              </w:rPr>
              <w:t>26.13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7.64</w:t>
            </w:r>
          </w:p>
        </w:tc>
        <w:tc>
          <w:tcPr>
            <w:tcW w:w="1440" w:type="dxa"/>
            <w:vAlign w:val="center"/>
          </w:tcPr>
          <w:p>
            <w:pPr>
              <w:jc w:val="right"/>
            </w:pPr>
            <w:r>
              <w:rPr>
                <w:rFonts w:ascii="宋体" w:hAnsi="宋体" w:eastAsia="宋体" w:cs="宋体"/>
                <w:b w:val="0"/>
                <w:i w:val="0"/>
                <w:color w:val="000000"/>
                <w:sz w:val="17"/>
              </w:rPr>
              <w:t>7.64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8.69</w:t>
            </w:r>
          </w:p>
        </w:tc>
        <w:tc>
          <w:tcPr>
            <w:tcW w:w="1440" w:type="dxa"/>
            <w:vAlign w:val="center"/>
          </w:tcPr>
          <w:p>
            <w:pPr>
              <w:jc w:val="right"/>
            </w:pPr>
            <w:r>
              <w:rPr>
                <w:rFonts w:ascii="宋体" w:hAnsi="宋体" w:eastAsia="宋体" w:cs="宋体"/>
                <w:b w:val="0"/>
                <w:i w:val="0"/>
                <w:color w:val="000000"/>
                <w:sz w:val="17"/>
              </w:rPr>
              <w:t>8.69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8.69</w:t>
            </w:r>
          </w:p>
        </w:tc>
        <w:tc>
          <w:tcPr>
            <w:tcW w:w="1440" w:type="dxa"/>
            <w:vAlign w:val="center"/>
          </w:tcPr>
          <w:p>
            <w:pPr>
              <w:jc w:val="right"/>
            </w:pPr>
            <w:r>
              <w:rPr>
                <w:rFonts w:ascii="宋体" w:hAnsi="宋体" w:eastAsia="宋体" w:cs="宋体"/>
                <w:b w:val="0"/>
                <w:i w:val="0"/>
                <w:color w:val="000000"/>
                <w:sz w:val="17"/>
              </w:rPr>
              <w:t>8.69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4.10</w:t>
            </w:r>
          </w:p>
        </w:tc>
        <w:tc>
          <w:tcPr>
            <w:tcW w:w="1440" w:type="dxa"/>
            <w:vAlign w:val="center"/>
          </w:tcPr>
          <w:p>
            <w:pPr>
              <w:jc w:val="right"/>
            </w:pPr>
            <w:r>
              <w:rPr>
                <w:rFonts w:ascii="宋体" w:hAnsi="宋体" w:eastAsia="宋体" w:cs="宋体"/>
                <w:b w:val="0"/>
                <w:i w:val="0"/>
                <w:color w:val="000000"/>
                <w:sz w:val="17"/>
              </w:rPr>
              <w:t>4.10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4.59</w:t>
            </w:r>
          </w:p>
        </w:tc>
        <w:tc>
          <w:tcPr>
            <w:tcW w:w="1440" w:type="dxa"/>
            <w:vAlign w:val="center"/>
          </w:tcPr>
          <w:p>
            <w:pPr>
              <w:jc w:val="right"/>
            </w:pPr>
            <w:r>
              <w:rPr>
                <w:rFonts w:ascii="宋体" w:hAnsi="宋体" w:eastAsia="宋体" w:cs="宋体"/>
                <w:b w:val="0"/>
                <w:i w:val="0"/>
                <w:color w:val="000000"/>
                <w:sz w:val="17"/>
              </w:rPr>
              <w:t>4.59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7.81</w:t>
            </w:r>
          </w:p>
        </w:tc>
        <w:tc>
          <w:tcPr>
            <w:tcW w:w="1440" w:type="dxa"/>
            <w:vAlign w:val="center"/>
          </w:tcPr>
          <w:p>
            <w:pPr>
              <w:jc w:val="right"/>
            </w:pPr>
            <w:r>
              <w:rPr>
                <w:rFonts w:ascii="宋体" w:hAnsi="宋体" w:eastAsia="宋体" w:cs="宋体"/>
                <w:b w:val="0"/>
                <w:i w:val="0"/>
                <w:color w:val="000000"/>
                <w:sz w:val="17"/>
              </w:rPr>
              <w:t>7.81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7.81</w:t>
            </w:r>
          </w:p>
        </w:tc>
        <w:tc>
          <w:tcPr>
            <w:tcW w:w="1440" w:type="dxa"/>
            <w:vAlign w:val="center"/>
          </w:tcPr>
          <w:p>
            <w:pPr>
              <w:jc w:val="right"/>
            </w:pPr>
            <w:r>
              <w:rPr>
                <w:rFonts w:ascii="宋体" w:hAnsi="宋体" w:eastAsia="宋体" w:cs="宋体"/>
                <w:b w:val="0"/>
                <w:i w:val="0"/>
                <w:color w:val="000000"/>
                <w:sz w:val="17"/>
              </w:rPr>
              <w:t>7.81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7.81</w:t>
            </w:r>
          </w:p>
        </w:tc>
        <w:tc>
          <w:tcPr>
            <w:tcW w:w="1440" w:type="dxa"/>
            <w:vAlign w:val="center"/>
          </w:tcPr>
          <w:p>
            <w:pPr>
              <w:jc w:val="right"/>
            </w:pPr>
            <w:r>
              <w:rPr>
                <w:rFonts w:ascii="宋体" w:hAnsi="宋体" w:eastAsia="宋体" w:cs="宋体"/>
                <w:b w:val="0"/>
                <w:i w:val="0"/>
                <w:color w:val="000000"/>
                <w:sz w:val="17"/>
              </w:rPr>
              <w:t>7.81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单位：许昌市老干部活动中心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191.36</w:t>
            </w:r>
          </w:p>
        </w:tc>
        <w:tc>
          <w:tcPr>
            <w:tcW w:w="1600" w:type="dxa"/>
            <w:vAlign w:val="center"/>
          </w:tcPr>
          <w:p>
            <w:pPr>
              <w:jc w:val="right"/>
            </w:pPr>
            <w:r>
              <w:rPr>
                <w:rFonts w:ascii="宋体" w:hAnsi="宋体" w:eastAsia="宋体" w:cs="宋体"/>
                <w:b/>
                <w:i w:val="0"/>
                <w:color w:val="000000"/>
                <w:sz w:val="19"/>
              </w:rPr>
              <w:t>188.86</w:t>
            </w:r>
          </w:p>
        </w:tc>
        <w:tc>
          <w:tcPr>
            <w:tcW w:w="1600" w:type="dxa"/>
            <w:vAlign w:val="center"/>
          </w:tcPr>
          <w:p>
            <w:pPr>
              <w:jc w:val="right"/>
            </w:pPr>
            <w:r>
              <w:rPr>
                <w:rFonts w:ascii="宋体" w:hAnsi="宋体" w:eastAsia="宋体" w:cs="宋体"/>
                <w:b/>
                <w:i w:val="0"/>
                <w:color w:val="000000"/>
                <w:sz w:val="19"/>
              </w:rPr>
              <w:t>2.50</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138.58</w:t>
            </w:r>
          </w:p>
        </w:tc>
        <w:tc>
          <w:tcPr>
            <w:tcW w:w="1600" w:type="dxa"/>
            <w:vAlign w:val="center"/>
          </w:tcPr>
          <w:p>
            <w:pPr>
              <w:jc w:val="right"/>
            </w:pPr>
            <w:r>
              <w:rPr>
                <w:rFonts w:ascii="宋体" w:hAnsi="宋体" w:eastAsia="宋体" w:cs="宋体"/>
                <w:b w:val="0"/>
                <w:i w:val="0"/>
                <w:color w:val="000000"/>
                <w:sz w:val="19"/>
              </w:rPr>
              <w:t>138.58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0.65</w:t>
            </w:r>
          </w:p>
        </w:tc>
        <w:tc>
          <w:tcPr>
            <w:tcW w:w="1600" w:type="dxa"/>
            <w:vAlign w:val="center"/>
          </w:tcPr>
          <w:p>
            <w:pPr>
              <w:jc w:val="right"/>
            </w:pPr>
            <w:r>
              <w:rPr>
                <w:rFonts w:ascii="宋体" w:hAnsi="宋体" w:eastAsia="宋体" w:cs="宋体"/>
                <w:b w:val="0"/>
                <w:i w:val="0"/>
                <w:color w:val="000000"/>
                <w:sz w:val="19"/>
              </w:rPr>
              <w:t>0.65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0.65</w:t>
            </w:r>
          </w:p>
        </w:tc>
        <w:tc>
          <w:tcPr>
            <w:tcW w:w="1600" w:type="dxa"/>
            <w:vAlign w:val="center"/>
          </w:tcPr>
          <w:p>
            <w:pPr>
              <w:jc w:val="right"/>
            </w:pPr>
            <w:r>
              <w:rPr>
                <w:rFonts w:ascii="宋体" w:hAnsi="宋体" w:eastAsia="宋体" w:cs="宋体"/>
                <w:b w:val="0"/>
                <w:i w:val="0"/>
                <w:color w:val="000000"/>
                <w:sz w:val="19"/>
              </w:rPr>
              <w:t>0.65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w:t>
            </w:r>
          </w:p>
        </w:tc>
        <w:tc>
          <w:tcPr>
            <w:tcW w:w="3480" w:type="dxa"/>
            <w:vAlign w:val="center"/>
          </w:tcPr>
          <w:p>
            <w:pPr>
              <w:jc w:val="left"/>
            </w:pPr>
            <w:r>
              <w:rPr>
                <w:rFonts w:ascii="宋体" w:hAnsi="宋体" w:eastAsia="宋体" w:cs="宋体"/>
                <w:b w:val="0"/>
                <w:i w:val="0"/>
                <w:color w:val="000000"/>
                <w:sz w:val="19"/>
              </w:rPr>
              <w:t>组织事务</w:t>
            </w:r>
          </w:p>
        </w:tc>
        <w:tc>
          <w:tcPr>
            <w:tcW w:w="1600" w:type="dxa"/>
            <w:vAlign w:val="center"/>
          </w:tcPr>
          <w:p>
            <w:pPr>
              <w:jc w:val="right"/>
            </w:pPr>
            <w:r>
              <w:rPr>
                <w:rFonts w:ascii="宋体" w:hAnsi="宋体" w:eastAsia="宋体" w:cs="宋体"/>
                <w:b w:val="0"/>
                <w:i w:val="0"/>
                <w:color w:val="000000"/>
                <w:sz w:val="19"/>
              </w:rPr>
              <w:t>132.36</w:t>
            </w:r>
          </w:p>
        </w:tc>
        <w:tc>
          <w:tcPr>
            <w:tcW w:w="1600" w:type="dxa"/>
            <w:vAlign w:val="center"/>
          </w:tcPr>
          <w:p>
            <w:pPr>
              <w:jc w:val="right"/>
            </w:pPr>
            <w:r>
              <w:rPr>
                <w:rFonts w:ascii="宋体" w:hAnsi="宋体" w:eastAsia="宋体" w:cs="宋体"/>
                <w:b w:val="0"/>
                <w:i w:val="0"/>
                <w:color w:val="000000"/>
                <w:sz w:val="19"/>
              </w:rPr>
              <w:t>132.36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132.36</w:t>
            </w:r>
          </w:p>
        </w:tc>
        <w:tc>
          <w:tcPr>
            <w:tcW w:w="1600" w:type="dxa"/>
            <w:vAlign w:val="center"/>
          </w:tcPr>
          <w:p>
            <w:pPr>
              <w:jc w:val="right"/>
            </w:pPr>
            <w:r>
              <w:rPr>
                <w:rFonts w:ascii="宋体" w:hAnsi="宋体" w:eastAsia="宋体" w:cs="宋体"/>
                <w:b w:val="0"/>
                <w:i w:val="0"/>
                <w:color w:val="000000"/>
                <w:sz w:val="19"/>
              </w:rPr>
              <w:t>132.36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5.57</w:t>
            </w:r>
          </w:p>
        </w:tc>
        <w:tc>
          <w:tcPr>
            <w:tcW w:w="1600" w:type="dxa"/>
            <w:vAlign w:val="center"/>
          </w:tcPr>
          <w:p>
            <w:pPr>
              <w:jc w:val="right"/>
            </w:pPr>
            <w:r>
              <w:rPr>
                <w:rFonts w:ascii="宋体" w:hAnsi="宋体" w:eastAsia="宋体" w:cs="宋体"/>
                <w:b w:val="0"/>
                <w:i w:val="0"/>
                <w:color w:val="000000"/>
                <w:sz w:val="19"/>
              </w:rPr>
              <w:t>5.57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5.57</w:t>
            </w:r>
          </w:p>
        </w:tc>
        <w:tc>
          <w:tcPr>
            <w:tcW w:w="1600" w:type="dxa"/>
            <w:vAlign w:val="center"/>
          </w:tcPr>
          <w:p>
            <w:pPr>
              <w:jc w:val="right"/>
            </w:pPr>
            <w:r>
              <w:rPr>
                <w:rFonts w:ascii="宋体" w:hAnsi="宋体" w:eastAsia="宋体" w:cs="宋体"/>
                <w:b w:val="0"/>
                <w:i w:val="0"/>
                <w:color w:val="000000"/>
                <w:sz w:val="19"/>
              </w:rPr>
              <w:t>5.57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33.77</w:t>
            </w:r>
          </w:p>
        </w:tc>
        <w:tc>
          <w:tcPr>
            <w:tcW w:w="1600" w:type="dxa"/>
            <w:vAlign w:val="center"/>
          </w:tcPr>
          <w:p>
            <w:pPr>
              <w:jc w:val="right"/>
            </w:pPr>
            <w:r>
              <w:rPr>
                <w:rFonts w:ascii="宋体" w:hAnsi="宋体" w:eastAsia="宋体" w:cs="宋体"/>
                <w:b w:val="0"/>
                <w:i w:val="0"/>
                <w:color w:val="000000"/>
                <w:sz w:val="19"/>
              </w:rPr>
              <w:t>33.77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33.77</w:t>
            </w:r>
          </w:p>
        </w:tc>
        <w:tc>
          <w:tcPr>
            <w:tcW w:w="1600" w:type="dxa"/>
            <w:vAlign w:val="center"/>
          </w:tcPr>
          <w:p>
            <w:pPr>
              <w:jc w:val="right"/>
            </w:pPr>
            <w:r>
              <w:rPr>
                <w:rFonts w:ascii="宋体" w:hAnsi="宋体" w:eastAsia="宋体" w:cs="宋体"/>
                <w:b w:val="0"/>
                <w:i w:val="0"/>
                <w:color w:val="000000"/>
                <w:sz w:val="19"/>
              </w:rPr>
              <w:t>33.77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26.13</w:t>
            </w:r>
          </w:p>
        </w:tc>
        <w:tc>
          <w:tcPr>
            <w:tcW w:w="1600" w:type="dxa"/>
            <w:vAlign w:val="center"/>
          </w:tcPr>
          <w:p>
            <w:pPr>
              <w:jc w:val="right"/>
            </w:pPr>
            <w:r>
              <w:rPr>
                <w:rFonts w:ascii="宋体" w:hAnsi="宋体" w:eastAsia="宋体" w:cs="宋体"/>
                <w:b w:val="0"/>
                <w:i w:val="0"/>
                <w:color w:val="000000"/>
                <w:sz w:val="19"/>
              </w:rPr>
              <w:t>26.13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7.64</w:t>
            </w:r>
          </w:p>
        </w:tc>
        <w:tc>
          <w:tcPr>
            <w:tcW w:w="1600" w:type="dxa"/>
            <w:vAlign w:val="center"/>
          </w:tcPr>
          <w:p>
            <w:pPr>
              <w:jc w:val="right"/>
            </w:pPr>
            <w:r>
              <w:rPr>
                <w:rFonts w:ascii="宋体" w:hAnsi="宋体" w:eastAsia="宋体" w:cs="宋体"/>
                <w:b w:val="0"/>
                <w:i w:val="0"/>
                <w:color w:val="000000"/>
                <w:sz w:val="19"/>
              </w:rPr>
              <w:t>7.64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8.69</w:t>
            </w:r>
          </w:p>
        </w:tc>
        <w:tc>
          <w:tcPr>
            <w:tcW w:w="1600" w:type="dxa"/>
            <w:vAlign w:val="center"/>
          </w:tcPr>
          <w:p>
            <w:pPr>
              <w:jc w:val="right"/>
            </w:pPr>
            <w:r>
              <w:rPr>
                <w:rFonts w:ascii="宋体" w:hAnsi="宋体" w:eastAsia="宋体" w:cs="宋体"/>
                <w:b w:val="0"/>
                <w:i w:val="0"/>
                <w:color w:val="000000"/>
                <w:sz w:val="19"/>
              </w:rPr>
              <w:t>8.69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8.69</w:t>
            </w:r>
          </w:p>
        </w:tc>
        <w:tc>
          <w:tcPr>
            <w:tcW w:w="1600" w:type="dxa"/>
            <w:vAlign w:val="center"/>
          </w:tcPr>
          <w:p>
            <w:pPr>
              <w:jc w:val="right"/>
            </w:pPr>
            <w:r>
              <w:rPr>
                <w:rFonts w:ascii="宋体" w:hAnsi="宋体" w:eastAsia="宋体" w:cs="宋体"/>
                <w:b w:val="0"/>
                <w:i w:val="0"/>
                <w:color w:val="000000"/>
                <w:sz w:val="19"/>
              </w:rPr>
              <w:t>8.69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4.10</w:t>
            </w:r>
          </w:p>
        </w:tc>
        <w:tc>
          <w:tcPr>
            <w:tcW w:w="1600" w:type="dxa"/>
            <w:vAlign w:val="center"/>
          </w:tcPr>
          <w:p>
            <w:pPr>
              <w:jc w:val="right"/>
            </w:pPr>
            <w:r>
              <w:rPr>
                <w:rFonts w:ascii="宋体" w:hAnsi="宋体" w:eastAsia="宋体" w:cs="宋体"/>
                <w:b w:val="0"/>
                <w:i w:val="0"/>
                <w:color w:val="000000"/>
                <w:sz w:val="19"/>
              </w:rPr>
              <w:t>4.10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4.59</w:t>
            </w:r>
          </w:p>
        </w:tc>
        <w:tc>
          <w:tcPr>
            <w:tcW w:w="1600" w:type="dxa"/>
            <w:vAlign w:val="center"/>
          </w:tcPr>
          <w:p>
            <w:pPr>
              <w:jc w:val="right"/>
            </w:pPr>
            <w:r>
              <w:rPr>
                <w:rFonts w:ascii="宋体" w:hAnsi="宋体" w:eastAsia="宋体" w:cs="宋体"/>
                <w:b w:val="0"/>
                <w:i w:val="0"/>
                <w:color w:val="000000"/>
                <w:sz w:val="19"/>
              </w:rPr>
              <w:t>4.59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7.81</w:t>
            </w:r>
          </w:p>
        </w:tc>
        <w:tc>
          <w:tcPr>
            <w:tcW w:w="1600" w:type="dxa"/>
            <w:vAlign w:val="center"/>
          </w:tcPr>
          <w:p>
            <w:pPr>
              <w:jc w:val="right"/>
            </w:pPr>
            <w:r>
              <w:rPr>
                <w:rFonts w:ascii="宋体" w:hAnsi="宋体" w:eastAsia="宋体" w:cs="宋体"/>
                <w:b w:val="0"/>
                <w:i w:val="0"/>
                <w:color w:val="000000"/>
                <w:sz w:val="19"/>
              </w:rPr>
              <w:t>7.81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7.81</w:t>
            </w:r>
          </w:p>
        </w:tc>
        <w:tc>
          <w:tcPr>
            <w:tcW w:w="1600" w:type="dxa"/>
            <w:vAlign w:val="center"/>
          </w:tcPr>
          <w:p>
            <w:pPr>
              <w:jc w:val="right"/>
            </w:pPr>
            <w:r>
              <w:rPr>
                <w:rFonts w:ascii="宋体" w:hAnsi="宋体" w:eastAsia="宋体" w:cs="宋体"/>
                <w:b w:val="0"/>
                <w:i w:val="0"/>
                <w:color w:val="000000"/>
                <w:sz w:val="19"/>
              </w:rPr>
              <w:t>7.81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7.81</w:t>
            </w:r>
          </w:p>
        </w:tc>
        <w:tc>
          <w:tcPr>
            <w:tcW w:w="1600" w:type="dxa"/>
            <w:vAlign w:val="center"/>
          </w:tcPr>
          <w:p>
            <w:pPr>
              <w:jc w:val="right"/>
            </w:pPr>
            <w:r>
              <w:rPr>
                <w:rFonts w:ascii="宋体" w:hAnsi="宋体" w:eastAsia="宋体" w:cs="宋体"/>
                <w:b w:val="0"/>
                <w:i w:val="0"/>
                <w:color w:val="000000"/>
                <w:sz w:val="19"/>
              </w:rPr>
              <w:t>7.81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单位：许昌市老干部活动中心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191.10</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138.57</w:t>
            </w:r>
          </w:p>
        </w:tc>
        <w:tc>
          <w:tcPr>
            <w:tcW w:w="1420" w:type="dxa"/>
            <w:vAlign w:val="center"/>
          </w:tcPr>
          <w:p>
            <w:pPr>
              <w:jc w:val="right"/>
            </w:pPr>
            <w:r>
              <w:rPr>
                <w:rFonts w:ascii="宋体" w:hAnsi="宋体" w:eastAsia="宋体" w:cs="宋体"/>
                <w:b w:val="0"/>
                <w:i w:val="0"/>
                <w:color w:val="000000"/>
                <w:sz w:val="18"/>
              </w:rPr>
              <w:t>138.57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33.78</w:t>
            </w:r>
          </w:p>
        </w:tc>
        <w:tc>
          <w:tcPr>
            <w:tcW w:w="1420" w:type="dxa"/>
            <w:vAlign w:val="center"/>
          </w:tcPr>
          <w:p>
            <w:pPr>
              <w:jc w:val="right"/>
            </w:pPr>
            <w:r>
              <w:rPr>
                <w:rFonts w:ascii="宋体" w:hAnsi="宋体" w:eastAsia="宋体" w:cs="宋体"/>
                <w:b w:val="0"/>
                <w:i w:val="0"/>
                <w:color w:val="000000"/>
                <w:sz w:val="18"/>
              </w:rPr>
              <w:t>33.78</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8.69</w:t>
            </w:r>
          </w:p>
        </w:tc>
        <w:tc>
          <w:tcPr>
            <w:tcW w:w="1420" w:type="dxa"/>
            <w:vAlign w:val="center"/>
          </w:tcPr>
          <w:p>
            <w:pPr>
              <w:jc w:val="right"/>
            </w:pPr>
            <w:r>
              <w:rPr>
                <w:rFonts w:ascii="宋体" w:hAnsi="宋体" w:eastAsia="宋体" w:cs="宋体"/>
                <w:b w:val="0"/>
                <w:i w:val="0"/>
                <w:color w:val="000000"/>
                <w:sz w:val="18"/>
              </w:rPr>
              <w:t>8.69</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2.50</w:t>
            </w:r>
          </w:p>
        </w:tc>
        <w:tc>
          <w:tcPr>
            <w:tcW w:w="1420" w:type="dxa"/>
            <w:vAlign w:val="center"/>
          </w:tcPr>
          <w:p>
            <w:pPr>
              <w:jc w:val="right"/>
            </w:pPr>
            <w:r>
              <w:rPr>
                <w:rFonts w:ascii="宋体" w:hAnsi="宋体" w:eastAsia="宋体" w:cs="宋体"/>
                <w:b w:val="0"/>
                <w:i w:val="0"/>
                <w:color w:val="000000"/>
                <w:sz w:val="18"/>
              </w:rPr>
              <w:t>2.50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7.81</w:t>
            </w:r>
          </w:p>
        </w:tc>
        <w:tc>
          <w:tcPr>
            <w:tcW w:w="1420" w:type="dxa"/>
            <w:vAlign w:val="center"/>
          </w:tcPr>
          <w:p>
            <w:pPr>
              <w:jc w:val="right"/>
            </w:pPr>
            <w:r>
              <w:rPr>
                <w:rFonts w:ascii="宋体" w:hAnsi="宋体" w:eastAsia="宋体" w:cs="宋体"/>
                <w:b w:val="0"/>
                <w:i w:val="0"/>
                <w:color w:val="000000"/>
                <w:sz w:val="18"/>
              </w:rPr>
              <w:t>7.81</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191.10</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191.36</w:t>
            </w:r>
          </w:p>
        </w:tc>
        <w:tc>
          <w:tcPr>
            <w:tcW w:w="1420" w:type="dxa"/>
            <w:vAlign w:val="center"/>
          </w:tcPr>
          <w:p>
            <w:pPr>
              <w:jc w:val="right"/>
            </w:pPr>
            <w:r>
              <w:rPr>
                <w:rFonts w:ascii="宋体" w:hAnsi="宋体" w:eastAsia="宋体" w:cs="宋体"/>
                <w:b w:val="0"/>
                <w:i w:val="0"/>
                <w:color w:val="000000"/>
                <w:sz w:val="18"/>
              </w:rPr>
              <w:t>191.36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0.26</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0.26</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191.36</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191.36</w:t>
            </w:r>
          </w:p>
        </w:tc>
        <w:tc>
          <w:tcPr>
            <w:tcW w:w="1420" w:type="dxa"/>
            <w:vAlign w:val="center"/>
          </w:tcPr>
          <w:p>
            <w:pPr>
              <w:jc w:val="right"/>
            </w:pPr>
            <w:r>
              <w:rPr>
                <w:rFonts w:ascii="宋体" w:hAnsi="宋体" w:eastAsia="宋体" w:cs="宋体"/>
                <w:b w:val="0"/>
                <w:i w:val="0"/>
                <w:color w:val="000000"/>
                <w:sz w:val="18"/>
              </w:rPr>
              <w:t>191.36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单位：许昌市老干部活动中心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191.36</w:t>
            </w:r>
          </w:p>
        </w:tc>
        <w:tc>
          <w:tcPr>
            <w:tcW w:w="2700" w:type="dxa"/>
            <w:vAlign w:val="center"/>
          </w:tcPr>
          <w:p>
            <w:pPr>
              <w:jc w:val="right"/>
            </w:pPr>
            <w:r>
              <w:rPr>
                <w:rFonts w:ascii="宋体" w:hAnsi="宋体" w:eastAsia="宋体" w:cs="宋体"/>
                <w:b/>
                <w:i w:val="0"/>
                <w:color w:val="000000"/>
                <w:sz w:val="25"/>
              </w:rPr>
              <w:t>188.86</w:t>
            </w:r>
          </w:p>
        </w:tc>
        <w:tc>
          <w:tcPr>
            <w:tcW w:w="2658" w:type="dxa"/>
            <w:vAlign w:val="center"/>
          </w:tcPr>
          <w:p>
            <w:pPr>
              <w:jc w:val="right"/>
            </w:pPr>
            <w:r>
              <w:rPr>
                <w:rFonts w:ascii="宋体" w:hAnsi="宋体" w:eastAsia="宋体" w:cs="宋体"/>
                <w:b/>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138.58</w:t>
            </w:r>
          </w:p>
        </w:tc>
        <w:tc>
          <w:tcPr>
            <w:tcW w:w="2700" w:type="dxa"/>
            <w:vAlign w:val="center"/>
          </w:tcPr>
          <w:p>
            <w:pPr>
              <w:jc w:val="right"/>
            </w:pPr>
            <w:r>
              <w:rPr>
                <w:rFonts w:ascii="宋体" w:hAnsi="宋体" w:eastAsia="宋体" w:cs="宋体"/>
                <w:b w:val="0"/>
                <w:i w:val="0"/>
                <w:color w:val="000000"/>
                <w:sz w:val="25"/>
              </w:rPr>
              <w:t>138.58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0.65</w:t>
            </w:r>
          </w:p>
        </w:tc>
        <w:tc>
          <w:tcPr>
            <w:tcW w:w="2700" w:type="dxa"/>
            <w:vAlign w:val="center"/>
          </w:tcPr>
          <w:p>
            <w:pPr>
              <w:jc w:val="right"/>
            </w:pPr>
            <w:r>
              <w:rPr>
                <w:rFonts w:ascii="宋体" w:hAnsi="宋体" w:eastAsia="宋体" w:cs="宋体"/>
                <w:b w:val="0"/>
                <w:i w:val="0"/>
                <w:color w:val="000000"/>
                <w:sz w:val="25"/>
              </w:rPr>
              <w:t>0.65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0.65</w:t>
            </w:r>
          </w:p>
        </w:tc>
        <w:tc>
          <w:tcPr>
            <w:tcW w:w="2700" w:type="dxa"/>
            <w:vAlign w:val="center"/>
          </w:tcPr>
          <w:p>
            <w:pPr>
              <w:jc w:val="right"/>
            </w:pPr>
            <w:r>
              <w:rPr>
                <w:rFonts w:ascii="宋体" w:hAnsi="宋体" w:eastAsia="宋体" w:cs="宋体"/>
                <w:b w:val="0"/>
                <w:i w:val="0"/>
                <w:color w:val="000000"/>
                <w:sz w:val="25"/>
              </w:rPr>
              <w:t>0.65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w:t>
            </w:r>
          </w:p>
        </w:tc>
        <w:tc>
          <w:tcPr>
            <w:tcW w:w="4700" w:type="dxa"/>
            <w:vAlign w:val="center"/>
          </w:tcPr>
          <w:p>
            <w:pPr>
              <w:jc w:val="left"/>
            </w:pPr>
            <w:r>
              <w:rPr>
                <w:rFonts w:ascii="宋体" w:hAnsi="宋体" w:eastAsia="宋体" w:cs="宋体"/>
                <w:b w:val="0"/>
                <w:i w:val="0"/>
                <w:color w:val="000000"/>
                <w:sz w:val="25"/>
              </w:rPr>
              <w:t>组织事务</w:t>
            </w:r>
          </w:p>
        </w:tc>
        <w:tc>
          <w:tcPr>
            <w:tcW w:w="2700" w:type="dxa"/>
            <w:vAlign w:val="center"/>
          </w:tcPr>
          <w:p>
            <w:pPr>
              <w:jc w:val="right"/>
            </w:pPr>
            <w:r>
              <w:rPr>
                <w:rFonts w:ascii="宋体" w:hAnsi="宋体" w:eastAsia="宋体" w:cs="宋体"/>
                <w:b w:val="0"/>
                <w:i w:val="0"/>
                <w:color w:val="000000"/>
                <w:sz w:val="25"/>
              </w:rPr>
              <w:t>132.36</w:t>
            </w:r>
          </w:p>
        </w:tc>
        <w:tc>
          <w:tcPr>
            <w:tcW w:w="2700" w:type="dxa"/>
            <w:vAlign w:val="center"/>
          </w:tcPr>
          <w:p>
            <w:pPr>
              <w:jc w:val="right"/>
            </w:pPr>
            <w:r>
              <w:rPr>
                <w:rFonts w:ascii="宋体" w:hAnsi="宋体" w:eastAsia="宋体" w:cs="宋体"/>
                <w:b w:val="0"/>
                <w:i w:val="0"/>
                <w:color w:val="000000"/>
                <w:sz w:val="25"/>
              </w:rPr>
              <w:t>132.36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132.36</w:t>
            </w:r>
          </w:p>
        </w:tc>
        <w:tc>
          <w:tcPr>
            <w:tcW w:w="2700" w:type="dxa"/>
            <w:vAlign w:val="center"/>
          </w:tcPr>
          <w:p>
            <w:pPr>
              <w:jc w:val="right"/>
            </w:pPr>
            <w:r>
              <w:rPr>
                <w:rFonts w:ascii="宋体" w:hAnsi="宋体" w:eastAsia="宋体" w:cs="宋体"/>
                <w:b w:val="0"/>
                <w:i w:val="0"/>
                <w:color w:val="000000"/>
                <w:sz w:val="25"/>
              </w:rPr>
              <w:t>132.36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5.57</w:t>
            </w:r>
          </w:p>
        </w:tc>
        <w:tc>
          <w:tcPr>
            <w:tcW w:w="2700" w:type="dxa"/>
            <w:vAlign w:val="center"/>
          </w:tcPr>
          <w:p>
            <w:pPr>
              <w:jc w:val="right"/>
            </w:pPr>
            <w:r>
              <w:rPr>
                <w:rFonts w:ascii="宋体" w:hAnsi="宋体" w:eastAsia="宋体" w:cs="宋体"/>
                <w:b w:val="0"/>
                <w:i w:val="0"/>
                <w:color w:val="000000"/>
                <w:sz w:val="25"/>
              </w:rPr>
              <w:t>5.57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5.57</w:t>
            </w:r>
          </w:p>
        </w:tc>
        <w:tc>
          <w:tcPr>
            <w:tcW w:w="2700" w:type="dxa"/>
            <w:vAlign w:val="center"/>
          </w:tcPr>
          <w:p>
            <w:pPr>
              <w:jc w:val="right"/>
            </w:pPr>
            <w:r>
              <w:rPr>
                <w:rFonts w:ascii="宋体" w:hAnsi="宋体" w:eastAsia="宋体" w:cs="宋体"/>
                <w:b w:val="0"/>
                <w:i w:val="0"/>
                <w:color w:val="000000"/>
                <w:sz w:val="25"/>
              </w:rPr>
              <w:t>5.57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33.77</w:t>
            </w:r>
          </w:p>
        </w:tc>
        <w:tc>
          <w:tcPr>
            <w:tcW w:w="2700" w:type="dxa"/>
            <w:vAlign w:val="center"/>
          </w:tcPr>
          <w:p>
            <w:pPr>
              <w:jc w:val="right"/>
            </w:pPr>
            <w:r>
              <w:rPr>
                <w:rFonts w:ascii="宋体" w:hAnsi="宋体" w:eastAsia="宋体" w:cs="宋体"/>
                <w:b w:val="0"/>
                <w:i w:val="0"/>
                <w:color w:val="000000"/>
                <w:sz w:val="25"/>
              </w:rPr>
              <w:t>33.77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33.77</w:t>
            </w:r>
          </w:p>
        </w:tc>
        <w:tc>
          <w:tcPr>
            <w:tcW w:w="2700" w:type="dxa"/>
            <w:vAlign w:val="center"/>
          </w:tcPr>
          <w:p>
            <w:pPr>
              <w:jc w:val="right"/>
            </w:pPr>
            <w:r>
              <w:rPr>
                <w:rFonts w:ascii="宋体" w:hAnsi="宋体" w:eastAsia="宋体" w:cs="宋体"/>
                <w:b w:val="0"/>
                <w:i w:val="0"/>
                <w:color w:val="000000"/>
                <w:sz w:val="25"/>
              </w:rPr>
              <w:t>33.77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26.13</w:t>
            </w:r>
          </w:p>
        </w:tc>
        <w:tc>
          <w:tcPr>
            <w:tcW w:w="2700" w:type="dxa"/>
            <w:vAlign w:val="center"/>
          </w:tcPr>
          <w:p>
            <w:pPr>
              <w:jc w:val="right"/>
            </w:pPr>
            <w:r>
              <w:rPr>
                <w:rFonts w:ascii="宋体" w:hAnsi="宋体" w:eastAsia="宋体" w:cs="宋体"/>
                <w:b w:val="0"/>
                <w:i w:val="0"/>
                <w:color w:val="000000"/>
                <w:sz w:val="25"/>
              </w:rPr>
              <w:t>26.13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7.64</w:t>
            </w:r>
          </w:p>
        </w:tc>
        <w:tc>
          <w:tcPr>
            <w:tcW w:w="2700" w:type="dxa"/>
            <w:vAlign w:val="center"/>
          </w:tcPr>
          <w:p>
            <w:pPr>
              <w:jc w:val="right"/>
            </w:pPr>
            <w:r>
              <w:rPr>
                <w:rFonts w:ascii="宋体" w:hAnsi="宋体" w:eastAsia="宋体" w:cs="宋体"/>
                <w:b w:val="0"/>
                <w:i w:val="0"/>
                <w:color w:val="000000"/>
                <w:sz w:val="25"/>
              </w:rPr>
              <w:t>7.64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8.69</w:t>
            </w:r>
          </w:p>
        </w:tc>
        <w:tc>
          <w:tcPr>
            <w:tcW w:w="2700" w:type="dxa"/>
            <w:vAlign w:val="center"/>
          </w:tcPr>
          <w:p>
            <w:pPr>
              <w:jc w:val="right"/>
            </w:pPr>
            <w:r>
              <w:rPr>
                <w:rFonts w:ascii="宋体" w:hAnsi="宋体" w:eastAsia="宋体" w:cs="宋体"/>
                <w:b w:val="0"/>
                <w:i w:val="0"/>
                <w:color w:val="000000"/>
                <w:sz w:val="25"/>
              </w:rPr>
              <w:t>8.69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8.69</w:t>
            </w:r>
          </w:p>
        </w:tc>
        <w:tc>
          <w:tcPr>
            <w:tcW w:w="2700" w:type="dxa"/>
            <w:vAlign w:val="center"/>
          </w:tcPr>
          <w:p>
            <w:pPr>
              <w:jc w:val="right"/>
            </w:pPr>
            <w:r>
              <w:rPr>
                <w:rFonts w:ascii="宋体" w:hAnsi="宋体" w:eastAsia="宋体" w:cs="宋体"/>
                <w:b w:val="0"/>
                <w:i w:val="0"/>
                <w:color w:val="000000"/>
                <w:sz w:val="25"/>
              </w:rPr>
              <w:t>8.69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4.10</w:t>
            </w:r>
          </w:p>
        </w:tc>
        <w:tc>
          <w:tcPr>
            <w:tcW w:w="2700" w:type="dxa"/>
            <w:vAlign w:val="center"/>
          </w:tcPr>
          <w:p>
            <w:pPr>
              <w:jc w:val="right"/>
            </w:pPr>
            <w:r>
              <w:rPr>
                <w:rFonts w:ascii="宋体" w:hAnsi="宋体" w:eastAsia="宋体" w:cs="宋体"/>
                <w:b w:val="0"/>
                <w:i w:val="0"/>
                <w:color w:val="000000"/>
                <w:sz w:val="25"/>
              </w:rPr>
              <w:t>4.10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4.59</w:t>
            </w:r>
          </w:p>
        </w:tc>
        <w:tc>
          <w:tcPr>
            <w:tcW w:w="2700" w:type="dxa"/>
            <w:vAlign w:val="center"/>
          </w:tcPr>
          <w:p>
            <w:pPr>
              <w:jc w:val="right"/>
            </w:pPr>
            <w:r>
              <w:rPr>
                <w:rFonts w:ascii="宋体" w:hAnsi="宋体" w:eastAsia="宋体" w:cs="宋体"/>
                <w:b w:val="0"/>
                <w:i w:val="0"/>
                <w:color w:val="000000"/>
                <w:sz w:val="25"/>
              </w:rPr>
              <w:t>4.59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7.81</w:t>
            </w:r>
          </w:p>
        </w:tc>
        <w:tc>
          <w:tcPr>
            <w:tcW w:w="2700" w:type="dxa"/>
            <w:vAlign w:val="center"/>
          </w:tcPr>
          <w:p>
            <w:pPr>
              <w:jc w:val="right"/>
            </w:pPr>
            <w:r>
              <w:rPr>
                <w:rFonts w:ascii="宋体" w:hAnsi="宋体" w:eastAsia="宋体" w:cs="宋体"/>
                <w:b w:val="0"/>
                <w:i w:val="0"/>
                <w:color w:val="000000"/>
                <w:sz w:val="25"/>
              </w:rPr>
              <w:t>7.81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7.81</w:t>
            </w:r>
          </w:p>
        </w:tc>
        <w:tc>
          <w:tcPr>
            <w:tcW w:w="2700" w:type="dxa"/>
            <w:vAlign w:val="center"/>
          </w:tcPr>
          <w:p>
            <w:pPr>
              <w:jc w:val="right"/>
            </w:pPr>
            <w:r>
              <w:rPr>
                <w:rFonts w:ascii="宋体" w:hAnsi="宋体" w:eastAsia="宋体" w:cs="宋体"/>
                <w:b w:val="0"/>
                <w:i w:val="0"/>
                <w:color w:val="000000"/>
                <w:sz w:val="25"/>
              </w:rPr>
              <w:t>7.81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7.81</w:t>
            </w:r>
          </w:p>
        </w:tc>
        <w:tc>
          <w:tcPr>
            <w:tcW w:w="2700" w:type="dxa"/>
            <w:vAlign w:val="center"/>
          </w:tcPr>
          <w:p>
            <w:pPr>
              <w:jc w:val="right"/>
            </w:pPr>
            <w:r>
              <w:rPr>
                <w:rFonts w:ascii="宋体" w:hAnsi="宋体" w:eastAsia="宋体" w:cs="宋体"/>
                <w:b w:val="0"/>
                <w:i w:val="0"/>
                <w:color w:val="000000"/>
                <w:sz w:val="25"/>
              </w:rPr>
              <w:t>7.81</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单位：许昌市老干部活动中心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143.06</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19.67</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30.35</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3.54</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42.74</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0.36</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44.48</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0.75</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7.60</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2.00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0.45</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3.81</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4.23</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0.08</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0.10</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0.18</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9.76</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3.82</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0.06</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26.13</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26.13</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0.07</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0.20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0.65</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0.05</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6.12</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1.34</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169.19</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19.67</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单位：许昌市老干部活动中心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单位：许昌市老干部活动中心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单位：许昌市老干部活动中心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0.07</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0.07</w:t>
            </w:r>
          </w:p>
        </w:tc>
        <w:tc>
          <w:tcPr>
            <w:tcW w:w="1160" w:type="dxa"/>
            <w:vAlign w:val="center"/>
          </w:tcPr>
          <w:p>
            <w:pPr>
              <w:jc w:val="right"/>
            </w:pPr>
            <w:r>
              <w:rPr>
                <w:rFonts w:ascii="宋体" w:hAnsi="宋体" w:eastAsia="宋体" w:cs="宋体"/>
                <w:b w:val="0"/>
                <w:i w:val="0"/>
                <w:color w:val="000000"/>
                <w:sz w:val="17"/>
              </w:rPr>
              <w:t>0.07</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98" w:type="dxa"/>
            <w:vAlign w:val="center"/>
          </w:tcPr>
          <w:p>
            <w:pPr>
              <w:jc w:val="right"/>
            </w:pPr>
            <w:r>
              <w:rPr>
                <w:rFonts w:ascii="宋体" w:hAnsi="宋体" w:eastAsia="宋体" w:cs="宋体"/>
                <w:b w:val="0"/>
                <w:i w:val="0"/>
                <w:color w:val="000000"/>
                <w:sz w:val="17"/>
              </w:rPr>
              <w:t>0.07</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2023年度收、支总计均为191.36万元。与上年度相比，收、支总计各减少106.16万元，下降35.68%。主要原因是2022年单位决算中包含结转的新建老年大学相关经费。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191.10万元，其中：财政拨款收入191.10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2023年度支出合计191.36万元，其中：基本支出188.86万元，占98.69%；项目支出2.50万元，占1.31%；上缴上级支出0.00万元，占0.00%；经营支出0.00万元，占0.00%；对附属单位补助支出0.00万元，占0.00%。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2023年度财政拨款收、支总计均为191.36万元。与上年度相比，财政拨款收、支总计各减少106.16万元，下降35.68%。主要原因是2022年单位决算中包含结转的新建老年大学相关经费。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2023年度一般公共预算财政拨款支出191.36万元，占支出合计的100.00%。与上年度相比，一般公共预算财政拨款支出减少106.16万元，下降35.68%。主要原因是2022年单位决算中包含结转的新建老年大学相关经费。</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191.36万元，主要用于以下方面：一般公共服务支出（类）138.57万元，占72.41%；社会保障和就业支出（类）33.78万元，占17.65%；卫生健康支出（类）8.69万元，占4.54%；农林水支出（类）2.50万元，占1.31%；住房保障支出（类）7.81万元，占4.09%。</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2023年度一般公共预算财政拨款支出年初预算为166.05万元，支出决算为191.36万元，完成年初预算的115.24%。其中：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1.一般公共服务支出（类）群众团体事务（款）工会事务（项）</w:t>
      </w:r>
      <w:r>
        <w:rPr>
          <w:rFonts w:hint="eastAsia" w:ascii="仿宋_GB2312" w:hAnsi="仿宋_GB2312" w:eastAsia="仿宋_GB2312" w:cs="仿宋_GB2312"/>
          <w:kern w:val="2"/>
          <w:sz w:val="32"/>
          <w:szCs w:val="32"/>
          <w:lang w:val="en-US" w:eastAsia="zh-CN"/>
        </w:rPr>
        <w:t>年初预算数为0.65万元，决算数0.65万元,完成年初预算的100.00%，决算数与年初预算数不存在差异。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2.一般公共服务支出（类）组织事务（款）行政运行（项）</w:t>
      </w:r>
      <w:r>
        <w:rPr>
          <w:rFonts w:hint="eastAsia" w:ascii="仿宋_GB2312" w:hAnsi="仿宋_GB2312" w:eastAsia="仿宋_GB2312" w:cs="仿宋_GB2312"/>
          <w:kern w:val="2"/>
          <w:sz w:val="32"/>
          <w:szCs w:val="32"/>
          <w:lang w:val="en-US" w:eastAsia="zh-CN"/>
        </w:rPr>
        <w:t>年初预算数为120.73万元，决算数132.36万元,完成年初预算的109.63%，决算数与年初预算数存在差异的主要原因是预算中为安排2021年平安建设奖等支出。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3.一般公共服务支出（类）其他一般公共服务支出（款）其他一般公共服务支出（项）</w:t>
      </w:r>
      <w:r>
        <w:rPr>
          <w:rFonts w:hint="eastAsia" w:ascii="仿宋_GB2312" w:hAnsi="仿宋_GB2312" w:eastAsia="仿宋_GB2312" w:cs="仿宋_GB2312"/>
          <w:kern w:val="2"/>
          <w:sz w:val="32"/>
          <w:szCs w:val="32"/>
          <w:lang w:val="en-US" w:eastAsia="zh-CN"/>
        </w:rPr>
        <w:t>年初预算数为0.00万元，决算数5.57万元,决算数与年初预算数存在差异的主要原因是预算当中没有安排，该项支出为2022年平安建设奖。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4.社会保障和就业支出（类）行政事业单位养老支出（款）行政单位离退休（项）</w:t>
      </w:r>
      <w:r>
        <w:rPr>
          <w:rFonts w:hint="eastAsia" w:ascii="仿宋_GB2312" w:hAnsi="仿宋_GB2312" w:eastAsia="仿宋_GB2312" w:cs="仿宋_GB2312"/>
          <w:kern w:val="2"/>
          <w:sz w:val="32"/>
          <w:szCs w:val="32"/>
          <w:lang w:val="en-US" w:eastAsia="zh-CN"/>
        </w:rPr>
        <w:t>年初预算数为21.55万元，决算数26.13万元,完成年初预算的121.25%，决算数与年初预算数存在差异的主要原因是退休人员基础绩效改革导致支出增加。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年初预算数为7.30万元，决算数7.64万元,完成年初预算的104.66%，决算数与年初预算数存在差异的主要原因是养老基础调整导致支出增加。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6.卫生健康支出（类）行政事业单位医疗（款）行政单位医疗（项）</w:t>
      </w:r>
      <w:r>
        <w:rPr>
          <w:rFonts w:hint="eastAsia" w:ascii="仿宋_GB2312" w:hAnsi="仿宋_GB2312" w:eastAsia="仿宋_GB2312" w:cs="仿宋_GB2312"/>
          <w:kern w:val="2"/>
          <w:sz w:val="32"/>
          <w:szCs w:val="32"/>
          <w:lang w:val="en-US" w:eastAsia="zh-CN"/>
        </w:rPr>
        <w:t>年初预算数为4.10万元，决算数4.10万元,完成年初预算的100.00%，决算数与年初预算数不存在差异。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7.卫生健康支出（类）行政事业单位医疗（款）公务员医疗补助（项）</w:t>
      </w:r>
      <w:r>
        <w:rPr>
          <w:rFonts w:hint="eastAsia" w:ascii="仿宋_GB2312" w:hAnsi="仿宋_GB2312" w:eastAsia="仿宋_GB2312" w:cs="仿宋_GB2312"/>
          <w:kern w:val="2"/>
          <w:sz w:val="32"/>
          <w:szCs w:val="32"/>
          <w:lang w:val="en-US" w:eastAsia="zh-CN"/>
        </w:rPr>
        <w:t>年初预算数为3.90万元，决算数4.59万元,完成年初预算的117.69%，决算数与年初预算数存在差异的主要原因是公务员医疗补助基数调整导致支出增加。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8.农林水支出（类）巩固脱贫攻坚成果衔接乡村振兴（款）一般行政管理事务（项）</w:t>
      </w:r>
      <w:r>
        <w:rPr>
          <w:rFonts w:hint="eastAsia" w:ascii="仿宋_GB2312" w:hAnsi="仿宋_GB2312" w:eastAsia="仿宋_GB2312" w:cs="仿宋_GB2312"/>
          <w:kern w:val="2"/>
          <w:sz w:val="32"/>
          <w:szCs w:val="32"/>
          <w:lang w:val="en-US" w:eastAsia="zh-CN"/>
        </w:rPr>
        <w:t>年初预算数为0.00万元，决算数2.50万元,决算数与年初预算数存在差异的主要原因是预算当中没有安排，发放的驻村第一书记补贴。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9.住房保障支出（类）住房改革支出（款）住房公积金（项）</w:t>
      </w:r>
      <w:r>
        <w:rPr>
          <w:rFonts w:hint="eastAsia" w:ascii="仿宋_GB2312" w:hAnsi="仿宋_GB2312" w:eastAsia="仿宋_GB2312" w:cs="仿宋_GB2312"/>
          <w:kern w:val="2"/>
          <w:sz w:val="32"/>
          <w:szCs w:val="32"/>
          <w:lang w:val="en-US" w:eastAsia="zh-CN"/>
        </w:rPr>
        <w:t>年初预算数为7.81万元，决算数7.81万元,完成年初预算的100.00%，决算数与年初预算数不存在差异。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188.86万元。其中：人员经费169.19万元，主要包括：基本工资、津贴补贴、奖金、机关事业单位基本养老保险缴费、职工基本医疗保险缴费、公务员医疗补助缴费、其他社会保障缴费、住房公积金、退休费。公用经费19.67万元，主要包括：办公费、印刷费、水费、电费、邮电费、物业管理费、差旅费、维修（护）费、租赁费、公务接待费、劳务费、工会经费、福利费、其他交通费用、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2023年度“三公”经费财政拨款支出预算为0.07万元，支出决算为0.07万元，完成预算的100.00%。2023年度“三公”经费支出决算数与预算数无差异。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占0.00%；公务用车购置及运行费支出决算0.00万元，占0.00%；公务接待费支出决算0.07万元，完成预算的100.00%，占100.00%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0.00万元。2023年期末，单位开支财政拨款的公务用车保有量为</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预算为0.07万元，支出决算为0.07万元</w:t>
      </w:r>
      <w:r>
        <w:rPr>
          <w:rFonts w:hint="eastAsia" w:ascii="仿宋_GB2312" w:hAnsi="仿宋_GB2312" w:eastAsia="仿宋_GB2312" w:cs="仿宋_GB2312"/>
          <w:kern w:val="0"/>
          <w:sz w:val="32"/>
          <w:szCs w:val="32"/>
          <w:lang w:val="en-US" w:eastAsia="zh-CN"/>
        </w:rPr>
        <w:t>，完成预算的100.00%</w:t>
      </w:r>
      <w:r>
        <w:rPr>
          <w:rFonts w:hint="eastAsia" w:ascii="仿宋_GB2312" w:hAnsi="仿宋_GB2312" w:eastAsia="仿宋_GB2312" w:cs="仿宋_GB2312"/>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0.07</w:t>
      </w:r>
      <w:r>
        <w:rPr>
          <w:rFonts w:hint="eastAsia" w:ascii="仿宋_GB2312" w:hAnsi="仿宋_GB2312" w:eastAsia="仿宋_GB2312" w:cs="仿宋_GB2312"/>
          <w:kern w:val="0"/>
          <w:sz w:val="32"/>
          <w:szCs w:val="32"/>
          <w:lang w:val="en-US" w:eastAsia="zh-CN"/>
        </w:rPr>
        <w:t>万元。</w:t>
      </w:r>
      <w:r>
        <w:rPr>
          <w:rFonts w:hint="eastAsia" w:ascii="仿宋_GB2312" w:hAnsi="仿宋_GB2312" w:eastAsia="仿宋_GB2312" w:cs="仿宋_GB2312"/>
          <w:b w:val="0"/>
          <w:bCs w:val="0"/>
          <w:kern w:val="0"/>
          <w:sz w:val="32"/>
          <w:szCs w:val="32"/>
          <w:lang w:val="en-US" w:eastAsia="zh-CN"/>
        </w:rPr>
        <w:t>主要用于接待省老干部活动学习中心调研图书馆文化建设工作。</w:t>
      </w:r>
      <w:r>
        <w:rPr>
          <w:rFonts w:hint="eastAsia" w:ascii="仿宋_GB2312" w:hAnsi="仿宋_GB2312" w:eastAsia="仿宋_GB2312" w:cs="仿宋_GB2312"/>
          <w:kern w:val="0"/>
          <w:sz w:val="32"/>
          <w:szCs w:val="32"/>
          <w:lang w:val="en-US" w:eastAsia="zh-CN"/>
        </w:rPr>
        <w:t>2023年共接待国内来访团组1个、来宾5人次（不包括陪同人员）</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2023年度机关运行经费支出19.67万元，较2022年度增长0.89万元，增长4.74%，主要原因是2022年度受疫情影响，2023年各项工作恢复正常支出增加。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涉及预算资金197.22万元。自评得分为99.9分，等级为“优”。从单位整体自评情况来看，各项工作按照年初设定指标有序推进并且取得了显著成效，较好地完成了年度各项目标任务。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基于项目预期目标的实现程度，我单位对2023年度单位预算项目支出（含单位参与分配的转移支付项目）开展绩效自评，涉及项目1个，项目金额2.5万元。其中：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 xml:space="preserve">（1）2023年许昌市派驻村第一书记补助经费，自评得分为100分，等级为“优”。各项工作按照设定指标有序推进并且取得了显著成效，较好地完成了各项目标任务。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从项目绩效自评情况来看，该项目的资金管理、成本、产出、效益、满意度等各项指标全部达到90%以上，均达到预期效果。</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2"/>
        <w:gridCol w:w="967"/>
        <w:gridCol w:w="256"/>
        <w:gridCol w:w="256"/>
        <w:gridCol w:w="1732"/>
        <w:gridCol w:w="913"/>
        <w:gridCol w:w="1007"/>
        <w:gridCol w:w="628"/>
        <w:gridCol w:w="676"/>
        <w:gridCol w:w="960"/>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单位整体自评表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许昌市老干部活动中心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166.05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both"/>
              <w:textAlignment w:val="center"/>
              <w:rPr>
                <w:rFonts w:hint="default" w:ascii="宋体" w:hAnsi="宋体" w:cs="宋体"/>
                <w:i w:val="0"/>
                <w:iCs w:val="0"/>
                <w:color w:val="000000"/>
                <w:kern w:val="0"/>
                <w:sz w:val="18"/>
                <w:szCs w:val="18"/>
                <w:u w:val="none"/>
                <w:lang w:val="en-US" w:eastAsia="zh-CN" w:bidi="en-AU"/>
              </w:rPr>
            </w:pPr>
            <w:r>
              <w:rPr>
                <w:rFonts w:hint="eastAsia" w:ascii="宋体" w:hAnsi="宋体" w:cs="宋体"/>
                <w:i w:val="0"/>
                <w:iCs w:val="0"/>
                <w:color w:val="000000"/>
                <w:kern w:val="0"/>
                <w:sz w:val="18"/>
                <w:szCs w:val="18"/>
                <w:u w:val="none"/>
                <w:lang w:val="en-US" w:eastAsia="zh-CN" w:bidi="en-AU"/>
              </w:rPr>
              <w:t>197.22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191.36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166.05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194.34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188.48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96.98</w:t>
            </w: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2.88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目标1：为许昌市离退休老干部建设活动、学习阵地                                                     目标2：发挥老干部优势作用，引导老干部发挥正能量</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为许昌市离退休老干部建设活动、学习阵地；积极引导老干部发挥了优势作用，发挥了正能量。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离退休老干部活动的组织、服务与管理工作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根据预算指标，有计划、合理、合规的完成支出计划，为许昌市离退休老干部建设活动、学习阵地，发挥老干部优势作用，引导老干部发挥正能量。</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为许昌市离退休老干部建设活动、学习阵地，发挥老干部优势作用，引导老干部发挥正能量。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r>
              <w:rPr>
                <w:rFonts w:hint="eastAsia" w:ascii="宋体" w:hAnsi="宋体" w:cs="宋体"/>
                <w:i w:val="0"/>
                <w:iCs w:val="0"/>
                <w:color w:val="000000"/>
                <w:kern w:val="0"/>
                <w:sz w:val="18"/>
                <w:szCs w:val="18"/>
                <w:u w:val="none"/>
                <w:lang w:val="en-US" w:eastAsia="zh-CN" w:bidi="en-AU"/>
              </w:rPr>
              <w:t>61</w:t>
            </w: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离退休老干部活动的组织、服务与管理工作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为许昌市离退休老干部建设活动、学习阵地，发挥老干部优势作用，引导老干部发挥正能量。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老干部感受到党和政府的关怀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让老干部满意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1440" w:right="1800" w:bottom="1440" w:left="1800" w:header="851" w:footer="992" w:gutter="0"/>
          <w:cols w:space="720"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432"/>
        <w:gridCol w:w="1376"/>
        <w:gridCol w:w="941"/>
        <w:gridCol w:w="983"/>
        <w:gridCol w:w="1059"/>
        <w:gridCol w:w="987"/>
        <w:gridCol w:w="687"/>
        <w:gridCol w:w="651"/>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2023年许昌市派驻村第一书记补助经费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中共许昌市委老干部局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许昌市</w:t>
            </w:r>
            <w:r>
              <w:rPr>
                <w:rFonts w:hint="eastAsia" w:ascii="宋体" w:hAnsi="宋体" w:cs="宋体"/>
                <w:i w:val="0"/>
                <w:iCs w:val="0"/>
                <w:color w:val="000000"/>
                <w:kern w:val="0"/>
                <w:sz w:val="24"/>
                <w:szCs w:val="24"/>
                <w:u w:val="none"/>
                <w:lang w:val="en-US" w:eastAsia="zh-CN" w:bidi="en-AU"/>
              </w:rPr>
              <w:t>老干部活动中心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3"/>
                <w:lang w:val="en-US" w:eastAsia="zh-CN" w:bidi="en-AU"/>
              </w:rPr>
              <w:t xml:space="preserve"> </w:t>
            </w:r>
            <w:r>
              <w:rPr>
                <w:rStyle w:val="14"/>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100</w:t>
            </w:r>
            <w:r>
              <w:rPr>
                <w:rFonts w:hint="eastAsia" w:ascii="宋体" w:hAnsi="宋体" w:eastAsia="宋体" w:cs="宋体"/>
                <w:i w:val="0"/>
                <w:iCs w:val="0"/>
                <w:color w:val="000000"/>
                <w:kern w:val="0"/>
                <w:sz w:val="24"/>
                <w:szCs w:val="24"/>
                <w:u w:val="none"/>
                <w:lang w:val="en-US" w:eastAsia="zh-CN" w:bidi="en-AU"/>
              </w:rPr>
              <w:t xml:space="preserve">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100</w:t>
            </w:r>
            <w:r>
              <w:rPr>
                <w:rFonts w:hint="eastAsia" w:ascii="宋体" w:hAnsi="宋体" w:eastAsia="宋体" w:cs="宋体"/>
                <w:i w:val="0"/>
                <w:iCs w:val="0"/>
                <w:color w:val="000000"/>
                <w:kern w:val="0"/>
                <w:sz w:val="24"/>
                <w:szCs w:val="24"/>
                <w:u w:val="none"/>
                <w:lang w:val="en-US" w:eastAsia="zh-CN" w:bidi="en-AU"/>
              </w:rPr>
              <w:t xml:space="preserve">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按照实际情况，科学计划。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拨付手续合规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基本完成绩效目标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both"/>
              <w:textAlignment w:val="top"/>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确保我单位驻村干部工作派得出、驻得安，更好落实“五天四夜”工作制，确保第一书记生活上无后顾之忧，放心大胆工作。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确保</w:t>
            </w:r>
            <w:r>
              <w:rPr>
                <w:rFonts w:hint="eastAsia" w:ascii="宋体" w:hAnsi="宋体" w:cs="宋体"/>
                <w:i w:val="0"/>
                <w:iCs w:val="0"/>
                <w:color w:val="000000"/>
                <w:kern w:val="0"/>
                <w:sz w:val="24"/>
                <w:szCs w:val="24"/>
                <w:u w:val="none"/>
                <w:lang w:val="en-US" w:eastAsia="zh-CN" w:bidi="en-AU"/>
              </w:rPr>
              <w:t>了我单位驻村</w:t>
            </w:r>
            <w:r>
              <w:rPr>
                <w:rFonts w:hint="eastAsia" w:ascii="宋体" w:hAnsi="宋体" w:eastAsia="宋体" w:cs="宋体"/>
                <w:i w:val="0"/>
                <w:iCs w:val="0"/>
                <w:color w:val="000000"/>
                <w:kern w:val="0"/>
                <w:sz w:val="24"/>
                <w:szCs w:val="24"/>
                <w:u w:val="none"/>
                <w:lang w:val="en-US" w:eastAsia="zh-CN" w:bidi="en-AU"/>
              </w:rPr>
              <w:t>第一书记生活上无后顾之忧，放心大胆工作。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驻村干部人数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r>
              <w:rPr>
                <w:rFonts w:hint="eastAsia" w:ascii="宋体" w:hAnsi="宋体" w:cs="宋体"/>
                <w:i w:val="0"/>
                <w:iCs w:val="0"/>
                <w:color w:val="000000"/>
                <w:kern w:val="0"/>
                <w:sz w:val="24"/>
                <w:szCs w:val="24"/>
                <w:u w:val="none"/>
                <w:lang w:val="en-US" w:eastAsia="zh-CN" w:bidi="en-AU"/>
              </w:rPr>
              <w:t>1</w:t>
            </w:r>
            <w:r>
              <w:rPr>
                <w:rFonts w:hint="eastAsia" w:ascii="宋体" w:hAnsi="宋体" w:eastAsia="宋体" w:cs="宋体"/>
                <w:i w:val="0"/>
                <w:iCs w:val="0"/>
                <w:color w:val="000000"/>
                <w:kern w:val="0"/>
                <w:sz w:val="24"/>
                <w:szCs w:val="24"/>
                <w:u w:val="none"/>
                <w:lang w:val="en-US" w:eastAsia="zh-CN" w:bidi="en-AU"/>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1</w:t>
            </w:r>
            <w:r>
              <w:rPr>
                <w:rFonts w:hint="eastAsia" w:ascii="宋体" w:hAnsi="宋体" w:eastAsia="宋体" w:cs="宋体"/>
                <w:i w:val="0"/>
                <w:iCs w:val="0"/>
                <w:color w:val="000000"/>
                <w:kern w:val="0"/>
                <w:sz w:val="24"/>
                <w:szCs w:val="24"/>
                <w:u w:val="none"/>
                <w:lang w:val="en-US" w:eastAsia="zh-CN" w:bidi="en-AU"/>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结对帮扶责任人履职评估率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r>
              <w:rPr>
                <w:rFonts w:hint="eastAsia" w:ascii="宋体" w:hAnsi="宋体" w:cs="宋体"/>
                <w:i w:val="0"/>
                <w:iCs w:val="0"/>
                <w:color w:val="000000"/>
                <w:kern w:val="0"/>
                <w:sz w:val="24"/>
                <w:szCs w:val="24"/>
                <w:u w:val="none"/>
                <w:lang w:val="en-US" w:eastAsia="zh-CN" w:bidi="en-AU"/>
              </w:rPr>
              <w:t>90</w:t>
            </w: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100</w:t>
            </w: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驻村干部每月驻村时间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en-AU"/>
              </w:rPr>
              <w:t>≥</w:t>
            </w:r>
            <w:r>
              <w:rPr>
                <w:rFonts w:hint="eastAsia" w:ascii="宋体" w:hAnsi="宋体" w:cs="宋体"/>
                <w:i w:val="0"/>
                <w:iCs w:val="0"/>
                <w:color w:val="000000"/>
                <w:kern w:val="0"/>
                <w:sz w:val="24"/>
                <w:szCs w:val="24"/>
                <w:u w:val="none"/>
                <w:lang w:val="en-US" w:eastAsia="zh-CN" w:bidi="en-AU"/>
              </w:rPr>
              <w:t>20天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22天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服务群众满意度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r>
              <w:rPr>
                <w:rFonts w:hint="eastAsia" w:ascii="宋体" w:hAnsi="宋体" w:cs="宋体"/>
                <w:i w:val="0"/>
                <w:iCs w:val="0"/>
                <w:color w:val="000000"/>
                <w:kern w:val="0"/>
                <w:sz w:val="24"/>
                <w:szCs w:val="24"/>
                <w:u w:val="none"/>
                <w:lang w:val="en-US" w:eastAsia="zh-CN" w:bidi="en-AU"/>
              </w:rPr>
              <w:t>90</w:t>
            </w: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w:t>
            </w:r>
            <w:r>
              <w:rPr>
                <w:rFonts w:hint="eastAsia" w:ascii="宋体" w:hAnsi="宋体" w:cs="宋体"/>
                <w:i w:val="0"/>
                <w:iCs w:val="0"/>
                <w:color w:val="000000"/>
                <w:kern w:val="0"/>
                <w:sz w:val="24"/>
                <w:szCs w:val="24"/>
                <w:u w:val="none"/>
                <w:lang w:val="en-US" w:eastAsia="zh-CN" w:bidi="en-AU"/>
              </w:rPr>
              <w:t>5</w:t>
            </w: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bl>
    <w:p>
      <w:pPr>
        <w:pStyle w:val="10"/>
        <w:sectPr>
          <w:pgSz w:w="11906" w:h="16838"/>
          <w:pgMar w:top="1440" w:right="1800" w:bottom="1440" w:left="180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BFb7KC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EF102"/>
    <w:multiLevelType w:val="multilevel"/>
    <w:tmpl w:val="FFBEF102"/>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577BF5E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d0a7b667-78e2-47a3-8003-cdd98eb4caca"/>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 w:type="character" w:customStyle="1" w:styleId="12">
    <w:name w:val="默认段落字体1"/>
    <w:semiHidden/>
    <w:qFormat/>
    <w:uiPriority w:val="0"/>
  </w:style>
  <w:style w:type="character" w:customStyle="1" w:styleId="13">
    <w:name w:val="font21"/>
    <w:basedOn w:val="12"/>
    <w:qFormat/>
    <w:uiPriority w:val="0"/>
    <w:rPr>
      <w:rFonts w:hint="eastAsia" w:ascii="宋体" w:hAnsi="宋体" w:eastAsia="宋体" w:cs="宋体"/>
      <w:color w:val="000000"/>
      <w:sz w:val="24"/>
      <w:szCs w:val="24"/>
      <w:u w:val="none"/>
    </w:rPr>
  </w:style>
  <w:style w:type="character" w:customStyle="1" w:styleId="14">
    <w:name w:val="font3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6692</Words>
  <Characters>19224</Characters>
  <Lines>1</Lines>
  <Paragraphs>1</Paragraphs>
  <TotalTime>13</TotalTime>
  <ScaleCrop>false</ScaleCrop>
  <LinksUpToDate>false</LinksUpToDate>
  <CharactersWithSpaces>19466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2024-10-09T17:40:19Z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