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许昌市老干部教育中心（许昌市老年大学）单位决算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许昌市老干部教育中心（许昌市老年大学）概况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许昌市老干部教育中心（许昌市老年大学）概况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建设老干部学习教育阵地，发挥老干部优势作用。</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许昌市老干部教育中心（许昌市老年大学）内设机构2个,包括：办公室、教学科。</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从决算单位构成看，许昌市老干部教育中心（许昌市老年大学）单位决算包括：本级决算（1个）。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_GB2312" w:hAnsi="仿宋_GB2312" w:eastAsia="仿宋_GB2312" w:cs="仿宋_GB2312"/>
          <w:kern w:val="0"/>
          <w:sz w:val="32"/>
          <w:szCs w:val="32"/>
          <w:lang w:val="en-US" w:eastAsia="zh-CN"/>
        </w:rPr>
        <w:t>1.许昌市老干部教育中心（许昌市老年大学）</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单位：许昌市老干部教育中心（许昌市老年大学）</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3"/>
            <w:vAlign w:val="center"/>
          </w:tcPr>
          <w:p>
            <w:pPr>
              <w:jc w:val="center"/>
            </w:pPr>
            <w:r>
              <w:rPr>
                <w:rFonts w:ascii="宋体" w:hAnsi="宋体" w:eastAsia="宋体" w:cs="宋体"/>
                <w:b w:val="0"/>
                <w:i w:val="0"/>
                <w:color w:val="000000"/>
                <w:sz w:val="21"/>
              </w:rPr>
              <w:t>收入</w:t>
            </w:r>
          </w:p>
        </w:tc>
        <w:tc>
          <w:tcPr>
            <w:tcW w:w="418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40" w:type="dxa"/>
            <w:vAlign w:val="center"/>
          </w:tcPr>
          <w:p>
            <w:pPr>
              <w:jc w:val="center"/>
            </w:pPr>
            <w:r>
              <w:rPr>
                <w:rFonts w:ascii="宋体" w:hAnsi="宋体" w:eastAsia="宋体" w:cs="宋体"/>
                <w:b w:val="0"/>
                <w:i w:val="0"/>
                <w:color w:val="000000"/>
                <w:sz w:val="21"/>
              </w:rPr>
              <w:t>金额</w:t>
            </w:r>
          </w:p>
        </w:tc>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3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40" w:type="dxa"/>
            <w:vAlign w:val="center"/>
          </w:tcPr>
          <w:p>
            <w:pPr>
              <w:jc w:val="center"/>
            </w:pPr>
            <w:r>
              <w:rPr>
                <w:rFonts w:ascii="宋体" w:hAnsi="宋体" w:eastAsia="宋体" w:cs="宋体"/>
                <w:b w:val="0"/>
                <w:i w:val="0"/>
                <w:color w:val="000000"/>
                <w:sz w:val="21"/>
              </w:rPr>
              <w:t>1</w:t>
            </w:r>
          </w:p>
        </w:tc>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3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一、一般公共预算财政拨款收入</w:t>
            </w:r>
          </w:p>
        </w:tc>
        <w:tc>
          <w:tcPr>
            <w:tcW w:w="560" w:type="dxa"/>
            <w:vAlign w:val="center"/>
          </w:tcPr>
          <w:p>
            <w:pPr>
              <w:jc w:val="center"/>
            </w:pPr>
            <w:r>
              <w:rPr>
                <w:rFonts w:ascii="宋体" w:hAnsi="宋体" w:eastAsia="宋体" w:cs="宋体"/>
                <w:b w:val="0"/>
                <w:i w:val="0"/>
                <w:color w:val="000000"/>
                <w:sz w:val="21"/>
              </w:rPr>
              <w:t>1</w:t>
            </w:r>
          </w:p>
        </w:tc>
        <w:tc>
          <w:tcPr>
            <w:tcW w:w="2240" w:type="dxa"/>
            <w:vAlign w:val="center"/>
          </w:tcPr>
          <w:p>
            <w:pPr>
              <w:jc w:val="right"/>
            </w:pPr>
            <w:r>
              <w:rPr>
                <w:rFonts w:ascii="宋体" w:hAnsi="宋体" w:eastAsia="宋体" w:cs="宋体"/>
                <w:b w:val="0"/>
                <w:i w:val="0"/>
                <w:color w:val="000000"/>
                <w:sz w:val="21"/>
              </w:rPr>
              <w:t>163.06</w:t>
            </w:r>
          </w:p>
        </w:tc>
        <w:tc>
          <w:tcPr>
            <w:tcW w:w="4180" w:type="dxa"/>
            <w:vAlign w:val="center"/>
          </w:tcPr>
          <w:p>
            <w:pPr>
              <w:jc w:val="left"/>
            </w:pPr>
            <w:r>
              <w:rPr>
                <w:rFonts w:ascii="宋体" w:hAnsi="宋体" w:eastAsia="宋体" w:cs="宋体"/>
                <w:b w:val="0"/>
                <w:i w:val="0"/>
                <w:color w:val="000000"/>
                <w:sz w:val="21"/>
              </w:rPr>
              <w:t>一、一般公共服务支出</w:t>
            </w:r>
          </w:p>
        </w:tc>
        <w:tc>
          <w:tcPr>
            <w:tcW w:w="560" w:type="dxa"/>
            <w:vAlign w:val="center"/>
          </w:tcPr>
          <w:p>
            <w:pPr>
              <w:jc w:val="center"/>
            </w:pPr>
            <w:r>
              <w:rPr>
                <w:rFonts w:ascii="宋体" w:hAnsi="宋体" w:eastAsia="宋体" w:cs="宋体"/>
                <w:b w:val="0"/>
                <w:i w:val="0"/>
                <w:color w:val="000000"/>
                <w:sz w:val="21"/>
              </w:rPr>
              <w:t>32</w:t>
            </w:r>
          </w:p>
        </w:tc>
        <w:tc>
          <w:tcPr>
            <w:tcW w:w="2238" w:type="dxa"/>
            <w:vAlign w:val="center"/>
          </w:tcPr>
          <w:p>
            <w:pPr>
              <w:jc w:val="right"/>
            </w:pPr>
            <w:r>
              <w:rPr>
                <w:rFonts w:ascii="宋体" w:hAnsi="宋体" w:eastAsia="宋体" w:cs="宋体"/>
                <w:b w:val="0"/>
                <w:i w:val="0"/>
                <w:color w:val="000000"/>
                <w:sz w:val="21"/>
              </w:rPr>
              <w:t>180.14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二、政府性基金预算财政拨款收入</w:t>
            </w:r>
          </w:p>
        </w:tc>
        <w:tc>
          <w:tcPr>
            <w:tcW w:w="560" w:type="dxa"/>
            <w:vAlign w:val="center"/>
          </w:tcPr>
          <w:p>
            <w:pPr>
              <w:jc w:val="center"/>
            </w:pPr>
            <w:r>
              <w:rPr>
                <w:rFonts w:ascii="宋体" w:hAnsi="宋体" w:eastAsia="宋体" w:cs="宋体"/>
                <w:b w:val="0"/>
                <w:i w:val="0"/>
                <w:color w:val="000000"/>
                <w:sz w:val="21"/>
              </w:rPr>
              <w:t>2</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二、外交支出</w:t>
            </w:r>
          </w:p>
        </w:tc>
        <w:tc>
          <w:tcPr>
            <w:tcW w:w="560" w:type="dxa"/>
            <w:vAlign w:val="center"/>
          </w:tcPr>
          <w:p>
            <w:pPr>
              <w:jc w:val="center"/>
            </w:pPr>
            <w:r>
              <w:rPr>
                <w:rFonts w:ascii="宋体" w:hAnsi="宋体" w:eastAsia="宋体" w:cs="宋体"/>
                <w:b w:val="0"/>
                <w:i w:val="0"/>
                <w:color w:val="000000"/>
                <w:sz w:val="21"/>
              </w:rPr>
              <w:t>33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三、国有资本经营预算财政拨款收入</w:t>
            </w:r>
          </w:p>
        </w:tc>
        <w:tc>
          <w:tcPr>
            <w:tcW w:w="560" w:type="dxa"/>
            <w:vAlign w:val="center"/>
          </w:tcPr>
          <w:p>
            <w:pPr>
              <w:jc w:val="center"/>
            </w:pPr>
            <w:r>
              <w:rPr>
                <w:rFonts w:ascii="宋体" w:hAnsi="宋体" w:eastAsia="宋体" w:cs="宋体"/>
                <w:b w:val="0"/>
                <w:i w:val="0"/>
                <w:color w:val="000000"/>
                <w:sz w:val="21"/>
              </w:rPr>
              <w:t>3</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三、国防支出</w:t>
            </w:r>
          </w:p>
        </w:tc>
        <w:tc>
          <w:tcPr>
            <w:tcW w:w="560" w:type="dxa"/>
            <w:vAlign w:val="center"/>
          </w:tcPr>
          <w:p>
            <w:pPr>
              <w:jc w:val="center"/>
            </w:pPr>
            <w:r>
              <w:rPr>
                <w:rFonts w:ascii="宋体" w:hAnsi="宋体" w:eastAsia="宋体" w:cs="宋体"/>
                <w:b w:val="0"/>
                <w:i w:val="0"/>
                <w:color w:val="000000"/>
                <w:sz w:val="21"/>
              </w:rPr>
              <w:t>34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四、上级补助收入</w:t>
            </w:r>
          </w:p>
        </w:tc>
        <w:tc>
          <w:tcPr>
            <w:tcW w:w="560" w:type="dxa"/>
            <w:vAlign w:val="center"/>
          </w:tcPr>
          <w:p>
            <w:pPr>
              <w:jc w:val="center"/>
            </w:pPr>
            <w:r>
              <w:rPr>
                <w:rFonts w:ascii="宋体" w:hAnsi="宋体" w:eastAsia="宋体" w:cs="宋体"/>
                <w:b w:val="0"/>
                <w:i w:val="0"/>
                <w:color w:val="000000"/>
                <w:sz w:val="21"/>
              </w:rPr>
              <w:t>4</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四、公共安全支出</w:t>
            </w:r>
          </w:p>
        </w:tc>
        <w:tc>
          <w:tcPr>
            <w:tcW w:w="560" w:type="dxa"/>
            <w:vAlign w:val="center"/>
          </w:tcPr>
          <w:p>
            <w:pPr>
              <w:jc w:val="center"/>
            </w:pPr>
            <w:r>
              <w:rPr>
                <w:rFonts w:ascii="宋体" w:hAnsi="宋体" w:eastAsia="宋体" w:cs="宋体"/>
                <w:b w:val="0"/>
                <w:i w:val="0"/>
                <w:color w:val="000000"/>
                <w:sz w:val="21"/>
              </w:rPr>
              <w:t>35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五、事业收入</w:t>
            </w:r>
          </w:p>
        </w:tc>
        <w:tc>
          <w:tcPr>
            <w:tcW w:w="560" w:type="dxa"/>
            <w:vAlign w:val="center"/>
          </w:tcPr>
          <w:p>
            <w:pPr>
              <w:jc w:val="center"/>
            </w:pPr>
            <w:r>
              <w:rPr>
                <w:rFonts w:ascii="宋体" w:hAnsi="宋体" w:eastAsia="宋体" w:cs="宋体"/>
                <w:b w:val="0"/>
                <w:i w:val="0"/>
                <w:color w:val="000000"/>
                <w:sz w:val="21"/>
              </w:rPr>
              <w:t>5</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五、教育支出</w:t>
            </w:r>
          </w:p>
        </w:tc>
        <w:tc>
          <w:tcPr>
            <w:tcW w:w="560" w:type="dxa"/>
            <w:vAlign w:val="center"/>
          </w:tcPr>
          <w:p>
            <w:pPr>
              <w:jc w:val="center"/>
            </w:pPr>
            <w:r>
              <w:rPr>
                <w:rFonts w:ascii="宋体" w:hAnsi="宋体" w:eastAsia="宋体" w:cs="宋体"/>
                <w:b w:val="0"/>
                <w:i w:val="0"/>
                <w:color w:val="000000"/>
                <w:sz w:val="21"/>
              </w:rPr>
              <w:t>36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六、经营收入</w:t>
            </w:r>
          </w:p>
        </w:tc>
        <w:tc>
          <w:tcPr>
            <w:tcW w:w="560" w:type="dxa"/>
            <w:vAlign w:val="center"/>
          </w:tcPr>
          <w:p>
            <w:pPr>
              <w:jc w:val="center"/>
            </w:pPr>
            <w:r>
              <w:rPr>
                <w:rFonts w:ascii="宋体" w:hAnsi="宋体" w:eastAsia="宋体" w:cs="宋体"/>
                <w:b w:val="0"/>
                <w:i w:val="0"/>
                <w:color w:val="000000"/>
                <w:sz w:val="21"/>
              </w:rPr>
              <w:t>6</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六、科学技术支出</w:t>
            </w:r>
          </w:p>
        </w:tc>
        <w:tc>
          <w:tcPr>
            <w:tcW w:w="560" w:type="dxa"/>
            <w:vAlign w:val="center"/>
          </w:tcPr>
          <w:p>
            <w:pPr>
              <w:jc w:val="center"/>
            </w:pPr>
            <w:r>
              <w:rPr>
                <w:rFonts w:ascii="宋体" w:hAnsi="宋体" w:eastAsia="宋体" w:cs="宋体"/>
                <w:b w:val="0"/>
                <w:i w:val="0"/>
                <w:color w:val="000000"/>
                <w:sz w:val="21"/>
              </w:rPr>
              <w:t>37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七、附属单位上缴收入</w:t>
            </w:r>
          </w:p>
        </w:tc>
        <w:tc>
          <w:tcPr>
            <w:tcW w:w="560" w:type="dxa"/>
            <w:vAlign w:val="center"/>
          </w:tcPr>
          <w:p>
            <w:pPr>
              <w:jc w:val="center"/>
            </w:pPr>
            <w:r>
              <w:rPr>
                <w:rFonts w:ascii="宋体" w:hAnsi="宋体" w:eastAsia="宋体" w:cs="宋体"/>
                <w:b w:val="0"/>
                <w:i w:val="0"/>
                <w:color w:val="000000"/>
                <w:sz w:val="21"/>
              </w:rPr>
              <w:t>7</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七、文化旅游体育与传媒支出</w:t>
            </w:r>
          </w:p>
        </w:tc>
        <w:tc>
          <w:tcPr>
            <w:tcW w:w="560" w:type="dxa"/>
            <w:vAlign w:val="center"/>
          </w:tcPr>
          <w:p>
            <w:pPr>
              <w:jc w:val="center"/>
            </w:pPr>
            <w:r>
              <w:rPr>
                <w:rFonts w:ascii="宋体" w:hAnsi="宋体" w:eastAsia="宋体" w:cs="宋体"/>
                <w:b w:val="0"/>
                <w:i w:val="0"/>
                <w:color w:val="000000"/>
                <w:sz w:val="21"/>
              </w:rPr>
              <w:t>38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八、其他收入</w:t>
            </w:r>
          </w:p>
        </w:tc>
        <w:tc>
          <w:tcPr>
            <w:tcW w:w="560" w:type="dxa"/>
            <w:vAlign w:val="center"/>
          </w:tcPr>
          <w:p>
            <w:pPr>
              <w:jc w:val="center"/>
            </w:pPr>
            <w:r>
              <w:rPr>
                <w:rFonts w:ascii="宋体" w:hAnsi="宋体" w:eastAsia="宋体" w:cs="宋体"/>
                <w:b w:val="0"/>
                <w:i w:val="0"/>
                <w:color w:val="000000"/>
                <w:sz w:val="21"/>
              </w:rPr>
              <w:t>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八、社会保障和就业支出</w:t>
            </w:r>
          </w:p>
        </w:tc>
        <w:tc>
          <w:tcPr>
            <w:tcW w:w="560" w:type="dxa"/>
            <w:vAlign w:val="center"/>
          </w:tcPr>
          <w:p>
            <w:pPr>
              <w:jc w:val="center"/>
            </w:pPr>
            <w:r>
              <w:rPr>
                <w:rFonts w:ascii="宋体" w:hAnsi="宋体" w:eastAsia="宋体" w:cs="宋体"/>
                <w:b w:val="0"/>
                <w:i w:val="0"/>
                <w:color w:val="000000"/>
                <w:sz w:val="21"/>
              </w:rPr>
              <w:t>39</w:t>
            </w:r>
          </w:p>
        </w:tc>
        <w:tc>
          <w:tcPr>
            <w:tcW w:w="2238" w:type="dxa"/>
            <w:vAlign w:val="center"/>
          </w:tcPr>
          <w:p>
            <w:pPr>
              <w:jc w:val="right"/>
            </w:pPr>
            <w:r>
              <w:rPr>
                <w:rFonts w:ascii="宋体" w:hAnsi="宋体" w:eastAsia="宋体" w:cs="宋体"/>
                <w:b w:val="0"/>
                <w:i w:val="0"/>
                <w:color w:val="000000"/>
                <w:sz w:val="21"/>
              </w:rPr>
              <w:t>7.25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九、卫生健康支出</w:t>
            </w:r>
          </w:p>
        </w:tc>
        <w:tc>
          <w:tcPr>
            <w:tcW w:w="560" w:type="dxa"/>
            <w:vAlign w:val="center"/>
          </w:tcPr>
          <w:p>
            <w:pPr>
              <w:jc w:val="center"/>
            </w:pPr>
            <w:r>
              <w:rPr>
                <w:rFonts w:ascii="宋体" w:hAnsi="宋体" w:eastAsia="宋体" w:cs="宋体"/>
                <w:b w:val="0"/>
                <w:i w:val="0"/>
                <w:color w:val="000000"/>
                <w:sz w:val="21"/>
              </w:rPr>
              <w:t>40</w:t>
            </w:r>
          </w:p>
        </w:tc>
        <w:tc>
          <w:tcPr>
            <w:tcW w:w="2238" w:type="dxa"/>
            <w:vAlign w:val="center"/>
          </w:tcPr>
          <w:p>
            <w:pPr>
              <w:jc w:val="right"/>
            </w:pPr>
            <w:r>
              <w:rPr>
                <w:rFonts w:ascii="宋体" w:hAnsi="宋体" w:eastAsia="宋体" w:cs="宋体"/>
                <w:b w:val="0"/>
                <w:i w:val="0"/>
                <w:color w:val="000000"/>
                <w:sz w:val="21"/>
              </w:rPr>
              <w:t>8.09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十、节能环保支出</w:t>
            </w:r>
          </w:p>
        </w:tc>
        <w:tc>
          <w:tcPr>
            <w:tcW w:w="560" w:type="dxa"/>
            <w:vAlign w:val="center"/>
          </w:tcPr>
          <w:p>
            <w:pPr>
              <w:jc w:val="center"/>
            </w:pPr>
            <w:r>
              <w:rPr>
                <w:rFonts w:ascii="宋体" w:hAnsi="宋体" w:eastAsia="宋体" w:cs="宋体"/>
                <w:b w:val="0"/>
                <w:i w:val="0"/>
                <w:color w:val="000000"/>
                <w:sz w:val="21"/>
              </w:rPr>
              <w:t>41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十一、城乡社区支出</w:t>
            </w:r>
          </w:p>
        </w:tc>
        <w:tc>
          <w:tcPr>
            <w:tcW w:w="560" w:type="dxa"/>
            <w:vAlign w:val="center"/>
          </w:tcPr>
          <w:p>
            <w:pPr>
              <w:jc w:val="center"/>
            </w:pPr>
            <w:r>
              <w:rPr>
                <w:rFonts w:ascii="宋体" w:hAnsi="宋体" w:eastAsia="宋体" w:cs="宋体"/>
                <w:b w:val="0"/>
                <w:i w:val="0"/>
                <w:color w:val="000000"/>
                <w:sz w:val="21"/>
              </w:rPr>
              <w:t>42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十二、农林水支出</w:t>
            </w:r>
          </w:p>
        </w:tc>
        <w:tc>
          <w:tcPr>
            <w:tcW w:w="560" w:type="dxa"/>
            <w:vAlign w:val="center"/>
          </w:tcPr>
          <w:p>
            <w:pPr>
              <w:jc w:val="center"/>
            </w:pPr>
            <w:r>
              <w:rPr>
                <w:rFonts w:ascii="宋体" w:hAnsi="宋体" w:eastAsia="宋体" w:cs="宋体"/>
                <w:b w:val="0"/>
                <w:i w:val="0"/>
                <w:color w:val="000000"/>
                <w:sz w:val="21"/>
              </w:rPr>
              <w:t>43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十三、交通运输支出</w:t>
            </w:r>
          </w:p>
        </w:tc>
        <w:tc>
          <w:tcPr>
            <w:tcW w:w="560" w:type="dxa"/>
            <w:vAlign w:val="center"/>
          </w:tcPr>
          <w:p>
            <w:pPr>
              <w:jc w:val="center"/>
            </w:pPr>
            <w:r>
              <w:rPr>
                <w:rFonts w:ascii="宋体" w:hAnsi="宋体" w:eastAsia="宋体" w:cs="宋体"/>
                <w:b w:val="0"/>
                <w:i w:val="0"/>
                <w:color w:val="000000"/>
                <w:sz w:val="21"/>
              </w:rPr>
              <w:t>44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十四、资源勘探工业信息等支出</w:t>
            </w:r>
          </w:p>
        </w:tc>
        <w:tc>
          <w:tcPr>
            <w:tcW w:w="560" w:type="dxa"/>
            <w:vAlign w:val="center"/>
          </w:tcPr>
          <w:p>
            <w:pPr>
              <w:jc w:val="center"/>
            </w:pPr>
            <w:r>
              <w:rPr>
                <w:rFonts w:ascii="宋体" w:hAnsi="宋体" w:eastAsia="宋体" w:cs="宋体"/>
                <w:b w:val="0"/>
                <w:i w:val="0"/>
                <w:color w:val="000000"/>
                <w:sz w:val="21"/>
              </w:rPr>
              <w:t>45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十五、商业服务业等支出</w:t>
            </w:r>
          </w:p>
        </w:tc>
        <w:tc>
          <w:tcPr>
            <w:tcW w:w="560" w:type="dxa"/>
            <w:vAlign w:val="center"/>
          </w:tcPr>
          <w:p>
            <w:pPr>
              <w:jc w:val="center"/>
            </w:pPr>
            <w:r>
              <w:rPr>
                <w:rFonts w:ascii="宋体" w:hAnsi="宋体" w:eastAsia="宋体" w:cs="宋体"/>
                <w:b w:val="0"/>
                <w:i w:val="0"/>
                <w:color w:val="000000"/>
                <w:sz w:val="21"/>
              </w:rPr>
              <w:t>46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十六、金融支出</w:t>
            </w:r>
          </w:p>
        </w:tc>
        <w:tc>
          <w:tcPr>
            <w:tcW w:w="560" w:type="dxa"/>
            <w:vAlign w:val="center"/>
          </w:tcPr>
          <w:p>
            <w:pPr>
              <w:jc w:val="center"/>
            </w:pPr>
            <w:r>
              <w:rPr>
                <w:rFonts w:ascii="宋体" w:hAnsi="宋体" w:eastAsia="宋体" w:cs="宋体"/>
                <w:b w:val="0"/>
                <w:i w:val="0"/>
                <w:color w:val="000000"/>
                <w:sz w:val="21"/>
              </w:rPr>
              <w:t>47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17</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十七、援助其他地区支出</w:t>
            </w:r>
          </w:p>
        </w:tc>
        <w:tc>
          <w:tcPr>
            <w:tcW w:w="560" w:type="dxa"/>
            <w:vAlign w:val="center"/>
          </w:tcPr>
          <w:p>
            <w:pPr>
              <w:jc w:val="center"/>
            </w:pPr>
            <w:r>
              <w:rPr>
                <w:rFonts w:ascii="宋体" w:hAnsi="宋体" w:eastAsia="宋体" w:cs="宋体"/>
                <w:b w:val="0"/>
                <w:i w:val="0"/>
                <w:color w:val="000000"/>
                <w:sz w:val="21"/>
              </w:rPr>
              <w:t>48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18</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十八、自然资源海洋气象等支出</w:t>
            </w:r>
          </w:p>
        </w:tc>
        <w:tc>
          <w:tcPr>
            <w:tcW w:w="560" w:type="dxa"/>
            <w:vAlign w:val="center"/>
          </w:tcPr>
          <w:p>
            <w:pPr>
              <w:jc w:val="center"/>
            </w:pPr>
            <w:r>
              <w:rPr>
                <w:rFonts w:ascii="宋体" w:hAnsi="宋体" w:eastAsia="宋体" w:cs="宋体"/>
                <w:b w:val="0"/>
                <w:i w:val="0"/>
                <w:color w:val="000000"/>
                <w:sz w:val="21"/>
              </w:rPr>
              <w:t>49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十九、住房保障支出</w:t>
            </w:r>
          </w:p>
        </w:tc>
        <w:tc>
          <w:tcPr>
            <w:tcW w:w="560" w:type="dxa"/>
            <w:vAlign w:val="center"/>
          </w:tcPr>
          <w:p>
            <w:pPr>
              <w:jc w:val="center"/>
            </w:pPr>
            <w:r>
              <w:rPr>
                <w:rFonts w:ascii="宋体" w:hAnsi="宋体" w:eastAsia="宋体" w:cs="宋体"/>
                <w:b w:val="0"/>
                <w:i w:val="0"/>
                <w:color w:val="000000"/>
                <w:sz w:val="21"/>
              </w:rPr>
              <w:t>50</w:t>
            </w:r>
          </w:p>
        </w:tc>
        <w:tc>
          <w:tcPr>
            <w:tcW w:w="2238" w:type="dxa"/>
            <w:vAlign w:val="center"/>
          </w:tcPr>
          <w:p>
            <w:pPr>
              <w:jc w:val="right"/>
            </w:pPr>
            <w:r>
              <w:rPr>
                <w:rFonts w:ascii="宋体" w:hAnsi="宋体" w:eastAsia="宋体" w:cs="宋体"/>
                <w:b w:val="0"/>
                <w:i w:val="0"/>
                <w:color w:val="000000"/>
                <w:sz w:val="21"/>
              </w:rPr>
              <w:t>7.16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二十、粮油物资储备支出</w:t>
            </w:r>
          </w:p>
        </w:tc>
        <w:tc>
          <w:tcPr>
            <w:tcW w:w="560" w:type="dxa"/>
            <w:vAlign w:val="center"/>
          </w:tcPr>
          <w:p>
            <w:pPr>
              <w:jc w:val="center"/>
            </w:pPr>
            <w:r>
              <w:rPr>
                <w:rFonts w:ascii="宋体" w:hAnsi="宋体" w:eastAsia="宋体" w:cs="宋体"/>
                <w:b w:val="0"/>
                <w:i w:val="0"/>
                <w:color w:val="000000"/>
                <w:sz w:val="21"/>
              </w:rPr>
              <w:t>51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二十一、国有资本经营预算支出</w:t>
            </w:r>
          </w:p>
        </w:tc>
        <w:tc>
          <w:tcPr>
            <w:tcW w:w="560" w:type="dxa"/>
            <w:vAlign w:val="center"/>
          </w:tcPr>
          <w:p>
            <w:pPr>
              <w:jc w:val="center"/>
            </w:pPr>
            <w:r>
              <w:rPr>
                <w:rFonts w:ascii="宋体" w:hAnsi="宋体" w:eastAsia="宋体" w:cs="宋体"/>
                <w:b w:val="0"/>
                <w:i w:val="0"/>
                <w:color w:val="000000"/>
                <w:sz w:val="21"/>
              </w:rPr>
              <w:t>52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二十二、灾害防治及应急管理支出</w:t>
            </w:r>
          </w:p>
        </w:tc>
        <w:tc>
          <w:tcPr>
            <w:tcW w:w="560" w:type="dxa"/>
            <w:vAlign w:val="center"/>
          </w:tcPr>
          <w:p>
            <w:pPr>
              <w:jc w:val="center"/>
            </w:pPr>
            <w:r>
              <w:rPr>
                <w:rFonts w:ascii="宋体" w:hAnsi="宋体" w:eastAsia="宋体" w:cs="宋体"/>
                <w:b w:val="0"/>
                <w:i w:val="0"/>
                <w:color w:val="000000"/>
                <w:sz w:val="21"/>
              </w:rPr>
              <w:t>53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二十三、其他支出</w:t>
            </w:r>
          </w:p>
        </w:tc>
        <w:tc>
          <w:tcPr>
            <w:tcW w:w="560" w:type="dxa"/>
            <w:vAlign w:val="center"/>
          </w:tcPr>
          <w:p>
            <w:pPr>
              <w:jc w:val="center"/>
            </w:pPr>
            <w:r>
              <w:rPr>
                <w:rFonts w:ascii="宋体" w:hAnsi="宋体" w:eastAsia="宋体" w:cs="宋体"/>
                <w:b w:val="0"/>
                <w:i w:val="0"/>
                <w:color w:val="000000"/>
                <w:sz w:val="21"/>
              </w:rPr>
              <w:t>54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二十四、债务还本支出</w:t>
            </w:r>
          </w:p>
        </w:tc>
        <w:tc>
          <w:tcPr>
            <w:tcW w:w="560" w:type="dxa"/>
            <w:vAlign w:val="center"/>
          </w:tcPr>
          <w:p>
            <w:pPr>
              <w:jc w:val="center"/>
            </w:pPr>
            <w:r>
              <w:rPr>
                <w:rFonts w:ascii="宋体" w:hAnsi="宋体" w:eastAsia="宋体" w:cs="宋体"/>
                <w:b w:val="0"/>
                <w:i w:val="0"/>
                <w:color w:val="000000"/>
                <w:sz w:val="21"/>
              </w:rPr>
              <w:t>55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二十五、债务付息支出</w:t>
            </w:r>
          </w:p>
        </w:tc>
        <w:tc>
          <w:tcPr>
            <w:tcW w:w="560" w:type="dxa"/>
            <w:vAlign w:val="center"/>
          </w:tcPr>
          <w:p>
            <w:pPr>
              <w:jc w:val="center"/>
            </w:pPr>
            <w:r>
              <w:rPr>
                <w:rFonts w:ascii="宋体" w:hAnsi="宋体" w:eastAsia="宋体" w:cs="宋体"/>
                <w:b w:val="0"/>
                <w:i w:val="0"/>
                <w:color w:val="000000"/>
                <w:sz w:val="21"/>
              </w:rPr>
              <w:t>56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二十六、抗疫特别国债安排的支出</w:t>
            </w:r>
          </w:p>
        </w:tc>
        <w:tc>
          <w:tcPr>
            <w:tcW w:w="560" w:type="dxa"/>
            <w:vAlign w:val="center"/>
          </w:tcPr>
          <w:p>
            <w:pPr>
              <w:jc w:val="center"/>
            </w:pPr>
            <w:r>
              <w:rPr>
                <w:rFonts w:ascii="宋体" w:hAnsi="宋体" w:eastAsia="宋体" w:cs="宋体"/>
                <w:b w:val="0"/>
                <w:i w:val="0"/>
                <w:color w:val="000000"/>
                <w:sz w:val="21"/>
              </w:rPr>
              <w:t>57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本年收入合计</w:t>
            </w:r>
          </w:p>
        </w:tc>
        <w:tc>
          <w:tcPr>
            <w:tcW w:w="560" w:type="dxa"/>
            <w:vAlign w:val="center"/>
          </w:tcPr>
          <w:p>
            <w:pPr>
              <w:jc w:val="center"/>
            </w:pPr>
            <w:r>
              <w:rPr>
                <w:rFonts w:ascii="宋体" w:hAnsi="宋体" w:eastAsia="宋体" w:cs="宋体"/>
                <w:b w:val="0"/>
                <w:i w:val="0"/>
                <w:color w:val="000000"/>
                <w:sz w:val="21"/>
              </w:rPr>
              <w:t>27</w:t>
            </w:r>
          </w:p>
        </w:tc>
        <w:tc>
          <w:tcPr>
            <w:tcW w:w="2240" w:type="dxa"/>
            <w:vAlign w:val="center"/>
          </w:tcPr>
          <w:p>
            <w:pPr>
              <w:jc w:val="right"/>
            </w:pPr>
            <w:r>
              <w:rPr>
                <w:rFonts w:ascii="宋体" w:hAnsi="宋体" w:eastAsia="宋体" w:cs="宋体"/>
                <w:b w:val="0"/>
                <w:i w:val="0"/>
                <w:color w:val="000000"/>
                <w:sz w:val="21"/>
              </w:rPr>
              <w:t>163.06</w:t>
            </w:r>
          </w:p>
        </w:tc>
        <w:tc>
          <w:tcPr>
            <w:tcW w:w="4180" w:type="dxa"/>
            <w:vAlign w:val="center"/>
          </w:tcPr>
          <w:p>
            <w:pPr>
              <w:jc w:val="center"/>
            </w:pPr>
            <w:r>
              <w:rPr>
                <w:rFonts w:ascii="宋体" w:hAnsi="宋体" w:eastAsia="宋体" w:cs="宋体"/>
                <w:b/>
                <w:i w:val="0"/>
                <w:color w:val="000000"/>
                <w:sz w:val="21"/>
              </w:rPr>
              <w:t>本年支出合计</w:t>
            </w:r>
          </w:p>
        </w:tc>
        <w:tc>
          <w:tcPr>
            <w:tcW w:w="560" w:type="dxa"/>
            <w:vAlign w:val="center"/>
          </w:tcPr>
          <w:p>
            <w:pPr>
              <w:jc w:val="center"/>
            </w:pPr>
            <w:r>
              <w:rPr>
                <w:rFonts w:ascii="宋体" w:hAnsi="宋体" w:eastAsia="宋体" w:cs="宋体"/>
                <w:b w:val="0"/>
                <w:i w:val="0"/>
                <w:color w:val="000000"/>
                <w:sz w:val="21"/>
              </w:rPr>
              <w:t>58</w:t>
            </w:r>
          </w:p>
        </w:tc>
        <w:tc>
          <w:tcPr>
            <w:tcW w:w="2238" w:type="dxa"/>
            <w:vAlign w:val="center"/>
          </w:tcPr>
          <w:p>
            <w:pPr>
              <w:jc w:val="right"/>
            </w:pPr>
            <w:r>
              <w:rPr>
                <w:rFonts w:ascii="宋体" w:hAnsi="宋体" w:eastAsia="宋体" w:cs="宋体"/>
                <w:b w:val="0"/>
                <w:i w:val="0"/>
                <w:color w:val="000000"/>
                <w:sz w:val="21"/>
              </w:rPr>
              <w:t>202.65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使用非财政拨款结余和专用结余</w:t>
            </w:r>
          </w:p>
        </w:tc>
        <w:tc>
          <w:tcPr>
            <w:tcW w:w="560" w:type="dxa"/>
            <w:vAlign w:val="center"/>
          </w:tcPr>
          <w:p>
            <w:pPr>
              <w:jc w:val="center"/>
            </w:pPr>
            <w:r>
              <w:rPr>
                <w:rFonts w:ascii="宋体" w:hAnsi="宋体" w:eastAsia="宋体" w:cs="宋体"/>
                <w:b w:val="0"/>
                <w:i w:val="0"/>
                <w:color w:val="000000"/>
                <w:sz w:val="21"/>
              </w:rPr>
              <w:t>28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结余分配</w:t>
            </w:r>
          </w:p>
        </w:tc>
        <w:tc>
          <w:tcPr>
            <w:tcW w:w="560" w:type="dxa"/>
            <w:vAlign w:val="center"/>
          </w:tcPr>
          <w:p>
            <w:pPr>
              <w:jc w:val="center"/>
            </w:pPr>
            <w:r>
              <w:rPr>
                <w:rFonts w:ascii="宋体" w:hAnsi="宋体" w:eastAsia="宋体" w:cs="宋体"/>
                <w:b w:val="0"/>
                <w:i w:val="0"/>
                <w:color w:val="000000"/>
                <w:sz w:val="21"/>
              </w:rPr>
              <w:t>59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年初结转和结余</w:t>
            </w:r>
          </w:p>
        </w:tc>
        <w:tc>
          <w:tcPr>
            <w:tcW w:w="560" w:type="dxa"/>
            <w:vAlign w:val="center"/>
          </w:tcPr>
          <w:p>
            <w:pPr>
              <w:jc w:val="center"/>
            </w:pPr>
            <w:r>
              <w:rPr>
                <w:rFonts w:ascii="宋体" w:hAnsi="宋体" w:eastAsia="宋体" w:cs="宋体"/>
                <w:b w:val="0"/>
                <w:i w:val="0"/>
                <w:color w:val="000000"/>
                <w:sz w:val="21"/>
              </w:rPr>
              <w:t>29</w:t>
            </w:r>
          </w:p>
        </w:tc>
        <w:tc>
          <w:tcPr>
            <w:tcW w:w="2240" w:type="dxa"/>
            <w:vAlign w:val="center"/>
          </w:tcPr>
          <w:p>
            <w:pPr>
              <w:jc w:val="right"/>
            </w:pPr>
            <w:r>
              <w:rPr>
                <w:rFonts w:ascii="宋体" w:hAnsi="宋体" w:eastAsia="宋体" w:cs="宋体"/>
                <w:b w:val="0"/>
                <w:i w:val="0"/>
                <w:color w:val="000000"/>
                <w:sz w:val="21"/>
              </w:rPr>
              <w:t>39.59</w:t>
            </w:r>
          </w:p>
        </w:tc>
        <w:tc>
          <w:tcPr>
            <w:tcW w:w="4180" w:type="dxa"/>
            <w:vAlign w:val="center"/>
          </w:tcPr>
          <w:p>
            <w:pPr>
              <w:jc w:val="left"/>
            </w:pPr>
            <w:r>
              <w:rPr>
                <w:rFonts w:ascii="宋体" w:hAnsi="宋体" w:eastAsia="宋体" w:cs="宋体"/>
                <w:b w:val="0"/>
                <w:i w:val="0"/>
                <w:color w:val="000000"/>
                <w:sz w:val="21"/>
              </w:rPr>
              <w:t>年末结转和结余</w:t>
            </w:r>
          </w:p>
        </w:tc>
        <w:tc>
          <w:tcPr>
            <w:tcW w:w="560" w:type="dxa"/>
            <w:vAlign w:val="center"/>
          </w:tcPr>
          <w:p>
            <w:pPr>
              <w:jc w:val="center"/>
            </w:pPr>
            <w:r>
              <w:rPr>
                <w:rFonts w:ascii="宋体" w:hAnsi="宋体" w:eastAsia="宋体" w:cs="宋体"/>
                <w:b w:val="0"/>
                <w:i w:val="0"/>
                <w:color w:val="000000"/>
                <w:sz w:val="21"/>
              </w:rPr>
              <w:t>60</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30</w:t>
            </w:r>
          </w:p>
        </w:tc>
        <w:tc>
          <w:tcPr>
            <w:tcW w:w="2240" w:type="dxa"/>
            <w:vAlign w:val="center"/>
          </w:tcPr>
          <w:p/>
        </w:tc>
        <w:tc>
          <w:tcPr>
            <w:tcW w:w="4180" w:type="dxa"/>
            <w:vAlign w:val="center"/>
          </w:tcPr>
          <w:p/>
        </w:tc>
        <w:tc>
          <w:tcPr>
            <w:tcW w:w="560" w:type="dxa"/>
            <w:vAlign w:val="center"/>
          </w:tcPr>
          <w:p>
            <w:pPr>
              <w:jc w:val="center"/>
            </w:pPr>
            <w:r>
              <w:rPr>
                <w:rFonts w:ascii="宋体" w:hAnsi="宋体" w:eastAsia="宋体" w:cs="宋体"/>
                <w:b w:val="0"/>
                <w:i w:val="0"/>
                <w:color w:val="000000"/>
                <w:sz w:val="21"/>
              </w:rPr>
              <w:t>61</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31</w:t>
            </w:r>
          </w:p>
        </w:tc>
        <w:tc>
          <w:tcPr>
            <w:tcW w:w="2240" w:type="dxa"/>
            <w:vAlign w:val="center"/>
          </w:tcPr>
          <w:p>
            <w:pPr>
              <w:jc w:val="right"/>
            </w:pPr>
            <w:r>
              <w:rPr>
                <w:rFonts w:ascii="宋体" w:hAnsi="宋体" w:eastAsia="宋体" w:cs="宋体"/>
                <w:b w:val="0"/>
                <w:i w:val="0"/>
                <w:color w:val="000000"/>
                <w:sz w:val="21"/>
              </w:rPr>
              <w:t>202.65</w:t>
            </w:r>
          </w:p>
        </w:tc>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62</w:t>
            </w:r>
          </w:p>
        </w:tc>
        <w:tc>
          <w:tcPr>
            <w:tcW w:w="2238" w:type="dxa"/>
            <w:vAlign w:val="center"/>
          </w:tcPr>
          <w:p>
            <w:pPr>
              <w:jc w:val="right"/>
            </w:pPr>
            <w:r>
              <w:rPr>
                <w:rFonts w:ascii="宋体" w:hAnsi="宋体" w:eastAsia="宋体" w:cs="宋体"/>
                <w:b w:val="0"/>
                <w:i w:val="0"/>
                <w:color w:val="000000"/>
                <w:sz w:val="21"/>
              </w:rPr>
              <w:t>202.65</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单位：许昌市老干部教育中心（许昌市老年大学）</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163.06</w:t>
            </w:r>
          </w:p>
        </w:tc>
        <w:tc>
          <w:tcPr>
            <w:tcW w:w="1440" w:type="dxa"/>
            <w:vAlign w:val="center"/>
          </w:tcPr>
          <w:p>
            <w:pPr>
              <w:jc w:val="right"/>
            </w:pPr>
            <w:r>
              <w:rPr>
                <w:rFonts w:ascii="宋体" w:hAnsi="宋体" w:eastAsia="宋体" w:cs="宋体"/>
                <w:b/>
                <w:i w:val="0"/>
                <w:color w:val="000000"/>
                <w:sz w:val="17"/>
              </w:rPr>
              <w:t>163.06</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398" w:type="dxa"/>
            <w:vAlign w:val="center"/>
          </w:tcPr>
          <w:p>
            <w:pPr>
              <w:jc w:val="right"/>
            </w:pPr>
            <w:r>
              <w:rPr>
                <w:rFonts w:ascii="宋体" w:hAnsi="宋体" w:eastAsia="宋体" w:cs="宋体"/>
                <w:b/>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140.56</w:t>
            </w:r>
          </w:p>
        </w:tc>
        <w:tc>
          <w:tcPr>
            <w:tcW w:w="1440" w:type="dxa"/>
            <w:vAlign w:val="center"/>
          </w:tcPr>
          <w:p>
            <w:pPr>
              <w:jc w:val="right"/>
            </w:pPr>
            <w:r>
              <w:rPr>
                <w:rFonts w:ascii="宋体" w:hAnsi="宋体" w:eastAsia="宋体" w:cs="宋体"/>
                <w:b w:val="0"/>
                <w:i w:val="0"/>
                <w:color w:val="000000"/>
                <w:sz w:val="17"/>
              </w:rPr>
              <w:t>140.56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0.59</w:t>
            </w:r>
          </w:p>
        </w:tc>
        <w:tc>
          <w:tcPr>
            <w:tcW w:w="1440" w:type="dxa"/>
            <w:vAlign w:val="center"/>
          </w:tcPr>
          <w:p>
            <w:pPr>
              <w:jc w:val="right"/>
            </w:pPr>
            <w:r>
              <w:rPr>
                <w:rFonts w:ascii="宋体" w:hAnsi="宋体" w:eastAsia="宋体" w:cs="宋体"/>
                <w:b w:val="0"/>
                <w:i w:val="0"/>
                <w:color w:val="000000"/>
                <w:sz w:val="17"/>
              </w:rPr>
              <w:t>0.59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0.59</w:t>
            </w:r>
          </w:p>
        </w:tc>
        <w:tc>
          <w:tcPr>
            <w:tcW w:w="1440" w:type="dxa"/>
            <w:vAlign w:val="center"/>
          </w:tcPr>
          <w:p>
            <w:pPr>
              <w:jc w:val="right"/>
            </w:pPr>
            <w:r>
              <w:rPr>
                <w:rFonts w:ascii="宋体" w:hAnsi="宋体" w:eastAsia="宋体" w:cs="宋体"/>
                <w:b w:val="0"/>
                <w:i w:val="0"/>
                <w:color w:val="000000"/>
                <w:sz w:val="17"/>
              </w:rPr>
              <w:t>0.59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20132</w:t>
            </w:r>
          </w:p>
        </w:tc>
        <w:tc>
          <w:tcPr>
            <w:tcW w:w="3140" w:type="dxa"/>
            <w:vAlign w:val="center"/>
          </w:tcPr>
          <w:p>
            <w:pPr>
              <w:jc w:val="left"/>
            </w:pPr>
            <w:r>
              <w:rPr>
                <w:rFonts w:ascii="宋体" w:hAnsi="宋体" w:eastAsia="宋体" w:cs="宋体"/>
                <w:b w:val="0"/>
                <w:i w:val="0"/>
                <w:color w:val="000000"/>
                <w:sz w:val="17"/>
              </w:rPr>
              <w:t>组织事务</w:t>
            </w:r>
          </w:p>
        </w:tc>
        <w:tc>
          <w:tcPr>
            <w:tcW w:w="1440" w:type="dxa"/>
            <w:vAlign w:val="center"/>
          </w:tcPr>
          <w:p>
            <w:pPr>
              <w:jc w:val="right"/>
            </w:pPr>
            <w:r>
              <w:rPr>
                <w:rFonts w:ascii="宋体" w:hAnsi="宋体" w:eastAsia="宋体" w:cs="宋体"/>
                <w:b w:val="0"/>
                <w:i w:val="0"/>
                <w:color w:val="000000"/>
                <w:sz w:val="17"/>
              </w:rPr>
              <w:t>135.45</w:t>
            </w:r>
          </w:p>
        </w:tc>
        <w:tc>
          <w:tcPr>
            <w:tcW w:w="1440" w:type="dxa"/>
            <w:vAlign w:val="center"/>
          </w:tcPr>
          <w:p>
            <w:pPr>
              <w:jc w:val="right"/>
            </w:pPr>
            <w:r>
              <w:rPr>
                <w:rFonts w:ascii="宋体" w:hAnsi="宋体" w:eastAsia="宋体" w:cs="宋体"/>
                <w:b w:val="0"/>
                <w:i w:val="0"/>
                <w:color w:val="000000"/>
                <w:sz w:val="17"/>
              </w:rPr>
              <w:t>135.45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2013201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118.04</w:t>
            </w:r>
          </w:p>
        </w:tc>
        <w:tc>
          <w:tcPr>
            <w:tcW w:w="1440" w:type="dxa"/>
            <w:vAlign w:val="center"/>
          </w:tcPr>
          <w:p>
            <w:pPr>
              <w:jc w:val="right"/>
            </w:pPr>
            <w:r>
              <w:rPr>
                <w:rFonts w:ascii="宋体" w:hAnsi="宋体" w:eastAsia="宋体" w:cs="宋体"/>
                <w:b w:val="0"/>
                <w:i w:val="0"/>
                <w:color w:val="000000"/>
                <w:sz w:val="17"/>
              </w:rPr>
              <w:t>118.04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2013202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17.41</w:t>
            </w:r>
          </w:p>
        </w:tc>
        <w:tc>
          <w:tcPr>
            <w:tcW w:w="1440" w:type="dxa"/>
            <w:vAlign w:val="center"/>
          </w:tcPr>
          <w:p>
            <w:pPr>
              <w:jc w:val="right"/>
            </w:pPr>
            <w:r>
              <w:rPr>
                <w:rFonts w:ascii="宋体" w:hAnsi="宋体" w:eastAsia="宋体" w:cs="宋体"/>
                <w:b w:val="0"/>
                <w:i w:val="0"/>
                <w:color w:val="000000"/>
                <w:sz w:val="17"/>
              </w:rPr>
              <w:t>17.41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4.52</w:t>
            </w:r>
          </w:p>
        </w:tc>
        <w:tc>
          <w:tcPr>
            <w:tcW w:w="1440" w:type="dxa"/>
            <w:vAlign w:val="center"/>
          </w:tcPr>
          <w:p>
            <w:pPr>
              <w:jc w:val="right"/>
            </w:pPr>
            <w:r>
              <w:rPr>
                <w:rFonts w:ascii="宋体" w:hAnsi="宋体" w:eastAsia="宋体" w:cs="宋体"/>
                <w:b w:val="0"/>
                <w:i w:val="0"/>
                <w:color w:val="000000"/>
                <w:sz w:val="17"/>
              </w:rPr>
              <w:t>4.52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4.52</w:t>
            </w:r>
          </w:p>
        </w:tc>
        <w:tc>
          <w:tcPr>
            <w:tcW w:w="1440" w:type="dxa"/>
            <w:vAlign w:val="center"/>
          </w:tcPr>
          <w:p>
            <w:pPr>
              <w:jc w:val="right"/>
            </w:pPr>
            <w:r>
              <w:rPr>
                <w:rFonts w:ascii="宋体" w:hAnsi="宋体" w:eastAsia="宋体" w:cs="宋体"/>
                <w:b w:val="0"/>
                <w:i w:val="0"/>
                <w:color w:val="000000"/>
                <w:sz w:val="17"/>
              </w:rPr>
              <w:t>4.52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7.25</w:t>
            </w:r>
          </w:p>
        </w:tc>
        <w:tc>
          <w:tcPr>
            <w:tcW w:w="1440" w:type="dxa"/>
            <w:vAlign w:val="center"/>
          </w:tcPr>
          <w:p>
            <w:pPr>
              <w:jc w:val="right"/>
            </w:pPr>
            <w:r>
              <w:rPr>
                <w:rFonts w:ascii="宋体" w:hAnsi="宋体" w:eastAsia="宋体" w:cs="宋体"/>
                <w:b w:val="0"/>
                <w:i w:val="0"/>
                <w:color w:val="000000"/>
                <w:sz w:val="17"/>
              </w:rPr>
              <w:t>7.25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7.25</w:t>
            </w:r>
          </w:p>
        </w:tc>
        <w:tc>
          <w:tcPr>
            <w:tcW w:w="1440" w:type="dxa"/>
            <w:vAlign w:val="center"/>
          </w:tcPr>
          <w:p>
            <w:pPr>
              <w:jc w:val="right"/>
            </w:pPr>
            <w:r>
              <w:rPr>
                <w:rFonts w:ascii="宋体" w:hAnsi="宋体" w:eastAsia="宋体" w:cs="宋体"/>
                <w:b w:val="0"/>
                <w:i w:val="0"/>
                <w:color w:val="000000"/>
                <w:sz w:val="17"/>
              </w:rPr>
              <w:t>7.25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7.25</w:t>
            </w:r>
          </w:p>
        </w:tc>
        <w:tc>
          <w:tcPr>
            <w:tcW w:w="1440" w:type="dxa"/>
            <w:vAlign w:val="center"/>
          </w:tcPr>
          <w:p>
            <w:pPr>
              <w:jc w:val="right"/>
            </w:pPr>
            <w:r>
              <w:rPr>
                <w:rFonts w:ascii="宋体" w:hAnsi="宋体" w:eastAsia="宋体" w:cs="宋体"/>
                <w:b w:val="0"/>
                <w:i w:val="0"/>
                <w:color w:val="000000"/>
                <w:sz w:val="17"/>
              </w:rPr>
              <w:t>7.25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8.09</w:t>
            </w:r>
          </w:p>
        </w:tc>
        <w:tc>
          <w:tcPr>
            <w:tcW w:w="1440" w:type="dxa"/>
            <w:vAlign w:val="center"/>
          </w:tcPr>
          <w:p>
            <w:pPr>
              <w:jc w:val="right"/>
            </w:pPr>
            <w:r>
              <w:rPr>
                <w:rFonts w:ascii="宋体" w:hAnsi="宋体" w:eastAsia="宋体" w:cs="宋体"/>
                <w:b w:val="0"/>
                <w:i w:val="0"/>
                <w:color w:val="000000"/>
                <w:sz w:val="17"/>
              </w:rPr>
              <w:t>8.09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8.09</w:t>
            </w:r>
          </w:p>
        </w:tc>
        <w:tc>
          <w:tcPr>
            <w:tcW w:w="1440" w:type="dxa"/>
            <w:vAlign w:val="center"/>
          </w:tcPr>
          <w:p>
            <w:pPr>
              <w:jc w:val="right"/>
            </w:pPr>
            <w:r>
              <w:rPr>
                <w:rFonts w:ascii="宋体" w:hAnsi="宋体" w:eastAsia="宋体" w:cs="宋体"/>
                <w:b w:val="0"/>
                <w:i w:val="0"/>
                <w:color w:val="000000"/>
                <w:sz w:val="17"/>
              </w:rPr>
              <w:t>8.09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3.83</w:t>
            </w:r>
          </w:p>
        </w:tc>
        <w:tc>
          <w:tcPr>
            <w:tcW w:w="1440" w:type="dxa"/>
            <w:vAlign w:val="center"/>
          </w:tcPr>
          <w:p>
            <w:pPr>
              <w:jc w:val="right"/>
            </w:pPr>
            <w:r>
              <w:rPr>
                <w:rFonts w:ascii="宋体" w:hAnsi="宋体" w:eastAsia="宋体" w:cs="宋体"/>
                <w:b w:val="0"/>
                <w:i w:val="0"/>
                <w:color w:val="000000"/>
                <w:sz w:val="17"/>
              </w:rPr>
              <w:t>3.83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4.26</w:t>
            </w:r>
          </w:p>
        </w:tc>
        <w:tc>
          <w:tcPr>
            <w:tcW w:w="1440" w:type="dxa"/>
            <w:vAlign w:val="center"/>
          </w:tcPr>
          <w:p>
            <w:pPr>
              <w:jc w:val="right"/>
            </w:pPr>
            <w:r>
              <w:rPr>
                <w:rFonts w:ascii="宋体" w:hAnsi="宋体" w:eastAsia="宋体" w:cs="宋体"/>
                <w:b w:val="0"/>
                <w:i w:val="0"/>
                <w:color w:val="000000"/>
                <w:sz w:val="17"/>
              </w:rPr>
              <w:t>4.26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7.16</w:t>
            </w:r>
          </w:p>
        </w:tc>
        <w:tc>
          <w:tcPr>
            <w:tcW w:w="1440" w:type="dxa"/>
            <w:vAlign w:val="center"/>
          </w:tcPr>
          <w:p>
            <w:pPr>
              <w:jc w:val="right"/>
            </w:pPr>
            <w:r>
              <w:rPr>
                <w:rFonts w:ascii="宋体" w:hAnsi="宋体" w:eastAsia="宋体" w:cs="宋体"/>
                <w:b w:val="0"/>
                <w:i w:val="0"/>
                <w:color w:val="000000"/>
                <w:sz w:val="17"/>
              </w:rPr>
              <w:t>7.16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7.16</w:t>
            </w:r>
          </w:p>
        </w:tc>
        <w:tc>
          <w:tcPr>
            <w:tcW w:w="1440" w:type="dxa"/>
            <w:vAlign w:val="center"/>
          </w:tcPr>
          <w:p>
            <w:pPr>
              <w:jc w:val="right"/>
            </w:pPr>
            <w:r>
              <w:rPr>
                <w:rFonts w:ascii="宋体" w:hAnsi="宋体" w:eastAsia="宋体" w:cs="宋体"/>
                <w:b w:val="0"/>
                <w:i w:val="0"/>
                <w:color w:val="000000"/>
                <w:sz w:val="17"/>
              </w:rPr>
              <w:t>7.16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7.16</w:t>
            </w:r>
          </w:p>
        </w:tc>
        <w:tc>
          <w:tcPr>
            <w:tcW w:w="1440" w:type="dxa"/>
            <w:vAlign w:val="center"/>
          </w:tcPr>
          <w:p>
            <w:pPr>
              <w:jc w:val="right"/>
            </w:pPr>
            <w:r>
              <w:rPr>
                <w:rFonts w:ascii="宋体" w:hAnsi="宋体" w:eastAsia="宋体" w:cs="宋体"/>
                <w:b w:val="0"/>
                <w:i w:val="0"/>
                <w:color w:val="000000"/>
                <w:sz w:val="17"/>
              </w:rPr>
              <w:t>7.16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单位：许昌市老干部教育中心（许昌市老年大学）</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202.65</w:t>
            </w:r>
          </w:p>
        </w:tc>
        <w:tc>
          <w:tcPr>
            <w:tcW w:w="1600" w:type="dxa"/>
            <w:vAlign w:val="center"/>
          </w:tcPr>
          <w:p>
            <w:pPr>
              <w:jc w:val="right"/>
            </w:pPr>
            <w:r>
              <w:rPr>
                <w:rFonts w:ascii="宋体" w:hAnsi="宋体" w:eastAsia="宋体" w:cs="宋体"/>
                <w:b/>
                <w:i w:val="0"/>
                <w:color w:val="000000"/>
                <w:sz w:val="19"/>
              </w:rPr>
              <w:t>145.66</w:t>
            </w:r>
          </w:p>
        </w:tc>
        <w:tc>
          <w:tcPr>
            <w:tcW w:w="1600" w:type="dxa"/>
            <w:vAlign w:val="center"/>
          </w:tcPr>
          <w:p>
            <w:pPr>
              <w:jc w:val="right"/>
            </w:pPr>
            <w:r>
              <w:rPr>
                <w:rFonts w:ascii="宋体" w:hAnsi="宋体" w:eastAsia="宋体" w:cs="宋体"/>
                <w:b/>
                <w:i w:val="0"/>
                <w:color w:val="000000"/>
                <w:sz w:val="19"/>
              </w:rPr>
              <w:t>56.99</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578" w:type="dxa"/>
            <w:vAlign w:val="center"/>
          </w:tcPr>
          <w:p>
            <w:pPr>
              <w:jc w:val="right"/>
            </w:pPr>
            <w:r>
              <w:rPr>
                <w:rFonts w:ascii="宋体" w:hAnsi="宋体" w:eastAsia="宋体" w:cs="宋体"/>
                <w:b/>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180.14</w:t>
            </w:r>
          </w:p>
        </w:tc>
        <w:tc>
          <w:tcPr>
            <w:tcW w:w="1600" w:type="dxa"/>
            <w:vAlign w:val="center"/>
          </w:tcPr>
          <w:p>
            <w:pPr>
              <w:jc w:val="right"/>
            </w:pPr>
            <w:r>
              <w:rPr>
                <w:rFonts w:ascii="宋体" w:hAnsi="宋体" w:eastAsia="宋体" w:cs="宋体"/>
                <w:b w:val="0"/>
                <w:i w:val="0"/>
                <w:color w:val="000000"/>
                <w:sz w:val="19"/>
              </w:rPr>
              <w:t>123.15</w:t>
            </w:r>
          </w:p>
        </w:tc>
        <w:tc>
          <w:tcPr>
            <w:tcW w:w="1600" w:type="dxa"/>
            <w:vAlign w:val="center"/>
          </w:tcPr>
          <w:p>
            <w:pPr>
              <w:jc w:val="right"/>
            </w:pPr>
            <w:r>
              <w:rPr>
                <w:rFonts w:ascii="宋体" w:hAnsi="宋体" w:eastAsia="宋体" w:cs="宋体"/>
                <w:b w:val="0"/>
                <w:i w:val="0"/>
                <w:color w:val="000000"/>
                <w:sz w:val="19"/>
              </w:rPr>
              <w:t>57.00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0.59</w:t>
            </w:r>
          </w:p>
        </w:tc>
        <w:tc>
          <w:tcPr>
            <w:tcW w:w="1600" w:type="dxa"/>
            <w:vAlign w:val="center"/>
          </w:tcPr>
          <w:p>
            <w:pPr>
              <w:jc w:val="right"/>
            </w:pPr>
            <w:r>
              <w:rPr>
                <w:rFonts w:ascii="宋体" w:hAnsi="宋体" w:eastAsia="宋体" w:cs="宋体"/>
                <w:b w:val="0"/>
                <w:i w:val="0"/>
                <w:color w:val="000000"/>
                <w:sz w:val="19"/>
              </w:rPr>
              <w:t>0.59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0.59</w:t>
            </w:r>
          </w:p>
        </w:tc>
        <w:tc>
          <w:tcPr>
            <w:tcW w:w="1600" w:type="dxa"/>
            <w:vAlign w:val="center"/>
          </w:tcPr>
          <w:p>
            <w:pPr>
              <w:jc w:val="right"/>
            </w:pPr>
            <w:r>
              <w:rPr>
                <w:rFonts w:ascii="宋体" w:hAnsi="宋体" w:eastAsia="宋体" w:cs="宋体"/>
                <w:b w:val="0"/>
                <w:i w:val="0"/>
                <w:color w:val="000000"/>
                <w:sz w:val="19"/>
              </w:rPr>
              <w:t>0.59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20132</w:t>
            </w:r>
          </w:p>
        </w:tc>
        <w:tc>
          <w:tcPr>
            <w:tcW w:w="3480" w:type="dxa"/>
            <w:vAlign w:val="center"/>
          </w:tcPr>
          <w:p>
            <w:pPr>
              <w:jc w:val="left"/>
            </w:pPr>
            <w:r>
              <w:rPr>
                <w:rFonts w:ascii="宋体" w:hAnsi="宋体" w:eastAsia="宋体" w:cs="宋体"/>
                <w:b w:val="0"/>
                <w:i w:val="0"/>
                <w:color w:val="000000"/>
                <w:sz w:val="19"/>
              </w:rPr>
              <w:t>组织事务</w:t>
            </w:r>
          </w:p>
        </w:tc>
        <w:tc>
          <w:tcPr>
            <w:tcW w:w="1600" w:type="dxa"/>
            <w:vAlign w:val="center"/>
          </w:tcPr>
          <w:p>
            <w:pPr>
              <w:jc w:val="right"/>
            </w:pPr>
            <w:r>
              <w:rPr>
                <w:rFonts w:ascii="宋体" w:hAnsi="宋体" w:eastAsia="宋体" w:cs="宋体"/>
                <w:b w:val="0"/>
                <w:i w:val="0"/>
                <w:color w:val="000000"/>
                <w:sz w:val="19"/>
              </w:rPr>
              <w:t>175.03</w:t>
            </w:r>
          </w:p>
        </w:tc>
        <w:tc>
          <w:tcPr>
            <w:tcW w:w="1600" w:type="dxa"/>
            <w:vAlign w:val="center"/>
          </w:tcPr>
          <w:p>
            <w:pPr>
              <w:jc w:val="right"/>
            </w:pPr>
            <w:r>
              <w:rPr>
                <w:rFonts w:ascii="宋体" w:hAnsi="宋体" w:eastAsia="宋体" w:cs="宋体"/>
                <w:b w:val="0"/>
                <w:i w:val="0"/>
                <w:color w:val="000000"/>
                <w:sz w:val="19"/>
              </w:rPr>
              <w:t>118.04</w:t>
            </w:r>
          </w:p>
        </w:tc>
        <w:tc>
          <w:tcPr>
            <w:tcW w:w="1600" w:type="dxa"/>
            <w:vAlign w:val="center"/>
          </w:tcPr>
          <w:p>
            <w:pPr>
              <w:jc w:val="right"/>
            </w:pPr>
            <w:r>
              <w:rPr>
                <w:rFonts w:ascii="宋体" w:hAnsi="宋体" w:eastAsia="宋体" w:cs="宋体"/>
                <w:b w:val="0"/>
                <w:i w:val="0"/>
                <w:color w:val="000000"/>
                <w:sz w:val="19"/>
              </w:rPr>
              <w:t>57.00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2013201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157.62</w:t>
            </w:r>
          </w:p>
        </w:tc>
        <w:tc>
          <w:tcPr>
            <w:tcW w:w="1600" w:type="dxa"/>
            <w:vAlign w:val="center"/>
          </w:tcPr>
          <w:p>
            <w:pPr>
              <w:jc w:val="right"/>
            </w:pPr>
            <w:r>
              <w:rPr>
                <w:rFonts w:ascii="宋体" w:hAnsi="宋体" w:eastAsia="宋体" w:cs="宋体"/>
                <w:b w:val="0"/>
                <w:i w:val="0"/>
                <w:color w:val="000000"/>
                <w:sz w:val="19"/>
              </w:rPr>
              <w:t>118.04</w:t>
            </w:r>
          </w:p>
        </w:tc>
        <w:tc>
          <w:tcPr>
            <w:tcW w:w="1600" w:type="dxa"/>
            <w:vAlign w:val="center"/>
          </w:tcPr>
          <w:p>
            <w:pPr>
              <w:jc w:val="right"/>
            </w:pPr>
            <w:r>
              <w:rPr>
                <w:rFonts w:ascii="宋体" w:hAnsi="宋体" w:eastAsia="宋体" w:cs="宋体"/>
                <w:b w:val="0"/>
                <w:i w:val="0"/>
                <w:color w:val="000000"/>
                <w:sz w:val="19"/>
              </w:rPr>
              <w:t>39.59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2013202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17.41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17.41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4.52</w:t>
            </w:r>
          </w:p>
        </w:tc>
        <w:tc>
          <w:tcPr>
            <w:tcW w:w="1600" w:type="dxa"/>
            <w:vAlign w:val="center"/>
          </w:tcPr>
          <w:p>
            <w:pPr>
              <w:jc w:val="right"/>
            </w:pPr>
            <w:r>
              <w:rPr>
                <w:rFonts w:ascii="宋体" w:hAnsi="宋体" w:eastAsia="宋体" w:cs="宋体"/>
                <w:b w:val="0"/>
                <w:i w:val="0"/>
                <w:color w:val="000000"/>
                <w:sz w:val="19"/>
              </w:rPr>
              <w:t>4.52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4.52</w:t>
            </w:r>
          </w:p>
        </w:tc>
        <w:tc>
          <w:tcPr>
            <w:tcW w:w="1600" w:type="dxa"/>
            <w:vAlign w:val="center"/>
          </w:tcPr>
          <w:p>
            <w:pPr>
              <w:jc w:val="right"/>
            </w:pPr>
            <w:r>
              <w:rPr>
                <w:rFonts w:ascii="宋体" w:hAnsi="宋体" w:eastAsia="宋体" w:cs="宋体"/>
                <w:b w:val="0"/>
                <w:i w:val="0"/>
                <w:color w:val="000000"/>
                <w:sz w:val="19"/>
              </w:rPr>
              <w:t>4.52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7.25</w:t>
            </w:r>
          </w:p>
        </w:tc>
        <w:tc>
          <w:tcPr>
            <w:tcW w:w="1600" w:type="dxa"/>
            <w:vAlign w:val="center"/>
          </w:tcPr>
          <w:p>
            <w:pPr>
              <w:jc w:val="right"/>
            </w:pPr>
            <w:r>
              <w:rPr>
                <w:rFonts w:ascii="宋体" w:hAnsi="宋体" w:eastAsia="宋体" w:cs="宋体"/>
                <w:b w:val="0"/>
                <w:i w:val="0"/>
                <w:color w:val="000000"/>
                <w:sz w:val="19"/>
              </w:rPr>
              <w:t>7.25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7.25</w:t>
            </w:r>
          </w:p>
        </w:tc>
        <w:tc>
          <w:tcPr>
            <w:tcW w:w="1600" w:type="dxa"/>
            <w:vAlign w:val="center"/>
          </w:tcPr>
          <w:p>
            <w:pPr>
              <w:jc w:val="right"/>
            </w:pPr>
            <w:r>
              <w:rPr>
                <w:rFonts w:ascii="宋体" w:hAnsi="宋体" w:eastAsia="宋体" w:cs="宋体"/>
                <w:b w:val="0"/>
                <w:i w:val="0"/>
                <w:color w:val="000000"/>
                <w:sz w:val="19"/>
              </w:rPr>
              <w:t>7.25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7.25</w:t>
            </w:r>
          </w:p>
        </w:tc>
        <w:tc>
          <w:tcPr>
            <w:tcW w:w="1600" w:type="dxa"/>
            <w:vAlign w:val="center"/>
          </w:tcPr>
          <w:p>
            <w:pPr>
              <w:jc w:val="right"/>
            </w:pPr>
            <w:r>
              <w:rPr>
                <w:rFonts w:ascii="宋体" w:hAnsi="宋体" w:eastAsia="宋体" w:cs="宋体"/>
                <w:b w:val="0"/>
                <w:i w:val="0"/>
                <w:color w:val="000000"/>
                <w:sz w:val="19"/>
              </w:rPr>
              <w:t>7.25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8.09</w:t>
            </w:r>
          </w:p>
        </w:tc>
        <w:tc>
          <w:tcPr>
            <w:tcW w:w="1600" w:type="dxa"/>
            <w:vAlign w:val="center"/>
          </w:tcPr>
          <w:p>
            <w:pPr>
              <w:jc w:val="right"/>
            </w:pPr>
            <w:r>
              <w:rPr>
                <w:rFonts w:ascii="宋体" w:hAnsi="宋体" w:eastAsia="宋体" w:cs="宋体"/>
                <w:b w:val="0"/>
                <w:i w:val="0"/>
                <w:color w:val="000000"/>
                <w:sz w:val="19"/>
              </w:rPr>
              <w:t>8.09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8.09</w:t>
            </w:r>
          </w:p>
        </w:tc>
        <w:tc>
          <w:tcPr>
            <w:tcW w:w="1600" w:type="dxa"/>
            <w:vAlign w:val="center"/>
          </w:tcPr>
          <w:p>
            <w:pPr>
              <w:jc w:val="right"/>
            </w:pPr>
            <w:r>
              <w:rPr>
                <w:rFonts w:ascii="宋体" w:hAnsi="宋体" w:eastAsia="宋体" w:cs="宋体"/>
                <w:b w:val="0"/>
                <w:i w:val="0"/>
                <w:color w:val="000000"/>
                <w:sz w:val="19"/>
              </w:rPr>
              <w:t>8.09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3.83</w:t>
            </w:r>
          </w:p>
        </w:tc>
        <w:tc>
          <w:tcPr>
            <w:tcW w:w="1600" w:type="dxa"/>
            <w:vAlign w:val="center"/>
          </w:tcPr>
          <w:p>
            <w:pPr>
              <w:jc w:val="right"/>
            </w:pPr>
            <w:r>
              <w:rPr>
                <w:rFonts w:ascii="宋体" w:hAnsi="宋体" w:eastAsia="宋体" w:cs="宋体"/>
                <w:b w:val="0"/>
                <w:i w:val="0"/>
                <w:color w:val="000000"/>
                <w:sz w:val="19"/>
              </w:rPr>
              <w:t>3.83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4.26</w:t>
            </w:r>
          </w:p>
        </w:tc>
        <w:tc>
          <w:tcPr>
            <w:tcW w:w="1600" w:type="dxa"/>
            <w:vAlign w:val="center"/>
          </w:tcPr>
          <w:p>
            <w:pPr>
              <w:jc w:val="right"/>
            </w:pPr>
            <w:r>
              <w:rPr>
                <w:rFonts w:ascii="宋体" w:hAnsi="宋体" w:eastAsia="宋体" w:cs="宋体"/>
                <w:b w:val="0"/>
                <w:i w:val="0"/>
                <w:color w:val="000000"/>
                <w:sz w:val="19"/>
              </w:rPr>
              <w:t>4.26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7.16</w:t>
            </w:r>
          </w:p>
        </w:tc>
        <w:tc>
          <w:tcPr>
            <w:tcW w:w="1600" w:type="dxa"/>
            <w:vAlign w:val="center"/>
          </w:tcPr>
          <w:p>
            <w:pPr>
              <w:jc w:val="right"/>
            </w:pPr>
            <w:r>
              <w:rPr>
                <w:rFonts w:ascii="宋体" w:hAnsi="宋体" w:eastAsia="宋体" w:cs="宋体"/>
                <w:b w:val="0"/>
                <w:i w:val="0"/>
                <w:color w:val="000000"/>
                <w:sz w:val="19"/>
              </w:rPr>
              <w:t>7.16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7.16</w:t>
            </w:r>
          </w:p>
        </w:tc>
        <w:tc>
          <w:tcPr>
            <w:tcW w:w="1600" w:type="dxa"/>
            <w:vAlign w:val="center"/>
          </w:tcPr>
          <w:p>
            <w:pPr>
              <w:jc w:val="right"/>
            </w:pPr>
            <w:r>
              <w:rPr>
                <w:rFonts w:ascii="宋体" w:hAnsi="宋体" w:eastAsia="宋体" w:cs="宋体"/>
                <w:b w:val="0"/>
                <w:i w:val="0"/>
                <w:color w:val="000000"/>
                <w:sz w:val="19"/>
              </w:rPr>
              <w:t>7.16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7.16</w:t>
            </w:r>
          </w:p>
        </w:tc>
        <w:tc>
          <w:tcPr>
            <w:tcW w:w="1600" w:type="dxa"/>
            <w:vAlign w:val="center"/>
          </w:tcPr>
          <w:p>
            <w:pPr>
              <w:jc w:val="right"/>
            </w:pPr>
            <w:r>
              <w:rPr>
                <w:rFonts w:ascii="宋体" w:hAnsi="宋体" w:eastAsia="宋体" w:cs="宋体"/>
                <w:b w:val="0"/>
                <w:i w:val="0"/>
                <w:color w:val="000000"/>
                <w:sz w:val="19"/>
              </w:rPr>
              <w:t>7.16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单位：许昌市老干部教育中心（许昌市老年大学）</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163.06</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180.14</w:t>
            </w:r>
          </w:p>
        </w:tc>
        <w:tc>
          <w:tcPr>
            <w:tcW w:w="1420" w:type="dxa"/>
            <w:vAlign w:val="center"/>
          </w:tcPr>
          <w:p>
            <w:pPr>
              <w:jc w:val="right"/>
            </w:pPr>
            <w:r>
              <w:rPr>
                <w:rFonts w:ascii="宋体" w:hAnsi="宋体" w:eastAsia="宋体" w:cs="宋体"/>
                <w:b w:val="0"/>
                <w:i w:val="0"/>
                <w:color w:val="000000"/>
                <w:sz w:val="18"/>
              </w:rPr>
              <w:t>180.14</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7.25</w:t>
            </w:r>
          </w:p>
        </w:tc>
        <w:tc>
          <w:tcPr>
            <w:tcW w:w="1420" w:type="dxa"/>
            <w:vAlign w:val="center"/>
          </w:tcPr>
          <w:p>
            <w:pPr>
              <w:jc w:val="right"/>
            </w:pPr>
            <w:r>
              <w:rPr>
                <w:rFonts w:ascii="宋体" w:hAnsi="宋体" w:eastAsia="宋体" w:cs="宋体"/>
                <w:b w:val="0"/>
                <w:i w:val="0"/>
                <w:color w:val="000000"/>
                <w:sz w:val="18"/>
              </w:rPr>
              <w:t>7.25</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8.09</w:t>
            </w:r>
          </w:p>
        </w:tc>
        <w:tc>
          <w:tcPr>
            <w:tcW w:w="1420" w:type="dxa"/>
            <w:vAlign w:val="center"/>
          </w:tcPr>
          <w:p>
            <w:pPr>
              <w:jc w:val="right"/>
            </w:pPr>
            <w:r>
              <w:rPr>
                <w:rFonts w:ascii="宋体" w:hAnsi="宋体" w:eastAsia="宋体" w:cs="宋体"/>
                <w:b w:val="0"/>
                <w:i w:val="0"/>
                <w:color w:val="000000"/>
                <w:sz w:val="18"/>
              </w:rPr>
              <w:t>8.09</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7.16</w:t>
            </w:r>
          </w:p>
        </w:tc>
        <w:tc>
          <w:tcPr>
            <w:tcW w:w="1420" w:type="dxa"/>
            <w:vAlign w:val="center"/>
          </w:tcPr>
          <w:p>
            <w:pPr>
              <w:jc w:val="right"/>
            </w:pPr>
            <w:r>
              <w:rPr>
                <w:rFonts w:ascii="宋体" w:hAnsi="宋体" w:eastAsia="宋体" w:cs="宋体"/>
                <w:b w:val="0"/>
                <w:i w:val="0"/>
                <w:color w:val="000000"/>
                <w:sz w:val="18"/>
              </w:rPr>
              <w:t>7.16</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163.06</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202.65</w:t>
            </w:r>
          </w:p>
        </w:tc>
        <w:tc>
          <w:tcPr>
            <w:tcW w:w="1420" w:type="dxa"/>
            <w:vAlign w:val="center"/>
          </w:tcPr>
          <w:p>
            <w:pPr>
              <w:jc w:val="right"/>
            </w:pPr>
            <w:r>
              <w:rPr>
                <w:rFonts w:ascii="宋体" w:hAnsi="宋体" w:eastAsia="宋体" w:cs="宋体"/>
                <w:b w:val="0"/>
                <w:i w:val="0"/>
                <w:color w:val="000000"/>
                <w:sz w:val="18"/>
              </w:rPr>
              <w:t>202.65</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39.59</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39.59</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202.65</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202.65</w:t>
            </w:r>
          </w:p>
        </w:tc>
        <w:tc>
          <w:tcPr>
            <w:tcW w:w="1420" w:type="dxa"/>
            <w:vAlign w:val="center"/>
          </w:tcPr>
          <w:p>
            <w:pPr>
              <w:jc w:val="right"/>
            </w:pPr>
            <w:r>
              <w:rPr>
                <w:rFonts w:ascii="宋体" w:hAnsi="宋体" w:eastAsia="宋体" w:cs="宋体"/>
                <w:b w:val="0"/>
                <w:i w:val="0"/>
                <w:color w:val="000000"/>
                <w:sz w:val="18"/>
              </w:rPr>
              <w:t>202.65</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单位：许昌市老干部教育中心（许昌市老年大学）</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202.65</w:t>
            </w:r>
          </w:p>
        </w:tc>
        <w:tc>
          <w:tcPr>
            <w:tcW w:w="2700" w:type="dxa"/>
            <w:vAlign w:val="center"/>
          </w:tcPr>
          <w:p>
            <w:pPr>
              <w:jc w:val="right"/>
            </w:pPr>
            <w:r>
              <w:rPr>
                <w:rFonts w:ascii="宋体" w:hAnsi="宋体" w:eastAsia="宋体" w:cs="宋体"/>
                <w:b/>
                <w:i w:val="0"/>
                <w:color w:val="000000"/>
                <w:sz w:val="25"/>
              </w:rPr>
              <w:t>145.66</w:t>
            </w:r>
          </w:p>
        </w:tc>
        <w:tc>
          <w:tcPr>
            <w:tcW w:w="2658" w:type="dxa"/>
            <w:vAlign w:val="center"/>
          </w:tcPr>
          <w:p>
            <w:pPr>
              <w:jc w:val="right"/>
            </w:pPr>
            <w:r>
              <w:rPr>
                <w:rFonts w:ascii="宋体" w:hAnsi="宋体" w:eastAsia="宋体" w:cs="宋体"/>
                <w:b/>
                <w:i w:val="0"/>
                <w:color w:val="000000"/>
                <w:sz w:val="25"/>
              </w:rPr>
              <w:t>56.99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180.14</w:t>
            </w:r>
          </w:p>
        </w:tc>
        <w:tc>
          <w:tcPr>
            <w:tcW w:w="2700" w:type="dxa"/>
            <w:vAlign w:val="center"/>
          </w:tcPr>
          <w:p>
            <w:pPr>
              <w:jc w:val="right"/>
            </w:pPr>
            <w:r>
              <w:rPr>
                <w:rFonts w:ascii="宋体" w:hAnsi="宋体" w:eastAsia="宋体" w:cs="宋体"/>
                <w:b w:val="0"/>
                <w:i w:val="0"/>
                <w:color w:val="000000"/>
                <w:sz w:val="25"/>
              </w:rPr>
              <w:t>123.15</w:t>
            </w:r>
          </w:p>
        </w:tc>
        <w:tc>
          <w:tcPr>
            <w:tcW w:w="2658" w:type="dxa"/>
            <w:vAlign w:val="center"/>
          </w:tcPr>
          <w:p>
            <w:pPr>
              <w:jc w:val="right"/>
            </w:pPr>
            <w:r>
              <w:rPr>
                <w:rFonts w:ascii="宋体" w:hAnsi="宋体" w:eastAsia="宋体" w:cs="宋体"/>
                <w:b w:val="0"/>
                <w:i w:val="0"/>
                <w:color w:val="000000"/>
                <w:sz w:val="25"/>
              </w:rPr>
              <w:t>57.00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0.59</w:t>
            </w:r>
          </w:p>
        </w:tc>
        <w:tc>
          <w:tcPr>
            <w:tcW w:w="2700" w:type="dxa"/>
            <w:vAlign w:val="center"/>
          </w:tcPr>
          <w:p>
            <w:pPr>
              <w:jc w:val="right"/>
            </w:pPr>
            <w:r>
              <w:rPr>
                <w:rFonts w:ascii="宋体" w:hAnsi="宋体" w:eastAsia="宋体" w:cs="宋体"/>
                <w:b w:val="0"/>
                <w:i w:val="0"/>
                <w:color w:val="000000"/>
                <w:sz w:val="25"/>
              </w:rPr>
              <w:t>0.59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0.59</w:t>
            </w:r>
          </w:p>
        </w:tc>
        <w:tc>
          <w:tcPr>
            <w:tcW w:w="2700" w:type="dxa"/>
            <w:vAlign w:val="center"/>
          </w:tcPr>
          <w:p>
            <w:pPr>
              <w:jc w:val="right"/>
            </w:pPr>
            <w:r>
              <w:rPr>
                <w:rFonts w:ascii="宋体" w:hAnsi="宋体" w:eastAsia="宋体" w:cs="宋体"/>
                <w:b w:val="0"/>
                <w:i w:val="0"/>
                <w:color w:val="000000"/>
                <w:sz w:val="25"/>
              </w:rPr>
              <w:t>0.59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20132</w:t>
            </w:r>
          </w:p>
        </w:tc>
        <w:tc>
          <w:tcPr>
            <w:tcW w:w="4700" w:type="dxa"/>
            <w:vAlign w:val="center"/>
          </w:tcPr>
          <w:p>
            <w:pPr>
              <w:jc w:val="left"/>
            </w:pPr>
            <w:r>
              <w:rPr>
                <w:rFonts w:ascii="宋体" w:hAnsi="宋体" w:eastAsia="宋体" w:cs="宋体"/>
                <w:b w:val="0"/>
                <w:i w:val="0"/>
                <w:color w:val="000000"/>
                <w:sz w:val="25"/>
              </w:rPr>
              <w:t>组织事务</w:t>
            </w:r>
          </w:p>
        </w:tc>
        <w:tc>
          <w:tcPr>
            <w:tcW w:w="2700" w:type="dxa"/>
            <w:vAlign w:val="center"/>
          </w:tcPr>
          <w:p>
            <w:pPr>
              <w:jc w:val="right"/>
            </w:pPr>
            <w:r>
              <w:rPr>
                <w:rFonts w:ascii="宋体" w:hAnsi="宋体" w:eastAsia="宋体" w:cs="宋体"/>
                <w:b w:val="0"/>
                <w:i w:val="0"/>
                <w:color w:val="000000"/>
                <w:sz w:val="25"/>
              </w:rPr>
              <w:t>175.03</w:t>
            </w:r>
          </w:p>
        </w:tc>
        <w:tc>
          <w:tcPr>
            <w:tcW w:w="2700" w:type="dxa"/>
            <w:vAlign w:val="center"/>
          </w:tcPr>
          <w:p>
            <w:pPr>
              <w:jc w:val="right"/>
            </w:pPr>
            <w:r>
              <w:rPr>
                <w:rFonts w:ascii="宋体" w:hAnsi="宋体" w:eastAsia="宋体" w:cs="宋体"/>
                <w:b w:val="0"/>
                <w:i w:val="0"/>
                <w:color w:val="000000"/>
                <w:sz w:val="25"/>
              </w:rPr>
              <w:t>118.04</w:t>
            </w:r>
          </w:p>
        </w:tc>
        <w:tc>
          <w:tcPr>
            <w:tcW w:w="2658" w:type="dxa"/>
            <w:vAlign w:val="center"/>
          </w:tcPr>
          <w:p>
            <w:pPr>
              <w:jc w:val="right"/>
            </w:pPr>
            <w:r>
              <w:rPr>
                <w:rFonts w:ascii="宋体" w:hAnsi="宋体" w:eastAsia="宋体" w:cs="宋体"/>
                <w:b w:val="0"/>
                <w:i w:val="0"/>
                <w:color w:val="000000"/>
                <w:sz w:val="25"/>
              </w:rPr>
              <w:t>57.00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2013201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157.62</w:t>
            </w:r>
          </w:p>
        </w:tc>
        <w:tc>
          <w:tcPr>
            <w:tcW w:w="2700" w:type="dxa"/>
            <w:vAlign w:val="center"/>
          </w:tcPr>
          <w:p>
            <w:pPr>
              <w:jc w:val="right"/>
            </w:pPr>
            <w:r>
              <w:rPr>
                <w:rFonts w:ascii="宋体" w:hAnsi="宋体" w:eastAsia="宋体" w:cs="宋体"/>
                <w:b w:val="0"/>
                <w:i w:val="0"/>
                <w:color w:val="000000"/>
                <w:sz w:val="25"/>
              </w:rPr>
              <w:t>118.04</w:t>
            </w:r>
          </w:p>
        </w:tc>
        <w:tc>
          <w:tcPr>
            <w:tcW w:w="2658" w:type="dxa"/>
            <w:vAlign w:val="center"/>
          </w:tcPr>
          <w:p>
            <w:pPr>
              <w:jc w:val="right"/>
            </w:pPr>
            <w:r>
              <w:rPr>
                <w:rFonts w:ascii="宋体" w:hAnsi="宋体" w:eastAsia="宋体" w:cs="宋体"/>
                <w:b w:val="0"/>
                <w:i w:val="0"/>
                <w:color w:val="000000"/>
                <w:sz w:val="25"/>
              </w:rPr>
              <w:t>39.59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2013202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17.41</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17.41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4.52</w:t>
            </w:r>
          </w:p>
        </w:tc>
        <w:tc>
          <w:tcPr>
            <w:tcW w:w="2700" w:type="dxa"/>
            <w:vAlign w:val="center"/>
          </w:tcPr>
          <w:p>
            <w:pPr>
              <w:jc w:val="right"/>
            </w:pPr>
            <w:r>
              <w:rPr>
                <w:rFonts w:ascii="宋体" w:hAnsi="宋体" w:eastAsia="宋体" w:cs="宋体"/>
                <w:b w:val="0"/>
                <w:i w:val="0"/>
                <w:color w:val="000000"/>
                <w:sz w:val="25"/>
              </w:rPr>
              <w:t>4.52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4.52</w:t>
            </w:r>
          </w:p>
        </w:tc>
        <w:tc>
          <w:tcPr>
            <w:tcW w:w="2700" w:type="dxa"/>
            <w:vAlign w:val="center"/>
          </w:tcPr>
          <w:p>
            <w:pPr>
              <w:jc w:val="right"/>
            </w:pPr>
            <w:r>
              <w:rPr>
                <w:rFonts w:ascii="宋体" w:hAnsi="宋体" w:eastAsia="宋体" w:cs="宋体"/>
                <w:b w:val="0"/>
                <w:i w:val="0"/>
                <w:color w:val="000000"/>
                <w:sz w:val="25"/>
              </w:rPr>
              <w:t>4.52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7.25</w:t>
            </w:r>
          </w:p>
        </w:tc>
        <w:tc>
          <w:tcPr>
            <w:tcW w:w="2700" w:type="dxa"/>
            <w:vAlign w:val="center"/>
          </w:tcPr>
          <w:p>
            <w:pPr>
              <w:jc w:val="right"/>
            </w:pPr>
            <w:r>
              <w:rPr>
                <w:rFonts w:ascii="宋体" w:hAnsi="宋体" w:eastAsia="宋体" w:cs="宋体"/>
                <w:b w:val="0"/>
                <w:i w:val="0"/>
                <w:color w:val="000000"/>
                <w:sz w:val="25"/>
              </w:rPr>
              <w:t>7.25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7.25</w:t>
            </w:r>
          </w:p>
        </w:tc>
        <w:tc>
          <w:tcPr>
            <w:tcW w:w="2700" w:type="dxa"/>
            <w:vAlign w:val="center"/>
          </w:tcPr>
          <w:p>
            <w:pPr>
              <w:jc w:val="right"/>
            </w:pPr>
            <w:r>
              <w:rPr>
                <w:rFonts w:ascii="宋体" w:hAnsi="宋体" w:eastAsia="宋体" w:cs="宋体"/>
                <w:b w:val="0"/>
                <w:i w:val="0"/>
                <w:color w:val="000000"/>
                <w:sz w:val="25"/>
              </w:rPr>
              <w:t>7.25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7.25</w:t>
            </w:r>
          </w:p>
        </w:tc>
        <w:tc>
          <w:tcPr>
            <w:tcW w:w="2700" w:type="dxa"/>
            <w:vAlign w:val="center"/>
          </w:tcPr>
          <w:p>
            <w:pPr>
              <w:jc w:val="right"/>
            </w:pPr>
            <w:r>
              <w:rPr>
                <w:rFonts w:ascii="宋体" w:hAnsi="宋体" w:eastAsia="宋体" w:cs="宋体"/>
                <w:b w:val="0"/>
                <w:i w:val="0"/>
                <w:color w:val="000000"/>
                <w:sz w:val="25"/>
              </w:rPr>
              <w:t>7.25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8.09</w:t>
            </w:r>
          </w:p>
        </w:tc>
        <w:tc>
          <w:tcPr>
            <w:tcW w:w="2700" w:type="dxa"/>
            <w:vAlign w:val="center"/>
          </w:tcPr>
          <w:p>
            <w:pPr>
              <w:jc w:val="right"/>
            </w:pPr>
            <w:r>
              <w:rPr>
                <w:rFonts w:ascii="宋体" w:hAnsi="宋体" w:eastAsia="宋体" w:cs="宋体"/>
                <w:b w:val="0"/>
                <w:i w:val="0"/>
                <w:color w:val="000000"/>
                <w:sz w:val="25"/>
              </w:rPr>
              <w:t>8.09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8.09</w:t>
            </w:r>
          </w:p>
        </w:tc>
        <w:tc>
          <w:tcPr>
            <w:tcW w:w="2700" w:type="dxa"/>
            <w:vAlign w:val="center"/>
          </w:tcPr>
          <w:p>
            <w:pPr>
              <w:jc w:val="right"/>
            </w:pPr>
            <w:r>
              <w:rPr>
                <w:rFonts w:ascii="宋体" w:hAnsi="宋体" w:eastAsia="宋体" w:cs="宋体"/>
                <w:b w:val="0"/>
                <w:i w:val="0"/>
                <w:color w:val="000000"/>
                <w:sz w:val="25"/>
              </w:rPr>
              <w:t>8.09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3.83</w:t>
            </w:r>
          </w:p>
        </w:tc>
        <w:tc>
          <w:tcPr>
            <w:tcW w:w="2700" w:type="dxa"/>
            <w:vAlign w:val="center"/>
          </w:tcPr>
          <w:p>
            <w:pPr>
              <w:jc w:val="right"/>
            </w:pPr>
            <w:r>
              <w:rPr>
                <w:rFonts w:ascii="宋体" w:hAnsi="宋体" w:eastAsia="宋体" w:cs="宋体"/>
                <w:b w:val="0"/>
                <w:i w:val="0"/>
                <w:color w:val="000000"/>
                <w:sz w:val="25"/>
              </w:rPr>
              <w:t>3.83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4.26</w:t>
            </w:r>
          </w:p>
        </w:tc>
        <w:tc>
          <w:tcPr>
            <w:tcW w:w="2700" w:type="dxa"/>
            <w:vAlign w:val="center"/>
          </w:tcPr>
          <w:p>
            <w:pPr>
              <w:jc w:val="right"/>
            </w:pPr>
            <w:r>
              <w:rPr>
                <w:rFonts w:ascii="宋体" w:hAnsi="宋体" w:eastAsia="宋体" w:cs="宋体"/>
                <w:b w:val="0"/>
                <w:i w:val="0"/>
                <w:color w:val="000000"/>
                <w:sz w:val="25"/>
              </w:rPr>
              <w:t>4.26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7.16</w:t>
            </w:r>
          </w:p>
        </w:tc>
        <w:tc>
          <w:tcPr>
            <w:tcW w:w="2700" w:type="dxa"/>
            <w:vAlign w:val="center"/>
          </w:tcPr>
          <w:p>
            <w:pPr>
              <w:jc w:val="right"/>
            </w:pPr>
            <w:r>
              <w:rPr>
                <w:rFonts w:ascii="宋体" w:hAnsi="宋体" w:eastAsia="宋体" w:cs="宋体"/>
                <w:b w:val="0"/>
                <w:i w:val="0"/>
                <w:color w:val="000000"/>
                <w:sz w:val="25"/>
              </w:rPr>
              <w:t>7.16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7.16</w:t>
            </w:r>
          </w:p>
        </w:tc>
        <w:tc>
          <w:tcPr>
            <w:tcW w:w="2700" w:type="dxa"/>
            <w:vAlign w:val="center"/>
          </w:tcPr>
          <w:p>
            <w:pPr>
              <w:jc w:val="right"/>
            </w:pPr>
            <w:r>
              <w:rPr>
                <w:rFonts w:ascii="宋体" w:hAnsi="宋体" w:eastAsia="宋体" w:cs="宋体"/>
                <w:b w:val="0"/>
                <w:i w:val="0"/>
                <w:color w:val="000000"/>
                <w:sz w:val="25"/>
              </w:rPr>
              <w:t>7.16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7.16</w:t>
            </w:r>
          </w:p>
        </w:tc>
        <w:tc>
          <w:tcPr>
            <w:tcW w:w="2700" w:type="dxa"/>
            <w:vAlign w:val="center"/>
          </w:tcPr>
          <w:p>
            <w:pPr>
              <w:jc w:val="right"/>
            </w:pPr>
            <w:r>
              <w:rPr>
                <w:rFonts w:ascii="宋体" w:hAnsi="宋体" w:eastAsia="宋体" w:cs="宋体"/>
                <w:b w:val="0"/>
                <w:i w:val="0"/>
                <w:color w:val="000000"/>
                <w:sz w:val="25"/>
              </w:rPr>
              <w:t>7.16</w:t>
            </w:r>
          </w:p>
        </w:tc>
        <w:tc>
          <w:tcPr>
            <w:tcW w:w="2658" w:type="dxa"/>
            <w:vAlign w:val="center"/>
          </w:tcPr>
          <w:p>
            <w:pPr>
              <w:jc w:val="right"/>
            </w:pPr>
            <w:r>
              <w:rPr>
                <w:rFonts w:ascii="宋体" w:hAnsi="宋体" w:eastAsia="宋体" w:cs="宋体"/>
                <w:b w:val="0"/>
                <w:i w:val="0"/>
                <w:color w:val="000000"/>
                <w:sz w:val="25"/>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单位：许昌市老干部教育中心（许昌市老年大学）</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128.25</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17.40</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29.36</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5.49</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35.72</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40.35</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7.25</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2.50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3.64</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4.05</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0.05</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0.27</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7.84</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1.05</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1.13</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0.59</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6.21</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0.16</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128.25</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17.40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单位：许昌市老干部教育中心（许昌市老年大学）</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单位：许昌市老干部教育中心（许昌市老年大学）</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单位：许昌市老干部教育中心（许昌市老年大学）</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说明：我单位没有预算安排的三公经费，也没有预算安排的三公支出，故本表无数据。</w:t>
      </w: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rPr>
        <w:t>2023年度收、支总计均为202.65万元。与上年度相比，收、支总计各增加73.83万元，增长57.31%。主要原因是2022年受疫情影响，2023年各项工作恢复正常、新增项目支出。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收入合计163.06万元，其中：财政拨款收入163.06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2023年度支出合计202.65万元，其中：基本支出145.66万元，占71.88%；项目支出56.99万元，占28.12%；上缴上级支出0.00万元，占0.00%；经营支出0.00万元，占0.00%；对附属单位补助支出0.00万元，占0.00%。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2023年度财政拨款收、支总计均为202.65万元。与上年度相比，财政拨款收、支总计各增加73.83万元，增长57.31%。主要原因是2022年受疫情影响，2023年各项工作恢复正常、新增项目支出。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2023年度一般公共预算财政拨款支出202.65万元，占支出合计的100.00%。与上年度相比，一般公共预算财政拨款支出增加73.83万元，增长57.31%。主要原因是2022年受疫情影响，2023年各项工作恢复正常、新增项目支出。</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一般公共预算财政拨款支出202.65万元，主要用于以下方面：一般公共服务支出（类）180.14万元，占88.89%；社会保障和就业支出（类）7.25万元，占3.58%；卫生健康支出（类）8.09万元，占3.99%；住房保障支出（类）7.16万元，占3.54%。</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2023年度一般公共预算财政拨款支出年初预算为186.20万元，支出决算为202.65万元，完成年初预算的108.83%。其中：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1.一般公共服务支出（类）群众团体事务（款）工会事务（项）</w:t>
      </w:r>
      <w:r>
        <w:rPr>
          <w:rFonts w:hint="eastAsia" w:ascii="仿宋_GB2312" w:hAnsi="仿宋_GB2312" w:eastAsia="仿宋_GB2312" w:cs="仿宋_GB2312"/>
          <w:kern w:val="2"/>
          <w:sz w:val="32"/>
          <w:szCs w:val="32"/>
          <w:lang w:val="en-US" w:eastAsia="zh-CN"/>
        </w:rPr>
        <w:t>年初预算数为0.59万元，决算数0.59万元,完成年初预算的100.00%，决算数与年初预算数不存在差异。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2.一般公共服务支出（类）组织事务（款）行政运行（项）</w:t>
      </w:r>
      <w:r>
        <w:rPr>
          <w:rFonts w:hint="eastAsia" w:ascii="仿宋_GB2312" w:hAnsi="仿宋_GB2312" w:eastAsia="仿宋_GB2312" w:cs="仿宋_GB2312"/>
          <w:kern w:val="2"/>
          <w:sz w:val="32"/>
          <w:szCs w:val="32"/>
          <w:lang w:val="en-US" w:eastAsia="zh-CN"/>
        </w:rPr>
        <w:t>年初预算数为109.64万元，决算数157.62万元,完成年初预算的143.76%，决算数与年初预算数存在差异的主要原因是预算中未安排上年结转的新建老年大学相关经费。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3.一般公共服务支出（类）组织事务（款）一般行政管理事务（项）</w:t>
      </w:r>
      <w:r>
        <w:rPr>
          <w:rFonts w:hint="eastAsia" w:ascii="仿宋_GB2312" w:hAnsi="仿宋_GB2312" w:eastAsia="仿宋_GB2312" w:cs="仿宋_GB2312"/>
          <w:kern w:val="2"/>
          <w:sz w:val="32"/>
          <w:szCs w:val="32"/>
          <w:lang w:val="en-US" w:eastAsia="zh-CN"/>
        </w:rPr>
        <w:t>年初预算数为53.89万元，决算数17.41万元,完成年初预算的32.31%，决算数与年初预算数存在差异的主要原因是我单位项目尾款未支付。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4.一般公共服务支出（类）其他一般公共服务支出（款）其他一般公共服务支出（项）</w:t>
      </w:r>
      <w:r>
        <w:rPr>
          <w:rFonts w:hint="eastAsia" w:ascii="仿宋_GB2312" w:hAnsi="仿宋_GB2312" w:eastAsia="仿宋_GB2312" w:cs="仿宋_GB2312"/>
          <w:kern w:val="2"/>
          <w:sz w:val="32"/>
          <w:szCs w:val="32"/>
          <w:lang w:val="en-US" w:eastAsia="zh-CN"/>
        </w:rPr>
        <w:t>年初预算数为0.00万元，决算数4.52万元,决算数与年初预算数存在差异的主要原因是预算未安排，为发放的2022年平安建设奖。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5.社会保障和就业支出（类）行政事业单位养老支出（款）机关事业单位基本养老保险缴费支出（项）</w:t>
      </w:r>
      <w:r>
        <w:rPr>
          <w:rFonts w:hint="eastAsia" w:ascii="仿宋_GB2312" w:hAnsi="仿宋_GB2312" w:eastAsia="仿宋_GB2312" w:cs="仿宋_GB2312"/>
          <w:kern w:val="2"/>
          <w:sz w:val="32"/>
          <w:szCs w:val="32"/>
          <w:lang w:val="en-US" w:eastAsia="zh-CN"/>
        </w:rPr>
        <w:t>年初预算数为6.98万元，决算数7.25万元,完成年初预算的103.87%，决算数与年初预算数存在差异的主要原因是养老基数调整，支出增加。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6.卫生健康支出（类）行政事业单位医疗（款）行政单位医疗（项）</w:t>
      </w:r>
      <w:r>
        <w:rPr>
          <w:rFonts w:hint="eastAsia" w:ascii="仿宋_GB2312" w:hAnsi="仿宋_GB2312" w:eastAsia="仿宋_GB2312" w:cs="仿宋_GB2312"/>
          <w:kern w:val="2"/>
          <w:sz w:val="32"/>
          <w:szCs w:val="32"/>
          <w:lang w:val="en-US" w:eastAsia="zh-CN"/>
        </w:rPr>
        <w:t>年初预算数为3.76万元，决算数3.83万元,完成年初预算的101.86%，决算数与年初预算数存在差异的主要原因是医保基数调整，支出增加。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7.卫生健康支出（类）行政事业单位医疗（款）公务员医疗补助（项）</w:t>
      </w:r>
      <w:r>
        <w:rPr>
          <w:rFonts w:hint="eastAsia" w:ascii="仿宋_GB2312" w:hAnsi="仿宋_GB2312" w:eastAsia="仿宋_GB2312" w:cs="仿宋_GB2312"/>
          <w:kern w:val="2"/>
          <w:sz w:val="32"/>
          <w:szCs w:val="32"/>
          <w:lang w:val="en-US" w:eastAsia="zh-CN"/>
        </w:rPr>
        <w:t>年初预算数为4.18万元，决算数4.26万元,完成年初预算的101.91%，决算数与年初预算数存在差异的主要原因是公务员医疗补助基数调整，支出增加。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8.住房保障支出（类）住房改革支出（款）住房公积金（项）</w:t>
      </w:r>
      <w:r>
        <w:rPr>
          <w:rFonts w:hint="eastAsia" w:ascii="仿宋_GB2312" w:hAnsi="仿宋_GB2312" w:eastAsia="仿宋_GB2312" w:cs="仿宋_GB2312"/>
          <w:kern w:val="2"/>
          <w:sz w:val="32"/>
          <w:szCs w:val="32"/>
          <w:lang w:val="en-US" w:eastAsia="zh-CN"/>
        </w:rPr>
        <w:t>年初预算数为7.16万元，决算数7.16万元,完成年初预算的100.00%，决算数与年初预算数不存在差异。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基本支出145.66万元。其中：人员经费128.25万元，主要包括：基本工资、津贴补贴、奖金、机关事业单位基本养老保险缴费、职工基本医疗保险缴费、公务员医疗补助缴费、其他社会保障缴费、住房公积金。公用经费17.40万元，主要包括：办公费、电费、差旅费、维修（护）费、劳务费、工会经费、其他交通费用、其他商品和服务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2023年度“三公”经费财政拨款支出预算为0.00万元，支出决算为0.00万元。2023年度“三公”经费支出决算数与预算数无差异。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2023年度“三公”经费财政拨款支出决算中，因公出国（境）费支出决算0.00万元；公务用车购置及运行费支出决算0.00万元；公务接待费支出决算0.00万元。具体情况如下：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1.因公出国（境）费</w:t>
      </w:r>
      <w:r>
        <w:rPr>
          <w:rFonts w:hint="eastAsia" w:ascii="仿宋_GB2312" w:hAnsi="仿宋_GB2312" w:eastAsia="仿宋_GB2312" w:cs="仿宋_GB2312"/>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2.公务用车购置及运行费</w:t>
      </w:r>
      <w:r>
        <w:rPr>
          <w:rFonts w:hint="eastAsia" w:ascii="仿宋_GB2312" w:hAnsi="仿宋_GB2312" w:eastAsia="仿宋_GB2312" w:cs="仿宋_GB2312"/>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公务用车购置支出</w:t>
      </w:r>
      <w:r>
        <w:rPr>
          <w:rFonts w:hint="eastAsia" w:ascii="仿宋_GB2312" w:hAnsi="仿宋_GB2312" w:eastAsia="仿宋_GB2312" w:cs="仿宋_GB2312"/>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公务用车运行维护支出</w:t>
      </w:r>
      <w:r>
        <w:rPr>
          <w:rFonts w:hint="eastAsia" w:ascii="仿宋_GB2312" w:hAnsi="仿宋_GB2312" w:eastAsia="仿宋_GB2312" w:cs="仿宋_GB2312"/>
          <w:kern w:val="0"/>
          <w:sz w:val="32"/>
          <w:szCs w:val="32"/>
          <w:lang w:val="en-US" w:eastAsia="zh-CN"/>
        </w:rPr>
        <w:t>0.00万元。2023年期末，单位开支财政拨款的公务用车保有量为</w:t>
      </w:r>
      <w:r>
        <w:rPr>
          <w:rFonts w:hint="eastAsia" w:ascii="仿宋_GB2312" w:hAnsi="仿宋_GB2312" w:eastAsia="仿宋_GB2312" w:cs="仿宋_GB2312"/>
          <w:kern w:val="2"/>
          <w:sz w:val="32"/>
          <w:szCs w:val="32"/>
          <w:lang w:val="en-US" w:eastAsia="zh-CN"/>
        </w:rPr>
        <w:t>0</w:t>
      </w:r>
      <w:r>
        <w:rPr>
          <w:rFonts w:hint="eastAsia" w:ascii="仿宋_GB2312" w:hAnsi="仿宋_GB2312" w:eastAsia="仿宋_GB2312" w:cs="仿宋_GB2312"/>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3.公务接待费</w:t>
      </w:r>
      <w:r>
        <w:rPr>
          <w:rFonts w:hint="eastAsia" w:ascii="仿宋_GB2312" w:hAnsi="仿宋_GB2312" w:eastAsia="仿宋_GB2312" w:cs="仿宋_GB2312"/>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外宾接待支出</w:t>
      </w:r>
      <w:r>
        <w:rPr>
          <w:rFonts w:hint="eastAsia" w:ascii="仿宋_GB2312" w:hAnsi="仿宋_GB2312" w:eastAsia="仿宋_GB2312" w:cs="仿宋_GB2312"/>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0"/>
          <w:sz w:val="32"/>
          <w:szCs w:val="32"/>
          <w:lang w:val="en-US" w:eastAsia="zh-CN"/>
        </w:rPr>
        <w:t>其他国内公务接待支出</w:t>
      </w:r>
      <w:r>
        <w:rPr>
          <w:rFonts w:hint="eastAsia" w:ascii="仿宋_GB2312" w:hAnsi="仿宋_GB2312" w:eastAsia="仿宋_GB2312" w:cs="仿宋_GB2312"/>
          <w:b w:val="0"/>
          <w:bCs w:val="0"/>
          <w:kern w:val="0"/>
          <w:sz w:val="32"/>
          <w:szCs w:val="32"/>
          <w:lang w:val="en-US" w:eastAsia="zh-CN"/>
        </w:rPr>
        <w:t>0.00</w:t>
      </w:r>
      <w:r>
        <w:rPr>
          <w:rFonts w:hint="eastAsia" w:ascii="仿宋_GB2312" w:hAnsi="仿宋_GB2312" w:eastAsia="仿宋_GB2312" w:cs="仿宋_GB2312"/>
          <w:kern w:val="0"/>
          <w:sz w:val="32"/>
          <w:szCs w:val="32"/>
          <w:lang w:val="en-US" w:eastAsia="zh-CN"/>
        </w:rPr>
        <w:t>万元。2023年共接待国内来访团组0个、来宾0人次（不包括陪同人员）</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2023年度机关运行经费支出17.40万元，较2022年度增长1.06万元，增长6.49%，主要原因是2022年受疫情影响，2023年各项工作恢复正常，支出增加。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2023年期末，本单位共有车辆0辆，其中：省级领导干部用车0辆、主要领导干部用车0辆、机要通信用车0辆、应急保障车0辆、执法执勤用车0辆、特种专业技术用车0</w:t>
      </w:r>
      <w:r>
        <w:rPr>
          <w:rFonts w:hint="eastAsia" w:ascii="仿宋_GB2312" w:hAnsi="仿宋_GB2312" w:eastAsia="仿宋_GB2312" w:cs="仿宋_GB2312"/>
          <w:kern w:val="0"/>
          <w:sz w:val="32"/>
          <w:szCs w:val="32"/>
          <w:lang w:val="en-US" w:eastAsia="zh-CN"/>
        </w:rPr>
        <w:tab/>
      </w:r>
      <w:r>
        <w:rPr>
          <w:rFonts w:hint="eastAsia" w:ascii="仿宋_GB2312" w:hAnsi="仿宋_GB2312" w:eastAsia="仿宋_GB2312" w:cs="仿宋_GB2312"/>
          <w:kern w:val="0"/>
          <w:sz w:val="32"/>
          <w:szCs w:val="32"/>
          <w:lang w:val="en-US" w:eastAsia="zh-CN"/>
        </w:rPr>
        <w:t>辆、离退休干部用车0辆、其他用车0辆；单价100万元（含）以上设备（不含车辆）0台（套）。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1.单位整体绩效自评。</w:t>
      </w:r>
      <w:r>
        <w:rPr>
          <w:rFonts w:hint="eastAsia" w:ascii="仿宋_GB2312" w:hAnsi="仿宋_GB2312" w:eastAsia="仿宋_GB2312" w:cs="仿宋_GB2312"/>
          <w:kern w:val="2"/>
          <w:sz w:val="32"/>
          <w:szCs w:val="32"/>
          <w:lang w:val="en-US" w:eastAsia="zh-CN"/>
        </w:rPr>
        <w:t>涉及预算资金240.52万元。自评得分为99.8分，等级为“优”。从单位整体自评情况来看，各项工作按照年初设定指标有序推进并且取得了显著成效，较好地完成了年度各项目标任务。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2.项目绩效自评。</w:t>
      </w:r>
      <w:r>
        <w:rPr>
          <w:rFonts w:hint="eastAsia" w:ascii="仿宋_GB2312" w:hAnsi="仿宋_GB2312" w:eastAsia="仿宋_GB2312" w:cs="仿宋_GB2312"/>
          <w:kern w:val="2"/>
          <w:sz w:val="32"/>
          <w:szCs w:val="32"/>
          <w:lang w:val="en-US" w:eastAsia="zh-CN"/>
        </w:rPr>
        <w:t>基于项目预期目标的实现程度，我单位对2023年度单位预算项目支出（含单位参与分配的转移支付项目）开展绩效自评，涉及项目1个，项目金额53.89万元。其中：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 xml:space="preserve">（1）市老年大学运行经费，自评得分为99分，等级为“优”。各项工作按照设定指标有序推进并且取得了显著成效，较好地完成了各项目标任务。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从项目绩效自评情况来看，该项目的资金管理、成本、产出、效益、满意度等各项指标全部达到100%，均达到预期效果。</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eastAsia" w:ascii="仿宋_GB2312" w:hAnsi="仿宋_GB2312" w:eastAsia="仿宋_GB2312" w:cs="仿宋_GB2312"/>
          <w:kern w:val="2"/>
          <w:sz w:val="32"/>
          <w:szCs w:val="32"/>
          <w:lang w:val="en-US" w:eastAsia="zh-CN"/>
        </w:rPr>
        <w:t>根据工作实际，主管部门未选取我单位项目开展重点绩效评价。</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8"/>
        <w:gridCol w:w="1012"/>
        <w:gridCol w:w="299"/>
        <w:gridCol w:w="299"/>
        <w:gridCol w:w="1487"/>
        <w:gridCol w:w="893"/>
        <w:gridCol w:w="993"/>
        <w:gridCol w:w="613"/>
        <w:gridCol w:w="659"/>
        <w:gridCol w:w="937"/>
        <w:gridCol w:w="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0" w:type="auto"/>
            <w:gridSpan w:val="11"/>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单位整体自评表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许昌市老干部教育中心（许昌市老年大学）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186.2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240.52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202.65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84.25</w:t>
            </w: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186.2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240.45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202.65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84.28</w:t>
            </w: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目标1：为许昌市离退休老干部建设学习教育阵地</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 xml:space="preserve"> 目标2：发挥老干部优势作用，引导老干部发挥正能量</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 xml:space="preserve"> 目标3：组织开展老干部学习教育活动、社会活动、健身活动等</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为许昌市离退休老干部建设学习教育阵地</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 xml:space="preserve"> 发挥老干部优势作用，引导老干部发挥正能量</w:t>
            </w:r>
            <w:r>
              <w:rPr>
                <w:rFonts w:ascii="宋体" w:hAnsi="宋体" w:eastAsia="宋体" w:cs="宋体"/>
                <w:i w:val="0"/>
                <w:iCs w:val="0"/>
                <w:color w:val="000000"/>
                <w:kern w:val="0"/>
                <w:sz w:val="18"/>
                <w:szCs w:val="18"/>
                <w:u w:val="none"/>
                <w:lang w:val="en-US" w:eastAsia="zh-CN" w:bidi="en-AU"/>
              </w:rPr>
              <w:br w:type="textWrapping"/>
            </w:r>
            <w:r>
              <w:rPr>
                <w:rFonts w:ascii="宋体" w:hAnsi="宋体" w:eastAsia="宋体" w:cs="宋体"/>
                <w:i w:val="0"/>
                <w:iCs w:val="0"/>
                <w:color w:val="000000"/>
                <w:kern w:val="0"/>
                <w:sz w:val="18"/>
                <w:szCs w:val="18"/>
                <w:u w:val="none"/>
                <w:lang w:val="en-US" w:eastAsia="zh-CN" w:bidi="en-AU"/>
              </w:rPr>
              <w:t xml:space="preserve"> 组织开展老干部学习教育活动、社会活动、健身活动等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设老干部学习教育阵地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发挥老干部优势作用，组织老干部学习教育、社会活动、健身活动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发挥老干部优势作用，组织老干部学习教育、社会活动、健身活动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84.25</w:t>
            </w: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14.75</w:t>
            </w: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项目尾款未支付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教学、活动参与率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发挥老干部优势作用，组织老干部学习教育、社会活动、健身活动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老干部感受到党和政府的关怀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让老干部满意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r>
              <w:rPr>
                <w:rFonts w:hint="eastAsia" w:ascii="宋体" w:hAnsi="宋体" w:cs="宋体"/>
                <w:i w:val="0"/>
                <w:iCs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bl>
    <w:p>
      <w:pPr>
        <w:pStyle w:val="10"/>
        <w:sectPr>
          <w:pgSz w:w="11906" w:h="16838"/>
          <w:pgMar w:top="1440" w:right="1800" w:bottom="1440" w:left="1800" w:header="851" w:footer="992" w:gutter="0"/>
          <w:cols w:space="720" w:num="1"/>
          <w:docGrid w:type="lines" w:linePitch="312" w:charSpace="0"/>
        </w:sect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5"/>
        <w:gridCol w:w="309"/>
        <w:gridCol w:w="715"/>
        <w:gridCol w:w="528"/>
        <w:gridCol w:w="1943"/>
        <w:gridCol w:w="1959"/>
        <w:gridCol w:w="704"/>
        <w:gridCol w:w="603"/>
        <w:gridCol w:w="502"/>
        <w:gridCol w:w="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en-AU"/>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en-AU"/>
              </w:rPr>
            </w:pPr>
            <w:r>
              <w:rPr>
                <w:rFonts w:hint="eastAsia" w:ascii="宋体" w:hAnsi="宋体" w:eastAsia="宋体" w:cs="宋体"/>
                <w:i w:val="0"/>
                <w:iCs w:val="0"/>
                <w:color w:val="000000"/>
                <w:kern w:val="0"/>
                <w:sz w:val="24"/>
                <w:szCs w:val="24"/>
                <w:u w:val="none"/>
                <w:lang w:val="en-US" w:eastAsia="zh-CN" w:bidi="en-AU"/>
              </w:rPr>
              <w:t>项目名称</w:t>
            </w:r>
          </w:p>
          <w:p>
            <w:pPr>
              <w:pStyle w:val="10"/>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en-AU"/>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市老年大学运行经费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en-AU"/>
              </w:rPr>
            </w:pPr>
            <w:r>
              <w:rPr>
                <w:rFonts w:hint="eastAsia" w:ascii="宋体" w:hAnsi="宋体" w:eastAsia="宋体" w:cs="宋体"/>
                <w:i w:val="0"/>
                <w:iCs w:val="0"/>
                <w:color w:val="000000"/>
                <w:kern w:val="0"/>
                <w:sz w:val="24"/>
                <w:szCs w:val="24"/>
                <w:u w:val="none"/>
                <w:lang w:val="en-US" w:eastAsia="zh-CN" w:bidi="en-AU"/>
              </w:rPr>
              <w:t>主管部门</w:t>
            </w:r>
          </w:p>
          <w:p>
            <w:pPr>
              <w:pStyle w:val="10"/>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en-AU"/>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中共许昌市委老干部局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许昌市老年大学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3"/>
                <w:lang w:val="en-US" w:eastAsia="zh-CN" w:bidi="en-AU"/>
              </w:rPr>
              <w:t xml:space="preserve"> </w:t>
            </w:r>
            <w:r>
              <w:rPr>
                <w:rStyle w:val="14"/>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53.89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53.89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53.89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53.89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53.89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53.89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结合单位实际，科学合理分配资金。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严格履行资金拨付审核程序，认真执行有关规定支付资金。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严格按照财政部门下达预算的科目和项目执行，没有截留、挤占、挪用或擅自调整等情况。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基本完成绩效目标。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4</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为许昌市离退休老干部建设学习教育阵地，发挥老干部优势作用，组织开展老干部学习教育活动、社会活动、健身活动等。</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开设9个系、36个专业、63门课程，学员人数达2500余人；经常性开展乒乓球、门球、羽毛球训练及比赛，书画、摄影教学及作品展出等；积极引导老同志发挥正能量，进一步加强了老干部阵地建设。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开展教学、活动经费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≤53.89万元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53.89万元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学员人数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≥2000人次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2500人次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教学、活动参与率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教学学期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=2学期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2学期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发挥老干部正能量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有效发挥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老干部参与学习活动满意度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bl>
    <w:p>
      <w:pPr>
        <w:pStyle w:val="10"/>
        <w:sectPr>
          <w:pgSz w:w="11906" w:h="16838"/>
          <w:pgMar w:top="1440" w:right="1800" w:bottom="1440" w:left="1800" w:header="851" w:footer="992" w:gutter="0"/>
          <w:cols w:space="720"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bookmarkStart w:id="0" w:name="_GoBack"/>
      <w:r>
        <w:rPr>
          <w:rFonts w:hint="eastAsia" w:ascii="仿宋_GB2312" w:hAnsi="仿宋_GB2312" w:eastAsia="仿宋_GB2312" w:cs="仿宋_GB2312"/>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rPr>
      </w:pPr>
      <w:r>
        <w:rPr>
          <w:rFonts w:hint="eastAsia" w:ascii="仿宋_GB2312" w:hAnsi="仿宋_GB2312" w:eastAsia="仿宋_GB2312" w:cs="仿宋_GB2312"/>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0"/>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panose1 w:val="02010600090101010101"/>
    <w:charset w:val="7A"/>
    <w:family w:val="auto"/>
    <w:pitch w:val="default"/>
    <w:sig w:usb0="800002BF" w:usb1="38CF7CFA" w:usb2="00000016" w:usb3="00000000" w:csb0="6016019D" w:csb1="D3F7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宋体"/>
    <w:panose1 w:val="02010609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5dblS0AAAAAUBAAAPAAAAAAAAAAEAIAAAADgAAABkcnMvZG93bnJldi54&#10;bWxQSwECFAAUAAAACACHTuJAeoES5OwBAADBAwAADgAAAAAAAAABACAAAAA1AQAAZHJzL2Uyb0Rv&#10;Yy54bWxQSwUGAAAAAAYABgBZAQAAkwU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F5F58E"/>
    <w:multiLevelType w:val="multilevel"/>
    <w:tmpl w:val="F6F5F5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4FFF7F08"/>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7a927408-836c-4ddb-b033-43541d13900e"/>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普通表格1"/>
    <w:semiHidden/>
    <w:qFormat/>
    <w:uiPriority w:val="0"/>
    <w:tblPr>
      <w:tblCellMar>
        <w:top w:w="0" w:type="dxa"/>
        <w:left w:w="108" w:type="dxa"/>
        <w:bottom w:w="0" w:type="dxa"/>
        <w:right w:w="108" w:type="dxa"/>
      </w:tblCellMar>
    </w:tblPr>
  </w:style>
  <w:style w:type="character" w:customStyle="1" w:styleId="12">
    <w:name w:val="默认段落字体1"/>
    <w:semiHidden/>
    <w:qFormat/>
    <w:uiPriority w:val="0"/>
  </w:style>
  <w:style w:type="character" w:customStyle="1" w:styleId="13">
    <w:name w:val="font21"/>
    <w:basedOn w:val="12"/>
    <w:qFormat/>
    <w:uiPriority w:val="0"/>
    <w:rPr>
      <w:rFonts w:hint="eastAsia" w:ascii="宋体" w:hAnsi="宋体" w:eastAsia="宋体" w:cs="宋体"/>
      <w:color w:val="000000"/>
      <w:sz w:val="24"/>
      <w:szCs w:val="24"/>
      <w:u w:val="none"/>
    </w:rPr>
  </w:style>
  <w:style w:type="character" w:customStyle="1" w:styleId="14">
    <w:name w:val="font3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6</TotalTime>
  <ScaleCrop>false</ScaleCrop>
  <LinksUpToDate>false</LinksUpToDate>
  <CharactersWithSpaces>19465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2024-10-09T17:42:32Z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DF94CE1DC53D4C5F990C8EECCB3F5EB2_13</vt:lpwstr>
  </property>
</Properties>
</file>