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许昌市第三初级中学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许昌市第三初级中学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许昌市第三初级中学概况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1、全面贯彻执行党和国家的教育方针、政策和法规,实施初中义务教育，促进基础教育发展。</w:t>
        <w:br/>
        <w:t xml:space="preserve">    2、负责依法制定学校章程，并按照章程自主管理。</w:t>
        <w:br/>
        <w:t xml:space="preserve">    3、负责制定学校教育发展规划，并抓好组织实施和落实工作。</w:t>
        <w:br/>
        <w:t xml:space="preserve">    4、负责按照教育主管部门发布的指导性教育计划、教学大纲，组织实施教育教学活动。</w:t>
        <w:br/>
        <w:t xml:space="preserve">    5、负责依据国家教育主管部门有关教学计划、课程设置等方面的规定，决定和实施本校的教学计划，组织教学评比、集体备课，对学生进行统一考核、考试等。</w:t>
        <w:br/>
        <w:t xml:space="preserve">    6、负责科学管理、合理使用学校的设施和经费，并积极筹措资金，改善办学条件。</w:t>
        <w:br/>
        <w:t xml:space="preserve">    7、负责维护学校、师生的合法权益，有权拒绝任何组织和个人对教育教学活动进行非法干涉。</w:t>
        <w:br/>
        <w:t xml:space="preserve">    ８、依法接受各级教育行政部门的检查指导和人民群众的监督。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许昌市第三初级中学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办公室、教务科、政教科、安全科、总务科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许昌市第三初级中学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许昌市第三初级中学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558.03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3.17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417.58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88.01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16.96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32.30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558.03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558.03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558.03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558.03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558.03</w:t>
            </w:r>
          </w:p>
        </w:tc>
        <w:tc>
          <w:tcPr>
            <w:tcW w:w="1440" w:type="dxa"/>
            <w:tcBorders/>
            <w:vAlign w:val="center"/>
          </w:tcPr>
          <w:p>
            <w:pPr>
              <w:jc w:val="right"/>
            </w:pPr>
            <w:r>
              <w:rPr>
                <w:rFonts w:ascii="宋体" w:eastAsia="宋体" w:hAnsi="宋体" w:cs="宋体"/>
                <w:b/>
                <w:i w:val="0"/>
                <w:color w:val="000000"/>
                <w:sz w:val="17"/>
              </w:rPr>
              <w:t xml:space="preserve">558.03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3.17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417.58</w:t>
            </w:r>
          </w:p>
        </w:tc>
        <w:tc>
          <w:tcPr>
            <w:tcW w:w="1440" w:type="dxa"/>
            <w:tcBorders/>
            <w:vAlign w:val="center"/>
          </w:tcPr>
          <w:p>
            <w:pPr>
              <w:jc w:val="right"/>
            </w:pPr>
            <w:r>
              <w:rPr>
                <w:rFonts w:ascii="宋体" w:eastAsia="宋体" w:hAnsi="宋体" w:cs="宋体"/>
                <w:b w:val="0"/>
                <w:i w:val="0"/>
                <w:color w:val="000000"/>
                <w:sz w:val="17"/>
              </w:rPr>
              <w:t xml:space="preserve">417.58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417.58</w:t>
            </w:r>
          </w:p>
        </w:tc>
        <w:tc>
          <w:tcPr>
            <w:tcW w:w="1440" w:type="dxa"/>
            <w:tcBorders/>
            <w:vAlign w:val="center"/>
          </w:tcPr>
          <w:p>
            <w:pPr>
              <w:jc w:val="right"/>
            </w:pPr>
            <w:r>
              <w:rPr>
                <w:rFonts w:ascii="宋体" w:eastAsia="宋体" w:hAnsi="宋体" w:cs="宋体"/>
                <w:b w:val="0"/>
                <w:i w:val="0"/>
                <w:color w:val="000000"/>
                <w:sz w:val="17"/>
              </w:rPr>
              <w:t xml:space="preserve">417.58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0.80</w:t>
            </w:r>
          </w:p>
        </w:tc>
        <w:tc>
          <w:tcPr>
            <w:tcW w:w="1440" w:type="dxa"/>
            <w:tcBorders/>
            <w:vAlign w:val="center"/>
          </w:tcPr>
          <w:p>
            <w:pPr>
              <w:jc w:val="right"/>
            </w:pPr>
            <w:r>
              <w:rPr>
                <w:rFonts w:ascii="宋体" w:eastAsia="宋体" w:hAnsi="宋体" w:cs="宋体"/>
                <w:b w:val="0"/>
                <w:i w:val="0"/>
                <w:color w:val="000000"/>
                <w:sz w:val="17"/>
              </w:rPr>
              <w:t xml:space="preserve">0.80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410.20</w:t>
            </w:r>
          </w:p>
        </w:tc>
        <w:tc>
          <w:tcPr>
            <w:tcW w:w="1440" w:type="dxa"/>
            <w:tcBorders/>
            <w:vAlign w:val="center"/>
          </w:tcPr>
          <w:p>
            <w:pPr>
              <w:jc w:val="right"/>
            </w:pPr>
            <w:r>
              <w:rPr>
                <w:rFonts w:ascii="宋体" w:eastAsia="宋体" w:hAnsi="宋体" w:cs="宋体"/>
                <w:b w:val="0"/>
                <w:i w:val="0"/>
                <w:color w:val="000000"/>
                <w:sz w:val="17"/>
              </w:rPr>
              <w:t xml:space="preserve">410.20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6.58</w:t>
            </w:r>
          </w:p>
        </w:tc>
        <w:tc>
          <w:tcPr>
            <w:tcW w:w="1440" w:type="dxa"/>
            <w:tcBorders/>
            <w:vAlign w:val="center"/>
          </w:tcPr>
          <w:p>
            <w:pPr>
              <w:jc w:val="right"/>
            </w:pPr>
            <w:r>
              <w:rPr>
                <w:rFonts w:ascii="宋体" w:eastAsia="宋体" w:hAnsi="宋体" w:cs="宋体"/>
                <w:b w:val="0"/>
                <w:i w:val="0"/>
                <w:color w:val="000000"/>
                <w:sz w:val="17"/>
              </w:rPr>
              <w:t xml:space="preserve">6.58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88.01</w:t>
            </w:r>
          </w:p>
        </w:tc>
        <w:tc>
          <w:tcPr>
            <w:tcW w:w="1440" w:type="dxa"/>
            <w:tcBorders/>
            <w:vAlign w:val="center"/>
          </w:tcPr>
          <w:p>
            <w:pPr>
              <w:jc w:val="right"/>
            </w:pPr>
            <w:r>
              <w:rPr>
                <w:rFonts w:ascii="宋体" w:eastAsia="宋体" w:hAnsi="宋体" w:cs="宋体"/>
                <w:b w:val="0"/>
                <w:i w:val="0"/>
                <w:color w:val="000000"/>
                <w:sz w:val="17"/>
              </w:rPr>
              <w:t xml:space="preserve">88.01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81.75</w:t>
            </w:r>
          </w:p>
        </w:tc>
        <w:tc>
          <w:tcPr>
            <w:tcW w:w="1440" w:type="dxa"/>
            <w:tcBorders/>
            <w:vAlign w:val="center"/>
          </w:tcPr>
          <w:p>
            <w:pPr>
              <w:jc w:val="right"/>
            </w:pPr>
            <w:r>
              <w:rPr>
                <w:rFonts w:ascii="宋体" w:eastAsia="宋体" w:hAnsi="宋体" w:cs="宋体"/>
                <w:b w:val="0"/>
                <w:i w:val="0"/>
                <w:color w:val="000000"/>
                <w:sz w:val="17"/>
              </w:rPr>
              <w:t xml:space="preserve">81.75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47.84</w:t>
            </w:r>
          </w:p>
        </w:tc>
        <w:tc>
          <w:tcPr>
            <w:tcW w:w="1440" w:type="dxa"/>
            <w:tcBorders/>
            <w:vAlign w:val="center"/>
          </w:tcPr>
          <w:p>
            <w:pPr>
              <w:jc w:val="right"/>
            </w:pPr>
            <w:r>
              <w:rPr>
                <w:rFonts w:ascii="宋体" w:eastAsia="宋体" w:hAnsi="宋体" w:cs="宋体"/>
                <w:b w:val="0"/>
                <w:i w:val="0"/>
                <w:color w:val="000000"/>
                <w:sz w:val="17"/>
              </w:rPr>
              <w:t xml:space="preserve">47.84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33.91</w:t>
            </w:r>
          </w:p>
        </w:tc>
        <w:tc>
          <w:tcPr>
            <w:tcW w:w="1440" w:type="dxa"/>
            <w:tcBorders/>
            <w:vAlign w:val="center"/>
          </w:tcPr>
          <w:p>
            <w:pPr>
              <w:jc w:val="right"/>
            </w:pPr>
            <w:r>
              <w:rPr>
                <w:rFonts w:ascii="宋体" w:eastAsia="宋体" w:hAnsi="宋体" w:cs="宋体"/>
                <w:b w:val="0"/>
                <w:i w:val="0"/>
                <w:color w:val="000000"/>
                <w:sz w:val="17"/>
              </w:rPr>
              <w:t xml:space="preserve">33.91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6.26</w:t>
            </w:r>
          </w:p>
        </w:tc>
        <w:tc>
          <w:tcPr>
            <w:tcW w:w="1440" w:type="dxa"/>
            <w:tcBorders/>
            <w:vAlign w:val="center"/>
          </w:tcPr>
          <w:p>
            <w:pPr>
              <w:jc w:val="right"/>
            </w:pPr>
            <w:r>
              <w:rPr>
                <w:rFonts w:ascii="宋体" w:eastAsia="宋体" w:hAnsi="宋体" w:cs="宋体"/>
                <w:b w:val="0"/>
                <w:i w:val="0"/>
                <w:color w:val="000000"/>
                <w:sz w:val="17"/>
              </w:rPr>
              <w:t xml:space="preserve">6.26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6.26</w:t>
            </w:r>
          </w:p>
        </w:tc>
        <w:tc>
          <w:tcPr>
            <w:tcW w:w="1440" w:type="dxa"/>
            <w:tcBorders/>
            <w:vAlign w:val="center"/>
          </w:tcPr>
          <w:p>
            <w:pPr>
              <w:jc w:val="right"/>
            </w:pPr>
            <w:r>
              <w:rPr>
                <w:rFonts w:ascii="宋体" w:eastAsia="宋体" w:hAnsi="宋体" w:cs="宋体"/>
                <w:b w:val="0"/>
                <w:i w:val="0"/>
                <w:color w:val="000000"/>
                <w:sz w:val="17"/>
              </w:rPr>
              <w:t xml:space="preserve">6.26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16.96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32.30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558.03</w:t>
            </w:r>
          </w:p>
        </w:tc>
        <w:tc>
          <w:tcPr>
            <w:tcW w:w="1600" w:type="dxa"/>
            <w:tcBorders/>
            <w:vAlign w:val="center"/>
          </w:tcPr>
          <w:p>
            <w:pPr>
              <w:jc w:val="right"/>
            </w:pPr>
            <w:r>
              <w:rPr>
                <w:rFonts w:ascii="宋体" w:eastAsia="宋体" w:hAnsi="宋体" w:cs="宋体"/>
                <w:b/>
                <w:i w:val="0"/>
                <w:color w:val="000000"/>
                <w:sz w:val="19"/>
              </w:rPr>
              <w:t xml:space="preserve">540.95</w:t>
            </w:r>
          </w:p>
        </w:tc>
        <w:tc>
          <w:tcPr>
            <w:tcW w:w="1600" w:type="dxa"/>
            <w:tcBorders/>
            <w:vAlign w:val="center"/>
          </w:tcPr>
          <w:p>
            <w:pPr>
              <w:jc w:val="right"/>
            </w:pPr>
            <w:r>
              <w:rPr>
                <w:rFonts w:ascii="宋体" w:eastAsia="宋体" w:hAnsi="宋体" w:cs="宋体"/>
                <w:b/>
                <w:i w:val="0"/>
                <w:color w:val="000000"/>
                <w:sz w:val="19"/>
              </w:rPr>
              <w:t xml:space="preserve">17.09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3.17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417.58</w:t>
            </w:r>
          </w:p>
        </w:tc>
        <w:tc>
          <w:tcPr>
            <w:tcW w:w="1600" w:type="dxa"/>
            <w:tcBorders/>
            <w:vAlign w:val="center"/>
          </w:tcPr>
          <w:p>
            <w:pPr>
              <w:jc w:val="right"/>
            </w:pPr>
            <w:r>
              <w:rPr>
                <w:rFonts w:ascii="宋体" w:eastAsia="宋体" w:hAnsi="宋体" w:cs="宋体"/>
                <w:b w:val="0"/>
                <w:i w:val="0"/>
                <w:color w:val="000000"/>
                <w:sz w:val="19"/>
              </w:rPr>
              <w:t xml:space="preserve">400.50</w:t>
            </w:r>
          </w:p>
        </w:tc>
        <w:tc>
          <w:tcPr>
            <w:tcW w:w="1600" w:type="dxa"/>
            <w:tcBorders/>
            <w:vAlign w:val="center"/>
          </w:tcPr>
          <w:p>
            <w:pPr>
              <w:jc w:val="right"/>
            </w:pPr>
            <w:r>
              <w:rPr>
                <w:rFonts w:ascii="宋体" w:eastAsia="宋体" w:hAnsi="宋体" w:cs="宋体"/>
                <w:b w:val="0"/>
                <w:i w:val="0"/>
                <w:color w:val="000000"/>
                <w:sz w:val="19"/>
              </w:rPr>
              <w:t xml:space="preserve">17.09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417.58</w:t>
            </w:r>
          </w:p>
        </w:tc>
        <w:tc>
          <w:tcPr>
            <w:tcW w:w="1600" w:type="dxa"/>
            <w:tcBorders/>
            <w:vAlign w:val="center"/>
          </w:tcPr>
          <w:p>
            <w:pPr>
              <w:jc w:val="right"/>
            </w:pPr>
            <w:r>
              <w:rPr>
                <w:rFonts w:ascii="宋体" w:eastAsia="宋体" w:hAnsi="宋体" w:cs="宋体"/>
                <w:b w:val="0"/>
                <w:i w:val="0"/>
                <w:color w:val="000000"/>
                <w:sz w:val="19"/>
              </w:rPr>
              <w:t xml:space="preserve">400.50</w:t>
            </w:r>
          </w:p>
        </w:tc>
        <w:tc>
          <w:tcPr>
            <w:tcW w:w="1600" w:type="dxa"/>
            <w:tcBorders/>
            <w:vAlign w:val="center"/>
          </w:tcPr>
          <w:p>
            <w:pPr>
              <w:jc w:val="right"/>
            </w:pPr>
            <w:r>
              <w:rPr>
                <w:rFonts w:ascii="宋体" w:eastAsia="宋体" w:hAnsi="宋体" w:cs="宋体"/>
                <w:b w:val="0"/>
                <w:i w:val="0"/>
                <w:color w:val="000000"/>
                <w:sz w:val="19"/>
              </w:rPr>
              <w:t xml:space="preserve">17.09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0.80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410.20</w:t>
            </w:r>
          </w:p>
        </w:tc>
        <w:tc>
          <w:tcPr>
            <w:tcW w:w="1600" w:type="dxa"/>
            <w:tcBorders/>
            <w:vAlign w:val="center"/>
          </w:tcPr>
          <w:p>
            <w:pPr>
              <w:jc w:val="right"/>
            </w:pPr>
            <w:r>
              <w:rPr>
                <w:rFonts w:ascii="宋体" w:eastAsia="宋体" w:hAnsi="宋体" w:cs="宋体"/>
                <w:b w:val="0"/>
                <w:i w:val="0"/>
                <w:color w:val="000000"/>
                <w:sz w:val="19"/>
              </w:rPr>
              <w:t xml:space="preserve">400.50</w:t>
            </w:r>
          </w:p>
        </w:tc>
        <w:tc>
          <w:tcPr>
            <w:tcW w:w="1600" w:type="dxa"/>
            <w:tcBorders/>
            <w:vAlign w:val="center"/>
          </w:tcPr>
          <w:p>
            <w:pPr>
              <w:jc w:val="right"/>
            </w:pPr>
            <w:r>
              <w:rPr>
                <w:rFonts w:ascii="宋体" w:eastAsia="宋体" w:hAnsi="宋体" w:cs="宋体"/>
                <w:b w:val="0"/>
                <w:i w:val="0"/>
                <w:color w:val="000000"/>
                <w:sz w:val="19"/>
              </w:rPr>
              <w:t xml:space="preserve">9.71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6.58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88.01</w:t>
            </w:r>
          </w:p>
        </w:tc>
        <w:tc>
          <w:tcPr>
            <w:tcW w:w="1600" w:type="dxa"/>
            <w:tcBorders/>
            <w:vAlign w:val="center"/>
          </w:tcPr>
          <w:p>
            <w:pPr>
              <w:jc w:val="right"/>
            </w:pPr>
            <w:r>
              <w:rPr>
                <w:rFonts w:ascii="宋体" w:eastAsia="宋体" w:hAnsi="宋体" w:cs="宋体"/>
                <w:b w:val="0"/>
                <w:i w:val="0"/>
                <w:color w:val="000000"/>
                <w:sz w:val="19"/>
              </w:rPr>
              <w:t xml:space="preserve">88.01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81.75</w:t>
            </w:r>
          </w:p>
        </w:tc>
        <w:tc>
          <w:tcPr>
            <w:tcW w:w="1600" w:type="dxa"/>
            <w:tcBorders/>
            <w:vAlign w:val="center"/>
          </w:tcPr>
          <w:p>
            <w:pPr>
              <w:jc w:val="right"/>
            </w:pPr>
            <w:r>
              <w:rPr>
                <w:rFonts w:ascii="宋体" w:eastAsia="宋体" w:hAnsi="宋体" w:cs="宋体"/>
                <w:b w:val="0"/>
                <w:i w:val="0"/>
                <w:color w:val="000000"/>
                <w:sz w:val="19"/>
              </w:rPr>
              <w:t xml:space="preserve">81.75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47.84</w:t>
            </w:r>
          </w:p>
        </w:tc>
        <w:tc>
          <w:tcPr>
            <w:tcW w:w="1600" w:type="dxa"/>
            <w:tcBorders/>
            <w:vAlign w:val="center"/>
          </w:tcPr>
          <w:p>
            <w:pPr>
              <w:jc w:val="right"/>
            </w:pPr>
            <w:r>
              <w:rPr>
                <w:rFonts w:ascii="宋体" w:eastAsia="宋体" w:hAnsi="宋体" w:cs="宋体"/>
                <w:b w:val="0"/>
                <w:i w:val="0"/>
                <w:color w:val="000000"/>
                <w:sz w:val="19"/>
              </w:rPr>
              <w:t xml:space="preserve">47.84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33.91</w:t>
            </w:r>
          </w:p>
        </w:tc>
        <w:tc>
          <w:tcPr>
            <w:tcW w:w="1600" w:type="dxa"/>
            <w:tcBorders/>
            <w:vAlign w:val="center"/>
          </w:tcPr>
          <w:p>
            <w:pPr>
              <w:jc w:val="right"/>
            </w:pPr>
            <w:r>
              <w:rPr>
                <w:rFonts w:ascii="宋体" w:eastAsia="宋体" w:hAnsi="宋体" w:cs="宋体"/>
                <w:b w:val="0"/>
                <w:i w:val="0"/>
                <w:color w:val="000000"/>
                <w:sz w:val="19"/>
              </w:rPr>
              <w:t xml:space="preserve">33.91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6.26</w:t>
            </w:r>
          </w:p>
        </w:tc>
        <w:tc>
          <w:tcPr>
            <w:tcW w:w="1600" w:type="dxa"/>
            <w:tcBorders/>
            <w:vAlign w:val="center"/>
          </w:tcPr>
          <w:p>
            <w:pPr>
              <w:jc w:val="right"/>
            </w:pPr>
            <w:r>
              <w:rPr>
                <w:rFonts w:ascii="宋体" w:eastAsia="宋体" w:hAnsi="宋体" w:cs="宋体"/>
                <w:b w:val="0"/>
                <w:i w:val="0"/>
                <w:color w:val="000000"/>
                <w:sz w:val="19"/>
              </w:rPr>
              <w:t xml:space="preserve">6.26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6.26</w:t>
            </w:r>
          </w:p>
        </w:tc>
        <w:tc>
          <w:tcPr>
            <w:tcW w:w="1600" w:type="dxa"/>
            <w:tcBorders/>
            <w:vAlign w:val="center"/>
          </w:tcPr>
          <w:p>
            <w:pPr>
              <w:jc w:val="right"/>
            </w:pPr>
            <w:r>
              <w:rPr>
                <w:rFonts w:ascii="宋体" w:eastAsia="宋体" w:hAnsi="宋体" w:cs="宋体"/>
                <w:b w:val="0"/>
                <w:i w:val="0"/>
                <w:color w:val="000000"/>
                <w:sz w:val="19"/>
              </w:rPr>
              <w:t xml:space="preserve">6.26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16.96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32.30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3.17</w:t>
            </w:r>
          </w:p>
        </w:tc>
        <w:tc>
          <w:tcPr>
            <w:tcW w:w="1420" w:type="dxa"/>
            <w:tcBorders/>
            <w:vAlign w:val="center"/>
          </w:tcPr>
          <w:p>
            <w:pPr>
              <w:jc w:val="right"/>
            </w:pPr>
            <w:r>
              <w:rPr>
                <w:rFonts w:ascii="宋体" w:eastAsia="宋体" w:hAnsi="宋体" w:cs="宋体"/>
                <w:b w:val="0"/>
                <w:i w:val="0"/>
                <w:color w:val="000000"/>
                <w:sz w:val="18"/>
              </w:rPr>
              <w:t xml:space="preserve">3.17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417.58</w:t>
            </w:r>
          </w:p>
        </w:tc>
        <w:tc>
          <w:tcPr>
            <w:tcW w:w="1420" w:type="dxa"/>
            <w:tcBorders/>
            <w:vAlign w:val="center"/>
          </w:tcPr>
          <w:p>
            <w:pPr>
              <w:jc w:val="right"/>
            </w:pPr>
            <w:r>
              <w:rPr>
                <w:rFonts w:ascii="宋体" w:eastAsia="宋体" w:hAnsi="宋体" w:cs="宋体"/>
                <w:b w:val="0"/>
                <w:i w:val="0"/>
                <w:color w:val="000000"/>
                <w:sz w:val="18"/>
              </w:rPr>
              <w:t xml:space="preserve">417.58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88.01</w:t>
            </w:r>
          </w:p>
        </w:tc>
        <w:tc>
          <w:tcPr>
            <w:tcW w:w="1420" w:type="dxa"/>
            <w:tcBorders/>
            <w:vAlign w:val="center"/>
          </w:tcPr>
          <w:p>
            <w:pPr>
              <w:jc w:val="right"/>
            </w:pPr>
            <w:r>
              <w:rPr>
                <w:rFonts w:ascii="宋体" w:eastAsia="宋体" w:hAnsi="宋体" w:cs="宋体"/>
                <w:b w:val="0"/>
                <w:i w:val="0"/>
                <w:color w:val="000000"/>
                <w:sz w:val="18"/>
              </w:rPr>
              <w:t xml:space="preserve">88.01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16.96</w:t>
            </w:r>
          </w:p>
        </w:tc>
        <w:tc>
          <w:tcPr>
            <w:tcW w:w="1420" w:type="dxa"/>
            <w:tcBorders/>
            <w:vAlign w:val="center"/>
          </w:tcPr>
          <w:p>
            <w:pPr>
              <w:jc w:val="right"/>
            </w:pPr>
            <w:r>
              <w:rPr>
                <w:rFonts w:ascii="宋体" w:eastAsia="宋体" w:hAnsi="宋体" w:cs="宋体"/>
                <w:b w:val="0"/>
                <w:i w:val="0"/>
                <w:color w:val="000000"/>
                <w:sz w:val="18"/>
              </w:rPr>
              <w:t xml:space="preserve">16.96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32.30</w:t>
            </w:r>
          </w:p>
        </w:tc>
        <w:tc>
          <w:tcPr>
            <w:tcW w:w="1420" w:type="dxa"/>
            <w:tcBorders/>
            <w:vAlign w:val="center"/>
          </w:tcPr>
          <w:p>
            <w:pPr>
              <w:jc w:val="right"/>
            </w:pPr>
            <w:r>
              <w:rPr>
                <w:rFonts w:ascii="宋体" w:eastAsia="宋体" w:hAnsi="宋体" w:cs="宋体"/>
                <w:b w:val="0"/>
                <w:i w:val="0"/>
                <w:color w:val="000000"/>
                <w:sz w:val="18"/>
              </w:rPr>
              <w:t xml:space="preserve">32.30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1420" w:type="dxa"/>
            <w:tcBorders/>
            <w:vAlign w:val="center"/>
          </w:tcPr>
          <w:p>
            <w:pPr>
              <w:jc w:val="right"/>
            </w:pPr>
            <w:r>
              <w:rPr>
                <w:rFonts w:ascii="宋体" w:eastAsia="宋体" w:hAnsi="宋体" w:cs="宋体"/>
                <w:b w:val="0"/>
                <w:i w:val="0"/>
                <w:color w:val="000000"/>
                <w:sz w:val="18"/>
              </w:rPr>
              <w:t xml:space="preserve">558.03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558.03</w:t>
            </w:r>
          </w:p>
        </w:tc>
        <w:tc>
          <w:tcPr>
            <w:tcW w:w="2700" w:type="dxa"/>
            <w:tcBorders/>
            <w:vAlign w:val="center"/>
          </w:tcPr>
          <w:p>
            <w:pPr>
              <w:jc w:val="right"/>
            </w:pPr>
            <w:r>
              <w:rPr>
                <w:rFonts w:ascii="宋体" w:eastAsia="宋体" w:hAnsi="宋体" w:cs="宋体"/>
                <w:b/>
                <w:i w:val="0"/>
                <w:color w:val="000000"/>
                <w:sz w:val="25"/>
              </w:rPr>
              <w:t xml:space="preserve">540.95</w:t>
            </w:r>
          </w:p>
        </w:tc>
        <w:tc>
          <w:tcPr>
            <w:tcW w:w="2658" w:type="dxa"/>
            <w:tcBorders/>
            <w:vAlign w:val="center"/>
          </w:tcPr>
          <w:p>
            <w:pPr>
              <w:jc w:val="right"/>
            </w:pPr>
            <w:r>
              <w:rPr>
                <w:rFonts w:ascii="宋体" w:eastAsia="宋体" w:hAnsi="宋体" w:cs="宋体"/>
                <w:b/>
                <w:i w:val="0"/>
                <w:color w:val="000000"/>
                <w:sz w:val="25"/>
              </w:rPr>
              <w:t xml:space="preserve">17.09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700" w:type="dxa"/>
            <w:tcBorders/>
            <w:vAlign w:val="center"/>
          </w:tcPr>
          <w:p>
            <w:pPr>
              <w:jc w:val="right"/>
            </w:pPr>
            <w:r>
              <w:rPr>
                <w:rFonts w:ascii="宋体" w:eastAsia="宋体" w:hAnsi="宋体" w:cs="宋体"/>
                <w:b w:val="0"/>
                <w:i w:val="0"/>
                <w:color w:val="000000"/>
                <w:sz w:val="25"/>
              </w:rPr>
              <w:t xml:space="preserve">3.17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417.58</w:t>
            </w:r>
          </w:p>
        </w:tc>
        <w:tc>
          <w:tcPr>
            <w:tcW w:w="2700" w:type="dxa"/>
            <w:tcBorders/>
            <w:vAlign w:val="center"/>
          </w:tcPr>
          <w:p>
            <w:pPr>
              <w:jc w:val="right"/>
            </w:pPr>
            <w:r>
              <w:rPr>
                <w:rFonts w:ascii="宋体" w:eastAsia="宋体" w:hAnsi="宋体" w:cs="宋体"/>
                <w:b w:val="0"/>
                <w:i w:val="0"/>
                <w:color w:val="000000"/>
                <w:sz w:val="25"/>
              </w:rPr>
              <w:t xml:space="preserve">400.50</w:t>
            </w:r>
          </w:p>
        </w:tc>
        <w:tc>
          <w:tcPr>
            <w:tcW w:w="2658" w:type="dxa"/>
            <w:tcBorders/>
            <w:vAlign w:val="center"/>
          </w:tcPr>
          <w:p>
            <w:pPr>
              <w:jc w:val="right"/>
            </w:pPr>
            <w:r>
              <w:rPr>
                <w:rFonts w:ascii="宋体" w:eastAsia="宋体" w:hAnsi="宋体" w:cs="宋体"/>
                <w:b w:val="0"/>
                <w:i w:val="0"/>
                <w:color w:val="000000"/>
                <w:sz w:val="25"/>
              </w:rPr>
              <w:t xml:space="preserve">17.09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417.58</w:t>
            </w:r>
          </w:p>
        </w:tc>
        <w:tc>
          <w:tcPr>
            <w:tcW w:w="2700" w:type="dxa"/>
            <w:tcBorders/>
            <w:vAlign w:val="center"/>
          </w:tcPr>
          <w:p>
            <w:pPr>
              <w:jc w:val="right"/>
            </w:pPr>
            <w:r>
              <w:rPr>
                <w:rFonts w:ascii="宋体" w:eastAsia="宋体" w:hAnsi="宋体" w:cs="宋体"/>
                <w:b w:val="0"/>
                <w:i w:val="0"/>
                <w:color w:val="000000"/>
                <w:sz w:val="25"/>
              </w:rPr>
              <w:t xml:space="preserve">400.50</w:t>
            </w:r>
          </w:p>
        </w:tc>
        <w:tc>
          <w:tcPr>
            <w:tcW w:w="2658" w:type="dxa"/>
            <w:tcBorders/>
            <w:vAlign w:val="center"/>
          </w:tcPr>
          <w:p>
            <w:pPr>
              <w:jc w:val="right"/>
            </w:pPr>
            <w:r>
              <w:rPr>
                <w:rFonts w:ascii="宋体" w:eastAsia="宋体" w:hAnsi="宋体" w:cs="宋体"/>
                <w:b w:val="0"/>
                <w:i w:val="0"/>
                <w:color w:val="000000"/>
                <w:sz w:val="25"/>
              </w:rPr>
              <w:t xml:space="preserve">17.09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0.80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410.20</w:t>
            </w:r>
          </w:p>
        </w:tc>
        <w:tc>
          <w:tcPr>
            <w:tcW w:w="2700" w:type="dxa"/>
            <w:tcBorders/>
            <w:vAlign w:val="center"/>
          </w:tcPr>
          <w:p>
            <w:pPr>
              <w:jc w:val="right"/>
            </w:pPr>
            <w:r>
              <w:rPr>
                <w:rFonts w:ascii="宋体" w:eastAsia="宋体" w:hAnsi="宋体" w:cs="宋体"/>
                <w:b w:val="0"/>
                <w:i w:val="0"/>
                <w:color w:val="000000"/>
                <w:sz w:val="25"/>
              </w:rPr>
              <w:t xml:space="preserve">400.50</w:t>
            </w:r>
          </w:p>
        </w:tc>
        <w:tc>
          <w:tcPr>
            <w:tcW w:w="2658" w:type="dxa"/>
            <w:tcBorders/>
            <w:vAlign w:val="center"/>
          </w:tcPr>
          <w:p>
            <w:pPr>
              <w:jc w:val="right"/>
            </w:pPr>
            <w:r>
              <w:rPr>
                <w:rFonts w:ascii="宋体" w:eastAsia="宋体" w:hAnsi="宋体" w:cs="宋体"/>
                <w:b w:val="0"/>
                <w:i w:val="0"/>
                <w:color w:val="000000"/>
                <w:sz w:val="25"/>
              </w:rPr>
              <w:t xml:space="preserve">9.71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6.58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6.58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88.01</w:t>
            </w:r>
          </w:p>
        </w:tc>
        <w:tc>
          <w:tcPr>
            <w:tcW w:w="2700" w:type="dxa"/>
            <w:tcBorders/>
            <w:vAlign w:val="center"/>
          </w:tcPr>
          <w:p>
            <w:pPr>
              <w:jc w:val="right"/>
            </w:pPr>
            <w:r>
              <w:rPr>
                <w:rFonts w:ascii="宋体" w:eastAsia="宋体" w:hAnsi="宋体" w:cs="宋体"/>
                <w:b w:val="0"/>
                <w:i w:val="0"/>
                <w:color w:val="000000"/>
                <w:sz w:val="25"/>
              </w:rPr>
              <w:t xml:space="preserve">88.01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81.75</w:t>
            </w:r>
          </w:p>
        </w:tc>
        <w:tc>
          <w:tcPr>
            <w:tcW w:w="2700" w:type="dxa"/>
            <w:tcBorders/>
            <w:vAlign w:val="center"/>
          </w:tcPr>
          <w:p>
            <w:pPr>
              <w:jc w:val="right"/>
            </w:pPr>
            <w:r>
              <w:rPr>
                <w:rFonts w:ascii="宋体" w:eastAsia="宋体" w:hAnsi="宋体" w:cs="宋体"/>
                <w:b w:val="0"/>
                <w:i w:val="0"/>
                <w:color w:val="000000"/>
                <w:sz w:val="25"/>
              </w:rPr>
              <w:t xml:space="preserve">81.75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47.84</w:t>
            </w:r>
          </w:p>
        </w:tc>
        <w:tc>
          <w:tcPr>
            <w:tcW w:w="2700" w:type="dxa"/>
            <w:tcBorders/>
            <w:vAlign w:val="center"/>
          </w:tcPr>
          <w:p>
            <w:pPr>
              <w:jc w:val="right"/>
            </w:pPr>
            <w:r>
              <w:rPr>
                <w:rFonts w:ascii="宋体" w:eastAsia="宋体" w:hAnsi="宋体" w:cs="宋体"/>
                <w:b w:val="0"/>
                <w:i w:val="0"/>
                <w:color w:val="000000"/>
                <w:sz w:val="25"/>
              </w:rPr>
              <w:t xml:space="preserve">47.84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33.91</w:t>
            </w:r>
          </w:p>
        </w:tc>
        <w:tc>
          <w:tcPr>
            <w:tcW w:w="2700" w:type="dxa"/>
            <w:tcBorders/>
            <w:vAlign w:val="center"/>
          </w:tcPr>
          <w:p>
            <w:pPr>
              <w:jc w:val="right"/>
            </w:pPr>
            <w:r>
              <w:rPr>
                <w:rFonts w:ascii="宋体" w:eastAsia="宋体" w:hAnsi="宋体" w:cs="宋体"/>
                <w:b w:val="0"/>
                <w:i w:val="0"/>
                <w:color w:val="000000"/>
                <w:sz w:val="25"/>
              </w:rPr>
              <w:t xml:space="preserve">33.91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6.26</w:t>
            </w:r>
          </w:p>
        </w:tc>
        <w:tc>
          <w:tcPr>
            <w:tcW w:w="2700" w:type="dxa"/>
            <w:tcBorders/>
            <w:vAlign w:val="center"/>
          </w:tcPr>
          <w:p>
            <w:pPr>
              <w:jc w:val="right"/>
            </w:pPr>
            <w:r>
              <w:rPr>
                <w:rFonts w:ascii="宋体" w:eastAsia="宋体" w:hAnsi="宋体" w:cs="宋体"/>
                <w:b w:val="0"/>
                <w:i w:val="0"/>
                <w:color w:val="000000"/>
                <w:sz w:val="25"/>
              </w:rPr>
              <w:t xml:space="preserve">6.26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6.26</w:t>
            </w:r>
          </w:p>
        </w:tc>
        <w:tc>
          <w:tcPr>
            <w:tcW w:w="2700" w:type="dxa"/>
            <w:tcBorders/>
            <w:vAlign w:val="center"/>
          </w:tcPr>
          <w:p>
            <w:pPr>
              <w:jc w:val="right"/>
            </w:pPr>
            <w:r>
              <w:rPr>
                <w:rFonts w:ascii="宋体" w:eastAsia="宋体" w:hAnsi="宋体" w:cs="宋体"/>
                <w:b w:val="0"/>
                <w:i w:val="0"/>
                <w:color w:val="000000"/>
                <w:sz w:val="25"/>
              </w:rPr>
              <w:t xml:space="preserve">6.26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700" w:type="dxa"/>
            <w:tcBorders/>
            <w:vAlign w:val="center"/>
          </w:tcPr>
          <w:p>
            <w:pPr>
              <w:jc w:val="right"/>
            </w:pPr>
            <w:r>
              <w:rPr>
                <w:rFonts w:ascii="宋体" w:eastAsia="宋体" w:hAnsi="宋体" w:cs="宋体"/>
                <w:b w:val="0"/>
                <w:i w:val="0"/>
                <w:color w:val="000000"/>
                <w:sz w:val="25"/>
              </w:rPr>
              <w:t xml:space="preserve">16.96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700" w:type="dxa"/>
            <w:tcBorders/>
            <w:vAlign w:val="center"/>
          </w:tcPr>
          <w:p>
            <w:pPr>
              <w:jc w:val="right"/>
            </w:pPr>
            <w:r>
              <w:rPr>
                <w:rFonts w:ascii="宋体" w:eastAsia="宋体" w:hAnsi="宋体" w:cs="宋体"/>
                <w:b w:val="0"/>
                <w:i w:val="0"/>
                <w:color w:val="000000"/>
                <w:sz w:val="25"/>
              </w:rPr>
              <w:t xml:space="preserve">32.30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473.26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11.92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124.91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0.81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59.59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114.68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85.02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35.32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17.37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0.89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32.30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1.05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55.77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2.12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48.59</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6.26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3.17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3.92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529.03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11.92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单位：许昌市第三初级中学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0.90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558.03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减少136.03万元，下降19.60%</w:t>
      </w:r>
      <w:r>
        <w:rPr>
          <w:rFonts w:ascii="仿宋" w:eastAsia="仿宋" w:hAnsi="仿宋" w:cs="仿宋" w:hint="eastAsia"/>
          <w:kern w:val="0"/>
          <w:sz w:val="32"/>
          <w:szCs w:val="32"/>
          <w:lang w:val="en-US" w:eastAsia="zh-CN"/>
        </w:rPr>
        <w:t xml:space="preserve">。主要原因是落实国家政策，压缩经费开支。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558.03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财政拨款收入558.03万元，占100.00%；上级补助收入0.00万元，占0.00%；事业收入0.00万元，占0.00%；经营收入0.00万元，占0.00%；附属单位上缴收入0.00万元，占0.00%；其他收入0.00万元，占0.00%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558.03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基本支出540.95万元，占96.94%；项目支出17.09万元，占3.06%；上缴上级支出0.00万元，占0.00%；经营支出0.00万元，占0.00%；对附属单位补助支出0.00万元，占0.00%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558.03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减少136.03万元，下降19.60%</w:t>
      </w:r>
      <w:r>
        <w:rPr>
          <w:rFonts w:ascii="仿宋" w:eastAsia="仿宋" w:hAnsi="仿宋" w:cs="仿宋" w:hint="eastAsia"/>
          <w:kern w:val="0"/>
          <w:sz w:val="32"/>
          <w:szCs w:val="32"/>
          <w:lang w:val="en-US" w:eastAsia="zh-CN"/>
        </w:rPr>
        <w:t xml:space="preserve">。主要原因是落实国家政策，压缩经费开支。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558.03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减少136.03万元，下降19.60%</w:t>
      </w:r>
      <w:r>
        <w:rPr>
          <w:rFonts w:ascii="仿宋" w:eastAsia="仿宋" w:hAnsi="仿宋" w:cs="仿宋" w:hint="eastAsia"/>
          <w:kern w:val="0"/>
          <w:sz w:val="32"/>
          <w:szCs w:val="32"/>
          <w:lang w:val="en-US" w:eastAsia="zh-CN"/>
        </w:rPr>
        <w:t xml:space="preserve">。主要原因是落实国家政策，压缩经费开支。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558.03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一般公共服务支出（类）3.17万元，占0.57%；教育支出（类）417.58万元，占74.83%；社会保障和就业支出（类）88.01万元，占15.77%；卫生健康支出（类）16.96万元，占3.04%；住房保障支出（类）32.30万元，占5.79%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563.48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558.03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99.03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年初预算数为3.17万元，决算数3.17万元,完成年初预算的100.00%，决算数与年初预算数不存在差异。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年初预算数为0.80万元，决算数0.80万元,完成年初预算的100.00%，决算数与年初预算数不存在差异。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3.教育支出（类）普通教育（款）初中教育（项）</w:t>
      </w:r>
      <w:r>
        <w:rPr>
          <w:rFonts w:ascii="仿宋" w:eastAsia="仿宋" w:hAnsi="仿宋" w:cs="仿宋" w:hint="default"/>
          <w:kern w:val="2"/>
          <w:sz w:val="32"/>
          <w:szCs w:val="32"/>
          <w:lang w:val="en-US" w:eastAsia="zh-CN"/>
        </w:rPr>
        <w:t xml:space="preserve">年初预算数为410.20万元，决算数410.20万元,完成年初预算的100.00%，决算数与年初预算数不存在差异。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年初预算数为6.58万元，决算数6.58万元,完成年初预算的100.00%，决算数与年初预算数不存在差异。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年初预算数为47.84万元，决算数47.84万元,完成年初预算的100.00%，决算数与年初预算数不存在差异。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年初预算数为33.91万元，决算数33.91万元,完成年初预算的100.00%，决算数与年初预算数不存在差异。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2"/>
          <w:sz w:val="32"/>
          <w:szCs w:val="32"/>
          <w:lang w:val="en-US" w:eastAsia="zh-CN"/>
        </w:rPr>
        <w:t xml:space="preserve">年初预算数为6.26万元，决算数6.26万元,完成年初预算的100.00%，决算数与年初预算数不存在差异。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年初预算数为16.96万元，决算数16.96万元,完成年初预算的100.00%，决算数与年初预算数不存在差异。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年初预算数为32.30万元，决算数32.30万元,完成年初预算的100.00%，决算数与年初预算数不存在差异。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540.95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其中：人员经费529.03万元，主要包括：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公用经费11.92万元，主要包括：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主要用于我单位公务用车的日常维护及保养。</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563.48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我单位本年度较好完成了年度履职目标和主要任务：实施初中义务教育；完成初中学历教育</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基于项目预期目标的实现程度，我单位对2023年度单位预算项目支出（含单位参与分配的转移支付项目）开展绩效自评，涉及项目5个，项目金额21.50万元。其中：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城乡义务教育公用经费中央资金-初中（上级提前下达），自评得分为92.55分，等级为“优”。涉及预算资金4.31万元，预算执行率25.5%。本项目完成修缮办公楼一栋并竣工验收合格，提高教职工以及在校学生的工作和学习环境但是财政资金紧张部分预算资金未及时拨付。</w:t>
        <w:br/>
        <w:t xml:space="preserve">    （2）2023年城乡义务教育公用经费省级资金-初中（上级提前下达），自评得分为100分，等级为“优”。涉及预算资金3.40万元，预算执行率100%。完成办公用品的及时采购并验收合格提高教职工以及在校学生的工作和学习环境。</w:t>
        <w:br/>
        <w:t xml:space="preserve">    （3）2023年“三区”人才支持计划补助资金-省级资金（上级提前下达），自评得分为100分，等级为“优”。涉及预算资金0.40万元，预算执行率100%。完成全部用于补助支教教师，并且提高参加支教教师的生活质量。</w:t>
        <w:br/>
        <w:t xml:space="preserve">    （4）提前下达2023年“三区”人才支持计划省级资金-秋季学期（上级提前下达），自评得分为100分，等级为“优”。涉及预算资金0.20万元，预算执行率100%。此项目资金全额用于秋季学期支教教师的补助，同时提高参加支教教师的生活质量。</w:t>
        <w:br/>
        <w:t xml:space="preserve">    （5）2023年“三区”人才支持计划补助资金-中央资金（上级提前下达），自评得分为100分，等级为“优”。涉及预算资金0.60万元，预算执行率100%。此项目资金全部用于支教教师的补助，并提高参加支教教师的生活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从项目绩效自评情况来看，我单位所涉及项目均已达到年初目标，我单位教育工作均能正常顺利开展。</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普通表格1"/>
        <w:tblW w:w="5000" w:type="pct"/>
        <w:tblInd w:w="0" w:type="dxa"/>
        <w:tblCellMar>
          <w:top w:w="0" w:type="dxa"/>
          <w:left w:w="108" w:type="dxa"/>
          <w:bottom w:w="0" w:type="dxa"/>
          <w:right w:w="108" w:type="dxa"/>
        </w:tblCellMar>
        <w:tblLook w:val="0000" w:firstRow="0" w:lastRow="0" w:firstColumn="0" w:lastColumn="0" w:noHBand="0" w:noVBand="0"/>
      </w:tblPr>
      <w:tblGrid>
        <w:gridCol w:w="1916"/>
        <w:gridCol w:w="2396"/>
        <w:gridCol w:w="4973"/>
        <w:gridCol w:w="1119"/>
        <w:gridCol w:w="1119"/>
        <w:gridCol w:w="2207"/>
        <w:gridCol w:w="1436"/>
        <w:gridCol w:w="716"/>
        <w:gridCol w:w="956"/>
        <w:gridCol w:w="1739"/>
        <w:gridCol w:w="115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单位整体支出绩效自评情况表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nil"/>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单位名称</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top"/>
          </w:tcPr>
          <w:p>
            <w:pPr>
              <w:pStyle w:val="Normal_e27abdea-2aba-4fd3-9d82-6e3652e359e0"/>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许昌市第</w:t>
            </w:r>
            <w:r>
              <w:rPr>
                <w:rFonts w:ascii="宋体" w:hAnsi="宋体" w:cs="宋体" w:hint="eastAsia"/>
                <w:i w:val="0"/>
                <w:iCs w:val="0"/>
                <w:color w:val="000000"/>
                <w:kern w:val="0"/>
                <w:sz w:val="24"/>
                <w:szCs w:val="24"/>
                <w:u w:val="none"/>
                <w:lang w:val="en-US" w:eastAsia="zh-CN" w:bidi="en-AU"/>
              </w:rPr>
              <w:t xml:space="preserve">三初级</w:t>
            </w:r>
            <w:r>
              <w:rPr>
                <w:rFonts w:ascii="宋体" w:eastAsia="宋体" w:hAnsi="宋体" w:cs="宋体" w:hint="eastAsia"/>
                <w:i w:val="0"/>
                <w:iCs w:val="0"/>
                <w:color w:val="000000"/>
                <w:kern w:val="0"/>
                <w:sz w:val="24"/>
                <w:szCs w:val="24"/>
                <w:u w:val="none"/>
                <w:lang w:val="en-US" w:eastAsia="zh-CN" w:bidi="en-AU"/>
              </w:rPr>
              <w:t xml:space="preserve">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单位整体支出情</w:t>
            </w:r>
            <w:r>
              <w:rPr>
                <w:rFonts w:ascii="宋体" w:eastAsia="宋体" w:hAnsi="宋体" w:cs="宋体" w:hint="eastAsia"/>
                <w:i w:val="0"/>
                <w:iCs w:val="0"/>
                <w:color w:val="000000"/>
                <w:kern w:val="0"/>
                <w:sz w:val="24"/>
                <w:szCs w:val="24"/>
                <w:u w:val="none"/>
                <w:lang w:val="en-US" w:eastAsia="zh-CN" w:bidi="en-AU"/>
              </w:rPr>
              <w:t xml:space="preserve">况</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万</w:t>
            </w:r>
            <w:r>
              <w:rPr>
                <w:rFonts w:ascii="宋体" w:eastAsia="宋体" w:hAnsi="宋体" w:cs="宋体" w:hint="eastAsia"/>
                <w:i w:val="0"/>
                <w:iCs w:val="0"/>
                <w:color w:val="000000"/>
                <w:kern w:val="0"/>
                <w:sz w:val="24"/>
                <w:szCs w:val="24"/>
                <w:u w:val="none"/>
                <w:lang w:val="en-US" w:eastAsia="zh-CN" w:bidi="en-AU"/>
              </w:rPr>
              <w:t xml:space="preserve">元</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部门预算总额</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eastAsia="zh-CN"/>
              </w:rPr>
            </w:pPr>
            <w:r>
              <w:rPr>
                <w:rFonts w:ascii="仿宋" w:eastAsia="仿宋" w:hAnsi="仿宋" w:cs="仿宋" w:hint="eastAsia"/>
                <w:i w:val="0"/>
                <w:iCs w:val="0"/>
                <w:caps w:val="0"/>
                <w:color w:val="000000"/>
                <w:spacing w:val="0"/>
                <w:sz w:val="32"/>
                <w:szCs w:val="32"/>
                <w:shd w:val="clear" w:color="auto" w:fill="FFFFFF"/>
                <w:lang w:val="en-US" w:eastAsia="zh-CN"/>
              </w:rPr>
              <w:t xml:space="preserve">563.48</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558.03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558.03</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资金来源：</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）财政拨款</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563.48</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558.03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558.03</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nil"/>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Style w:val="font11"/>
                <w:lang w:val="en-US" w:eastAsia="zh-CN" w:bidi="en-AU"/>
              </w:rPr>
              <w:t xml:space="preserve">             </w:t>
            </w:r>
            <w:r>
              <w:rPr>
                <w:rStyle w:val="font21"/>
                <w:lang w:val="en-US" w:eastAsia="zh-CN" w:bidi="en-AU"/>
              </w:rPr>
              <w:t xml:space="preserve"> </w:t>
            </w:r>
            <w:r>
              <w:rPr>
                <w:rStyle w:val="font21"/>
                <w:lang w:val="en-US" w:eastAsia="zh-CN" w:bidi="en-AU"/>
              </w:rPr>
              <w:t xml:space="preserve">（</w:t>
            </w:r>
            <w:r>
              <w:rPr>
                <w:rStyle w:val="font21"/>
                <w:lang w:val="en-US" w:eastAsia="zh-CN" w:bidi="en-AU"/>
              </w:rPr>
              <w:t xml:space="preserve">3</w:t>
            </w:r>
            <w:r>
              <w:rPr>
                <w:rStyle w:val="font21"/>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gridSpan w:val="5"/>
            <w:tcBorders>
              <w:top w:val="single" w:sz="4" w:space="0" w:color="000000"/>
              <w:left w:val="single" w:sz="4" w:space="0" w:color="000000"/>
              <w:bottom w:val="nil"/>
              <w:right w:val="single" w:sz="4" w:space="0" w:color="000000"/>
            </w:tcBorders>
            <w:noWrap w:val="0"/>
            <w:vAlign w:val="center"/>
          </w:tcPr>
          <w:p>
            <w:pPr>
              <w:pStyle w:val="Normal_e27abdea-2aba-4fd3-9d82-6e3652e359e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目</w:t>
            </w:r>
            <w:r>
              <w:rPr>
                <w:rFonts w:ascii="宋体" w:eastAsia="宋体" w:hAnsi="宋体" w:cs="宋体" w:hint="eastAsia"/>
                <w:i w:val="0"/>
                <w:iCs w:val="0"/>
                <w:color w:val="000000"/>
                <w:kern w:val="0"/>
                <w:sz w:val="24"/>
                <w:szCs w:val="24"/>
                <w:u w:val="none"/>
                <w:lang w:val="en-US" w:eastAsia="zh-CN" w:bidi="en-AU"/>
              </w:rPr>
              <w:t xml:space="preserve">标</w:t>
            </w: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、实施初中义务教育，促进基础教育均衡发展，完成初中学历教育</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目</w:t>
            </w:r>
            <w:r>
              <w:rPr>
                <w:rFonts w:ascii="宋体" w:eastAsia="宋体" w:hAnsi="宋体" w:cs="宋体" w:hint="eastAsia"/>
                <w:i w:val="0"/>
                <w:iCs w:val="0"/>
                <w:color w:val="000000"/>
                <w:kern w:val="0"/>
                <w:sz w:val="24"/>
                <w:szCs w:val="24"/>
                <w:u w:val="none"/>
                <w:lang w:val="en-US" w:eastAsia="zh-CN" w:bidi="en-AU"/>
              </w:rPr>
              <w:t xml:space="preserve">标</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、规范合理管理使用预算资金，确保教育教学工作正常高质量发展，办人民满意学校。</w:t>
            </w:r>
          </w:p>
        </w:tc>
        <w:tc>
          <w:tcPr>
            <w:tcW w:type="auto" w:w="0"/>
            <w:gridSpan w:val="5"/>
            <w:tcBorders>
              <w:top w:val="single" w:sz="4" w:space="0" w:color="000000"/>
              <w:left w:val="single" w:sz="4" w:space="0" w:color="000000"/>
              <w:bottom w:val="nil"/>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全部完成年度目标，完成</w:t>
            </w:r>
            <w:r>
              <w:rPr>
                <w:rFonts w:ascii="宋体" w:eastAsia="宋体" w:hAnsi="宋体" w:cs="宋体" w:hint="eastAsia"/>
                <w:i w:val="0"/>
                <w:iCs w:val="0"/>
                <w:color w:val="000000"/>
                <w:kern w:val="0"/>
                <w:sz w:val="24"/>
                <w:szCs w:val="24"/>
                <w:u w:val="none"/>
                <w:lang w:val="en-US" w:eastAsia="zh-CN" w:bidi="en-AU"/>
              </w:rPr>
              <w:t xml:space="preserve">率</w:t>
            </w:r>
            <w:r>
              <w:rPr>
                <w:rFonts w:ascii="宋体" w:eastAsia="宋体" w:hAnsi="宋体" w:cs="宋体" w:hint="eastAsia"/>
                <w:i w:val="0"/>
                <w:iCs w:val="0"/>
                <w:color w:val="000000"/>
                <w:kern w:val="0"/>
                <w:sz w:val="24"/>
                <w:szCs w:val="24"/>
                <w:u w:val="none"/>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任务名称</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0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深化基础教育均衡发展</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、实施初中义务教育，促进基础教育均衡发展，完成初中学历教育</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、规范合理管理使用预算资金，确保教育教学工作正常高质量发展，办人民满意学校。</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全部完成年度目标，完成</w:t>
            </w:r>
            <w:r>
              <w:rPr>
                <w:rFonts w:ascii="宋体" w:eastAsia="宋体" w:hAnsi="宋体" w:cs="宋体" w:hint="eastAsia"/>
                <w:i w:val="0"/>
                <w:iCs w:val="0"/>
                <w:color w:val="000000"/>
                <w:kern w:val="0"/>
                <w:sz w:val="24"/>
                <w:szCs w:val="24"/>
                <w:u w:val="none"/>
                <w:lang w:val="en-US" w:eastAsia="zh-CN" w:bidi="en-AU"/>
              </w:rPr>
              <w:t xml:space="preserve">率</w:t>
            </w:r>
            <w:r>
              <w:rPr>
                <w:rFonts w:ascii="宋体" w:eastAsia="宋体" w:hAnsi="宋体" w:cs="宋体" w:hint="eastAsia"/>
                <w:i w:val="0"/>
                <w:iCs w:val="0"/>
                <w:color w:val="000000"/>
                <w:kern w:val="0"/>
                <w:sz w:val="24"/>
                <w:szCs w:val="24"/>
                <w:u w:val="none"/>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100</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0.97</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三公经</w:t>
            </w:r>
            <w:r>
              <w:rPr>
                <w:rFonts w:ascii="宋体" w:eastAsia="宋体" w:hAnsi="宋体" w:cs="宋体" w:hint="eastAsia"/>
                <w:i w:val="0"/>
                <w:iCs w:val="0"/>
                <w:color w:val="000000"/>
                <w:kern w:val="0"/>
                <w:sz w:val="24"/>
                <w:szCs w:val="24"/>
                <w:u w:val="none"/>
                <w:lang w:val="en-US" w:eastAsia="zh-CN" w:bidi="en-AU"/>
              </w:rPr>
              <w:t xml:space="preserve">费</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资金使用合规性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深化教育综合改革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年度工作目标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教育质量的提升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社会公众对教育的满意程度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27abdea-2aba-4fd3-9d82-6e3652e359e0"/>
              <w:jc w:val="center"/>
              <w:rPr>
                <w:rFonts w:ascii="宋体" w:eastAsia="宋体" w:hAnsi="宋体" w:cs="宋体" w:hint="eastAsia"/>
                <w:i w:val="0"/>
                <w:iCs w:val="0"/>
                <w:color w:val="000000"/>
                <w:sz w:val="24"/>
                <w:szCs w:val="24"/>
                <w:u w:val="none"/>
              </w:rPr>
            </w:pPr>
          </w:p>
        </w:tc>
      </w:tr>
    </w:tbl>
    <w:p>
      <w:pPr>
        <w:pStyle w:val="Normal_dfc0bce3-c879-41ce-8bc6-5139ac0fdcb5"/>
        <w:sectPr>
          <w:pgSz w:w="16838" w:h="11906" w:orient="landscape"/>
          <w:pgMar w:top="1800" w:right="1440" w:bottom="1800" w:left="1440" w:header="851" w:footer="992" w:gutter="0"/>
          <w:docGrid w:type="lines" w:linePitch="312"/>
        </w:sectPr>
      </w:pPr>
    </w:p>
    <w:tbl>
      <w:tblPr>
        <w:tblW w:w="15195" w:type="dxa"/>
        <w:tblInd w:w="100" w:type="dxa"/>
        <w:tblCellMar>
          <w:top w:w="0" w:type="dxa"/>
          <w:left w:w="108" w:type="dxa"/>
          <w:bottom w:w="0" w:type="dxa"/>
          <w:right w:w="108" w:type="dxa"/>
        </w:tblCellMar>
        <w:tblLook w:val="0000" w:firstRow="0" w:lastRow="0" w:firstColumn="0" w:lastColumn="0" w:noHBand="0" w:noVBand="0"/>
      </w:tblPr>
      <w:tblGrid>
        <w:gridCol w:w="917"/>
        <w:gridCol w:w="1055"/>
        <w:gridCol w:w="1260"/>
        <w:gridCol w:w="1152"/>
        <w:gridCol w:w="992"/>
        <w:gridCol w:w="1784"/>
        <w:gridCol w:w="1147"/>
        <w:gridCol w:w="1013"/>
        <w:gridCol w:w="1403"/>
        <w:gridCol w:w="1425"/>
        <w:gridCol w:w="1226"/>
        <w:gridCol w:w="1245"/>
        <w:gridCol w:w="304"/>
        <w:gridCol w:w="272"/>
      </w:tblGrid>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201" w:type="dxa"/>
            <w:gridSpan w:val="14"/>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w="13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年城乡义务教育公用经费中央资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初中（上级提前下达）</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w="4912"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w="634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许昌市第三初级中学</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16.9</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16.9</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4.31</w:t>
            </w:r>
          </w:p>
        </w:tc>
        <w:tc>
          <w:tcPr>
            <w:tcW w:w="966" w:type="dxa"/>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25.5</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2.55</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16.9</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16.9</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4.31</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25.5</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年城乡义务教育公用经费中央资金完成校园修缮工作，提高教职工以及在校学生的工作和学习环境。保障学校教学任务的顺利进行</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修缮办公楼一栋并竣工验收合格，提高教职工以及在校学生的工作和学习环境</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预算总成本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16.</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w="11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校园修缮完成率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修缮办公楼的栋数</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栋</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栋</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竣工验收合格率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完工及时率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持续维持校园正常运转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营造良好的校园环境</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明显有效</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在校教职工和学生满意度</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797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92.55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p>
            <w:pPr>
              <w:pStyle w:val="Normal_dfc0bce3-c879-41ce-8bc6-5139ac0fdcb5"/>
              <w:rPr>
                <w:rFonts w:ascii="宋体" w:eastAsia="宋体" w:hAnsi="宋体" w:cs="宋体" w:hint="eastAsia"/>
                <w:i w:val="0"/>
                <w:iCs w:val="0"/>
                <w:color w:val="000000"/>
                <w:sz w:val="22"/>
                <w:szCs w:val="22"/>
                <w:u w:val="none"/>
              </w:rPr>
            </w:pPr>
          </w:p>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201" w:type="dxa"/>
            <w:gridSpan w:val="14"/>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w="13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年城乡义务教育公用经费省级资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初中（上级提前下达）</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w="4912"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w="634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许昌市第三初级中学</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966" w:type="dxa"/>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年城乡义务教育公用经费省级资金完成校园修缮工作，提高教职工以及在校学生的工作和学习环境。保障学校教学任务的顺利进行</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办公用品及时采购并验收合格提高教职工以及在校学生的工作和学习环境。</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预算总成本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办公用品及消耗品采购完成率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办公用品及消耗品采购合格率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办公小额维修验收合格率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办公用品及消耗品购置及时率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持续维持校园正常运转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营造良好的校园环境</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明显有效</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在校教职工和学生满意度</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797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201" w:type="dxa"/>
            <w:gridSpan w:val="14"/>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w="13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省级资金（上级提前下达）</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w="4912"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w="634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许昌市第三初级中学</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966" w:type="dxa"/>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0.4</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省级资金补助支教教师，提高参加支教教师的生活质量。保障支教工作顺利进行。</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省级资金已经完成全部用于补助支教教师，并且提高参加支教教师的生活质量。</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预算总成本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参加支教教师人数</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支教教师补助发放足额率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支教教师补助发放及时率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保障支教工作顺利开展</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支教教师满意度</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797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201" w:type="dxa"/>
            <w:gridSpan w:val="14"/>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w="13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提前下</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人才支持计划省级资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秋季学期（上级提前下达）</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w="4912"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w="634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许昌市第三初级中学</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966" w:type="dxa"/>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0.2</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提前下</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人才支持计划省级资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秋季学期补助支教教师，提高参加支教教师的生活质量。保障支教工作顺利进行。</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人才支持计划省级资金已全额用于秋季学期支教教师的补助，同时提高参加支教教师的生活质量。</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预算总成本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参加支教教师人数</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发放支教教师补助足额率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支教教师补助发放及时率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保障支教工作顺利进行</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教师满意度</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797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fc0bce3-c879-41ce-8bc6-5139ac0fdcb5"/>
              <w:rPr>
                <w:rFonts w:ascii="宋体" w:eastAsia="宋体" w:hAnsi="宋体" w:cs="宋体" w:hint="eastAsia"/>
                <w:i w:val="0"/>
                <w:iCs w:val="0"/>
                <w:color w:val="000000"/>
                <w:sz w:val="22"/>
                <w:szCs w:val="22"/>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5201" w:type="dxa"/>
            <w:gridSpan w:val="14"/>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fc0bce3-c879-41ce-8bc6-5139ac0fdcb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w="13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中央资金（上级提前下达）</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w="4912"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w="634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许昌市第三初级中学</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966" w:type="dxa"/>
            <w:tcBorders>
              <w:top w:val="nil"/>
              <w:left w:val="nil"/>
              <w:bottom w:val="nil"/>
              <w:right w:val="nil"/>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0.6</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w="262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96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8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rPr>
                <w:rFonts w:ascii="宋体" w:eastAsia="宋体" w:hAnsi="宋体" w:cs="宋体" w:hint="eastAsia"/>
                <w:i w:val="0"/>
                <w:iCs w:val="0"/>
                <w:color w:val="000000"/>
                <w:sz w:val="18"/>
                <w:szCs w:val="18"/>
                <w:u w:val="none"/>
              </w:rPr>
            </w:pP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8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w="372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w="95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524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5924"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中央资金补助支教教师，提高参加支教教师的生活质量。保障支教工作顺利进行。</w:t>
            </w:r>
          </w:p>
        </w:tc>
        <w:tc>
          <w:tcPr>
            <w:tcW w:w="840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人才支持计划补助资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中央资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万元全部用于支教教师的补助，并提高参加支教教师的生活质量。</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预算总成本</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参加支教教师人数</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发放支教教师补助足额率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支教教师补助发放及时率</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保障支教工作顺利进行</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1012"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w="1186"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支教教师满意度</w:t>
            </w:r>
          </w:p>
        </w:tc>
        <w:tc>
          <w:tcPr>
            <w:tcW w:w="1671"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20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r>
        <w:tblPrEx>
          <w:tblW w:w="1519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7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797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104" w:type="dxa"/>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w="19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fc0bce3-c879-41ce-8bc6-5139ac0fdcb5"/>
              <w:jc w:val="center"/>
              <w:rPr>
                <w:rFonts w:ascii="宋体" w:eastAsia="宋体" w:hAnsi="宋体" w:cs="宋体" w:hint="eastAsia"/>
                <w:i w:val="0"/>
                <w:iCs w:val="0"/>
                <w:color w:val="000000"/>
                <w:sz w:val="18"/>
                <w:szCs w:val="18"/>
                <w:u w:val="none"/>
              </w:rPr>
            </w:pPr>
          </w:p>
        </w:tc>
      </w:tr>
    </w:tbl>
    <w:p>
      <w:pPr>
        <w:pStyle w:val="Normal_dfc0bce3-c879-41ce-8bc6-5139ac0fdcb5"/>
        <w:sectPr>
          <w:headerReference w:type="default" r:id="rId6"/>
          <w:footerReference w:type="default" r:id="rId7"/>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0"/>
    </w:pPr>
    <w:r>
      <w:pict>
        <v:shape id="文本框 1" o:spid="_x0000_s9628" type="#_x0000_t202" style="height:2in;margin-left:0;margin-top:0;mso-position-horizontal:left;mso-position-horizontal-relative:margin;mso-wrap-style:none;position:absolute;v-text-anchor:top;width:2in;z-index:0" filled="f" stroked="f">
          <v:fill o:detectmouseclick="t"/>
          <v:textbox style="layout-flow:horizontal;mso-fit-shape-to-text:t" inset="0,0,0,0">
            <w:txbxContent>
              <w:p>
                <w:pPr>
                  <w:pStyle w:val="Footer0"/>
                </w:pPr>
                <w:r>
                  <w:fldChar w:fldCharType="begin"/>
                </w:r>
                <w:r>
                  <w:instrText xml:space="preserve"> PAGE  \* MERGEFORMAT </w:instrText>
                </w:r>
                <w:r>
                  <w:fldChar w:fldCharType="separate"/>
                </w:r>
                <w:r>
                  <w:t xml:space="preserve">1</w:t>
                </w:r>
                <w:r>
                  <w:fldChar w:fldCharType="end"/>
                </w:r>
              </w:p>
            </w:txbxContent>
          </v:textbox>
          <w10:wrap anchorx="margin"/>
        </v:shape>
      </w:pic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e27abdea-2aba-4fd3-9d82-6e3652e359e0">
    <w:name w:val="Normal_e27abdea-2aba-4fd3-9d82-6e3652e359e0"/>
    <w:next w:val="Footer"/>
    <w:qFormat/>
    <w:pPr>
      <w:widowControl w:val="0"/>
      <w:jc w:val="both"/>
    </w:pPr>
    <w:rPr>
      <w:rFonts w:ascii="Calibri" w:eastAsia="宋体" w:hAnsi="Calibri" w:cs="Times New Roman"/>
      <w:kern w:val="2"/>
      <w:sz w:val="21"/>
      <w:szCs w:val="24"/>
      <w:lang w:val="en-US" w:eastAsia="zh-CN" w:bidi="ar-SA"/>
    </w:rPr>
  </w:style>
  <w:style w:type="character" w:styleId="默认段落字体1">
    <w:name w:val="默认段落字体1"/>
    <w:next w:val="16"/>
    <w:semiHidden/>
    <w:qFormat/>
    <w:rPr/>
  </w:style>
  <w:style w:type="character" w:styleId="font11">
    <w:name w:val="font11"/>
    <w:basedOn w:val="默认段落字体1"/>
    <w:next w:val="15"/>
    <w:qFormat/>
    <w:rPr>
      <w:rFonts w:ascii="宋体" w:eastAsia="宋体" w:hAnsi="宋体" w:cs="宋体" w:hint="eastAsia"/>
      <w:color w:val="000000"/>
      <w:sz w:val="24"/>
      <w:szCs w:val="24"/>
      <w:u w:val="none"/>
    </w:rPr>
  </w:style>
  <w:style w:type="character" w:styleId="font21">
    <w:name w:val="font21"/>
    <w:basedOn w:val="默认段落字体1"/>
    <w:next w:val="17"/>
    <w:qFormat/>
    <w:rPr>
      <w:rStyle w:val="16"/>
      <w:rFonts w:ascii="宋体" w:eastAsia="宋体" w:hAnsi="宋体" w:cs="宋体" w:hint="eastAsia"/>
      <w:color w:val="000000"/>
      <w:sz w:val="24"/>
      <w:szCs w:val="24"/>
      <w:u w:val="none"/>
    </w:rPr>
  </w:style>
  <w:style w:type="table" w:styleId="普通表格1">
    <w:name w:val="普通表格1"/>
    <w:next w:val="Header"/>
    <w:semiHidden/>
    <w:qFormat/>
    <w:rPr/>
    <w:tblPr>
      <w:tblCellMar>
        <w:top w:w="0" w:type="dxa"/>
        <w:left w:w="108" w:type="dxa"/>
        <w:bottom w:w="0" w:type="dxa"/>
        <w:right w:w="108" w:type="dxa"/>
      </w:tblCellMar>
    </w:tblPr>
  </w:style>
  <w:style w:type="paragraph" w:styleId="Normal_dfc0bce3-c879-41ce-8bc6-5139ac0fdcb5">
    <w:name w:val="Normal_dfc0bce3-c879-41ce-8bc6-5139ac0fdcb5"/>
    <w:qFormat/>
    <w:pPr>
      <w:widowControl w:val="0"/>
      <w:jc w:val="both"/>
    </w:pPr>
    <w:rPr>
      <w:rFonts w:ascii="Calibri" w:eastAsia="宋体" w:hAnsi="Calibri" w:cs="Times New Roman"/>
      <w:kern w:val="2"/>
      <w:sz w:val="21"/>
      <w:szCs w:val="24"/>
      <w:lang w:val="en-US" w:eastAsia="zh-CN" w:bidi="ar-SA"/>
    </w:rPr>
  </w:style>
  <w:style w:type="paragraph" w:styleId="Header0">
    <w:name w:val="页眉"/>
    <w:basedOn w:val="Normal_dfc0bce3-c879-41ce-8bc6-5139ac0fdcb5"/>
    <w:next w:val="Header"/>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Footer0">
    <w:name w:val="页脚"/>
    <w:basedOn w:val="Normal_dfc0bce3-c879-41ce-8bc6-5139ac0fdcb5"/>
    <w:next w:val="Footer"/>
    <w:qFormat/>
    <w:pPr>
      <w:tabs>
        <w:tab w:val="center" w:pos="4153"/>
        <w:tab w:val="right" w:pos="8306"/>
      </w:tabs>
      <w:snapToGrid w:val="0"/>
      <w:jc w:val="left"/>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