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许昌市社会保险中心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许昌市社会保险中心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许昌市社会保险中心概况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(一)为用人单位和个人办理社会保险登记、转移接续等方面工作，确定用人单位工伤保险缴费费率。</w:t>
        <w:br/>
        <w:t xml:space="preserve">    (二)按时足额支付各项社会保险待遇。</w:t>
        <w:br/>
        <w:t xml:space="preserve">    (三)依法管理社会保险基金，会同相关部门编制社会保险基金预决算草案并组织实施。</w:t>
        <w:br/>
        <w:t xml:space="preserve">    (四)负责社会保险个人权益记录管理，提供与社会保险个人权益记录相关的服务。</w:t>
        <w:br/>
        <w:t xml:space="preserve">    (五)配合开展领取待遇人员社会化管理服务。</w:t>
        <w:br/>
        <w:t xml:space="preserve">    (六)负责社会保险稽核、内控制度建设和配合做好社会保 险反欺诈工作。</w:t>
        <w:br/>
        <w:t xml:space="preserve">    (七)指导县(市、区)社会保险经办机构业务工作。</w:t>
        <w:br/>
        <w:t xml:space="preserve">    (八)负责社会保险档案资料管理工作。</w:t>
        <w:br/>
        <w:t xml:space="preserve">    (九)完成市人力资源和社会保障局交办的其他工作。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许昌市社会保险中心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10</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办公室、基金财务科、参保登记科、稽核审计科、信息数据科、企业职工养老保险科、机关事业养老保险科、城乡居民养老保险科、失业保险待遇科、工伤保险待遇科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许昌市社会保险中心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2023年度，整合许昌市社会养老保险中心及许昌市创业保障中心失业保险经办职能、许昌市工伤保险中心工伤保险经办职能，组建许昌市社会保险中心。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1.许昌市社会保险中心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4,530.49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134.92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4,111.20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126.16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158.20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4,530.49</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4,530.49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4,530.49</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4,530.49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4,530.49</w:t>
            </w:r>
          </w:p>
        </w:tc>
        <w:tc>
          <w:tcPr>
            <w:tcW w:w="1440" w:type="dxa"/>
            <w:tcBorders/>
            <w:vAlign w:val="center"/>
          </w:tcPr>
          <w:p>
            <w:pPr>
              <w:jc w:val="right"/>
            </w:pPr>
            <w:r>
              <w:rPr>
                <w:rFonts w:ascii="宋体" w:eastAsia="宋体" w:hAnsi="宋体" w:cs="宋体"/>
                <w:b/>
                <w:i w:val="0"/>
                <w:color w:val="000000"/>
                <w:sz w:val="17"/>
              </w:rPr>
              <w:t xml:space="preserve">4,530.49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134.92</w:t>
            </w:r>
          </w:p>
        </w:tc>
        <w:tc>
          <w:tcPr>
            <w:tcW w:w="1440" w:type="dxa"/>
            <w:tcBorders/>
            <w:vAlign w:val="center"/>
          </w:tcPr>
          <w:p>
            <w:pPr>
              <w:jc w:val="right"/>
            </w:pPr>
            <w:r>
              <w:rPr>
                <w:rFonts w:ascii="宋体" w:eastAsia="宋体" w:hAnsi="宋体" w:cs="宋体"/>
                <w:b w:val="0"/>
                <w:i w:val="0"/>
                <w:color w:val="000000"/>
                <w:sz w:val="17"/>
              </w:rPr>
              <w:t xml:space="preserve">134.92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14.28</w:t>
            </w:r>
          </w:p>
        </w:tc>
        <w:tc>
          <w:tcPr>
            <w:tcW w:w="1440" w:type="dxa"/>
            <w:tcBorders/>
            <w:vAlign w:val="center"/>
          </w:tcPr>
          <w:p>
            <w:pPr>
              <w:jc w:val="right"/>
            </w:pPr>
            <w:r>
              <w:rPr>
                <w:rFonts w:ascii="宋体" w:eastAsia="宋体" w:hAnsi="宋体" w:cs="宋体"/>
                <w:b w:val="0"/>
                <w:i w:val="0"/>
                <w:color w:val="000000"/>
                <w:sz w:val="17"/>
              </w:rPr>
              <w:t xml:space="preserve">14.28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14.28</w:t>
            </w:r>
          </w:p>
        </w:tc>
        <w:tc>
          <w:tcPr>
            <w:tcW w:w="1440" w:type="dxa"/>
            <w:tcBorders/>
            <w:vAlign w:val="center"/>
          </w:tcPr>
          <w:p>
            <w:pPr>
              <w:jc w:val="right"/>
            </w:pPr>
            <w:r>
              <w:rPr>
                <w:rFonts w:ascii="宋体" w:eastAsia="宋体" w:hAnsi="宋体" w:cs="宋体"/>
                <w:b w:val="0"/>
                <w:i w:val="0"/>
                <w:color w:val="000000"/>
                <w:sz w:val="17"/>
              </w:rPr>
              <w:t xml:space="preserve">14.28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120.64</w:t>
            </w:r>
          </w:p>
        </w:tc>
        <w:tc>
          <w:tcPr>
            <w:tcW w:w="1440" w:type="dxa"/>
            <w:tcBorders/>
            <w:vAlign w:val="center"/>
          </w:tcPr>
          <w:p>
            <w:pPr>
              <w:jc w:val="right"/>
            </w:pPr>
            <w:r>
              <w:rPr>
                <w:rFonts w:ascii="宋体" w:eastAsia="宋体" w:hAnsi="宋体" w:cs="宋体"/>
                <w:b w:val="0"/>
                <w:i w:val="0"/>
                <w:color w:val="000000"/>
                <w:sz w:val="17"/>
              </w:rPr>
              <w:t xml:space="preserve">120.64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120.64</w:t>
            </w:r>
          </w:p>
        </w:tc>
        <w:tc>
          <w:tcPr>
            <w:tcW w:w="1440" w:type="dxa"/>
            <w:tcBorders/>
            <w:vAlign w:val="center"/>
          </w:tcPr>
          <w:p>
            <w:pPr>
              <w:jc w:val="right"/>
            </w:pPr>
            <w:r>
              <w:rPr>
                <w:rFonts w:ascii="宋体" w:eastAsia="宋体" w:hAnsi="宋体" w:cs="宋体"/>
                <w:b w:val="0"/>
                <w:i w:val="0"/>
                <w:color w:val="000000"/>
                <w:sz w:val="17"/>
              </w:rPr>
              <w:t xml:space="preserve">120.64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4,111.20</w:t>
            </w:r>
          </w:p>
        </w:tc>
        <w:tc>
          <w:tcPr>
            <w:tcW w:w="1440" w:type="dxa"/>
            <w:tcBorders/>
            <w:vAlign w:val="center"/>
          </w:tcPr>
          <w:p>
            <w:pPr>
              <w:jc w:val="right"/>
            </w:pPr>
            <w:r>
              <w:rPr>
                <w:rFonts w:ascii="宋体" w:eastAsia="宋体" w:hAnsi="宋体" w:cs="宋体"/>
                <w:b w:val="0"/>
                <w:i w:val="0"/>
                <w:color w:val="000000"/>
                <w:sz w:val="17"/>
              </w:rPr>
              <w:t xml:space="preserve">4,111.20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人力资源和社会保障管理事务</w:t>
            </w:r>
          </w:p>
        </w:tc>
        <w:tc>
          <w:tcPr>
            <w:tcW w:w="1440" w:type="dxa"/>
            <w:tcBorders/>
            <w:vAlign w:val="center"/>
          </w:tcPr>
          <w:p>
            <w:pPr>
              <w:jc w:val="right"/>
            </w:pPr>
            <w:r>
              <w:rPr>
                <w:rFonts w:ascii="宋体" w:eastAsia="宋体" w:hAnsi="宋体" w:cs="宋体"/>
                <w:b w:val="0"/>
                <w:i w:val="0"/>
                <w:color w:val="000000"/>
                <w:sz w:val="17"/>
              </w:rPr>
              <w:t xml:space="preserve">2,942.94</w:t>
            </w:r>
          </w:p>
        </w:tc>
        <w:tc>
          <w:tcPr>
            <w:tcW w:w="1440" w:type="dxa"/>
            <w:tcBorders/>
            <w:vAlign w:val="center"/>
          </w:tcPr>
          <w:p>
            <w:pPr>
              <w:jc w:val="right"/>
            </w:pPr>
            <w:r>
              <w:rPr>
                <w:rFonts w:ascii="宋体" w:eastAsia="宋体" w:hAnsi="宋体" w:cs="宋体"/>
                <w:b w:val="0"/>
                <w:i w:val="0"/>
                <w:color w:val="000000"/>
                <w:sz w:val="17"/>
              </w:rPr>
              <w:t xml:space="preserve">2,942.94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2,614.73</w:t>
            </w:r>
          </w:p>
        </w:tc>
        <w:tc>
          <w:tcPr>
            <w:tcW w:w="1440" w:type="dxa"/>
            <w:tcBorders/>
            <w:vAlign w:val="center"/>
          </w:tcPr>
          <w:p>
            <w:pPr>
              <w:jc w:val="right"/>
            </w:pPr>
            <w:r>
              <w:rPr>
                <w:rFonts w:ascii="宋体" w:eastAsia="宋体" w:hAnsi="宋体" w:cs="宋体"/>
                <w:b w:val="0"/>
                <w:i w:val="0"/>
                <w:color w:val="000000"/>
                <w:sz w:val="17"/>
              </w:rPr>
              <w:t xml:space="preserve">2,614.73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社会保险经办机构</w:t>
            </w:r>
          </w:p>
        </w:tc>
        <w:tc>
          <w:tcPr>
            <w:tcW w:w="1440" w:type="dxa"/>
            <w:tcBorders/>
            <w:vAlign w:val="center"/>
          </w:tcPr>
          <w:p>
            <w:pPr>
              <w:jc w:val="right"/>
            </w:pPr>
            <w:r>
              <w:rPr>
                <w:rFonts w:ascii="宋体" w:eastAsia="宋体" w:hAnsi="宋体" w:cs="宋体"/>
                <w:b w:val="0"/>
                <w:i w:val="0"/>
                <w:color w:val="000000"/>
                <w:sz w:val="17"/>
              </w:rPr>
              <w:t xml:space="preserve">36.00</w:t>
            </w:r>
          </w:p>
        </w:tc>
        <w:tc>
          <w:tcPr>
            <w:tcW w:w="1440" w:type="dxa"/>
            <w:tcBorders/>
            <w:vAlign w:val="center"/>
          </w:tcPr>
          <w:p>
            <w:pPr>
              <w:jc w:val="right"/>
            </w:pPr>
            <w:r>
              <w:rPr>
                <w:rFonts w:ascii="宋体" w:eastAsia="宋体" w:hAnsi="宋体" w:cs="宋体"/>
                <w:b w:val="0"/>
                <w:i w:val="0"/>
                <w:color w:val="000000"/>
                <w:sz w:val="17"/>
              </w:rPr>
              <w:t xml:space="preserve">36.00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其他人力资源和社会保障管理事务支出</w:t>
            </w:r>
          </w:p>
        </w:tc>
        <w:tc>
          <w:tcPr>
            <w:tcW w:w="1440" w:type="dxa"/>
            <w:tcBorders/>
            <w:vAlign w:val="center"/>
          </w:tcPr>
          <w:p>
            <w:pPr>
              <w:jc w:val="right"/>
            </w:pPr>
            <w:r>
              <w:rPr>
                <w:rFonts w:ascii="宋体" w:eastAsia="宋体" w:hAnsi="宋体" w:cs="宋体"/>
                <w:b w:val="0"/>
                <w:i w:val="0"/>
                <w:color w:val="000000"/>
                <w:sz w:val="17"/>
              </w:rPr>
              <w:t xml:space="preserve">292.20</w:t>
            </w:r>
          </w:p>
        </w:tc>
        <w:tc>
          <w:tcPr>
            <w:tcW w:w="1440" w:type="dxa"/>
            <w:tcBorders/>
            <w:vAlign w:val="center"/>
          </w:tcPr>
          <w:p>
            <w:pPr>
              <w:jc w:val="right"/>
            </w:pPr>
            <w:r>
              <w:rPr>
                <w:rFonts w:ascii="宋体" w:eastAsia="宋体" w:hAnsi="宋体" w:cs="宋体"/>
                <w:b w:val="0"/>
                <w:i w:val="0"/>
                <w:color w:val="000000"/>
                <w:sz w:val="17"/>
              </w:rPr>
              <w:t xml:space="preserve">292.20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331.73</w:t>
            </w:r>
          </w:p>
        </w:tc>
        <w:tc>
          <w:tcPr>
            <w:tcW w:w="1440" w:type="dxa"/>
            <w:tcBorders/>
            <w:vAlign w:val="center"/>
          </w:tcPr>
          <w:p>
            <w:pPr>
              <w:jc w:val="right"/>
            </w:pPr>
            <w:r>
              <w:rPr>
                <w:rFonts w:ascii="宋体" w:eastAsia="宋体" w:hAnsi="宋体" w:cs="宋体"/>
                <w:b w:val="0"/>
                <w:i w:val="0"/>
                <w:color w:val="000000"/>
                <w:sz w:val="17"/>
              </w:rPr>
              <w:t xml:space="preserve">331.73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169.93</w:t>
            </w:r>
          </w:p>
        </w:tc>
        <w:tc>
          <w:tcPr>
            <w:tcW w:w="1440" w:type="dxa"/>
            <w:tcBorders/>
            <w:vAlign w:val="center"/>
          </w:tcPr>
          <w:p>
            <w:pPr>
              <w:jc w:val="right"/>
            </w:pPr>
            <w:r>
              <w:rPr>
                <w:rFonts w:ascii="宋体" w:eastAsia="宋体" w:hAnsi="宋体" w:cs="宋体"/>
                <w:b w:val="0"/>
                <w:i w:val="0"/>
                <w:color w:val="000000"/>
                <w:sz w:val="17"/>
              </w:rPr>
              <w:t xml:space="preserve">169.93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161.80</w:t>
            </w:r>
          </w:p>
        </w:tc>
        <w:tc>
          <w:tcPr>
            <w:tcW w:w="1440" w:type="dxa"/>
            <w:tcBorders/>
            <w:vAlign w:val="center"/>
          </w:tcPr>
          <w:p>
            <w:pPr>
              <w:jc w:val="right"/>
            </w:pPr>
            <w:r>
              <w:rPr>
                <w:rFonts w:ascii="宋体" w:eastAsia="宋体" w:hAnsi="宋体" w:cs="宋体"/>
                <w:b w:val="0"/>
                <w:i w:val="0"/>
                <w:color w:val="000000"/>
                <w:sz w:val="17"/>
              </w:rPr>
              <w:t xml:space="preserve">161.80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企业改革补助</w:t>
            </w:r>
          </w:p>
        </w:tc>
        <w:tc>
          <w:tcPr>
            <w:tcW w:w="1440" w:type="dxa"/>
            <w:tcBorders/>
            <w:vAlign w:val="center"/>
          </w:tcPr>
          <w:p>
            <w:pPr>
              <w:jc w:val="right"/>
            </w:pPr>
            <w:r>
              <w:rPr>
                <w:rFonts w:ascii="宋体" w:eastAsia="宋体" w:hAnsi="宋体" w:cs="宋体"/>
                <w:b w:val="0"/>
                <w:i w:val="0"/>
                <w:color w:val="000000"/>
                <w:sz w:val="17"/>
              </w:rPr>
              <w:t xml:space="preserve">58.43</w:t>
            </w:r>
          </w:p>
        </w:tc>
        <w:tc>
          <w:tcPr>
            <w:tcW w:w="1440" w:type="dxa"/>
            <w:tcBorders/>
            <w:vAlign w:val="center"/>
          </w:tcPr>
          <w:p>
            <w:pPr>
              <w:jc w:val="right"/>
            </w:pPr>
            <w:r>
              <w:rPr>
                <w:rFonts w:ascii="宋体" w:eastAsia="宋体" w:hAnsi="宋体" w:cs="宋体"/>
                <w:b w:val="0"/>
                <w:i w:val="0"/>
                <w:color w:val="000000"/>
                <w:sz w:val="17"/>
              </w:rPr>
              <w:t xml:space="preserve">58.43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2080699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其他企业改革发展补助</w:t>
            </w:r>
          </w:p>
        </w:tc>
        <w:tc>
          <w:tcPr>
            <w:tcW w:w="1440" w:type="dxa"/>
            <w:tcBorders/>
            <w:vAlign w:val="center"/>
          </w:tcPr>
          <w:p>
            <w:pPr>
              <w:jc w:val="right"/>
            </w:pPr>
            <w:r>
              <w:rPr>
                <w:rFonts w:ascii="宋体" w:eastAsia="宋体" w:hAnsi="宋体" w:cs="宋体"/>
                <w:b w:val="0"/>
                <w:i w:val="0"/>
                <w:color w:val="000000"/>
                <w:sz w:val="17"/>
              </w:rPr>
              <w:t xml:space="preserve">58.43</w:t>
            </w:r>
          </w:p>
        </w:tc>
        <w:tc>
          <w:tcPr>
            <w:tcW w:w="1440" w:type="dxa"/>
            <w:tcBorders/>
            <w:vAlign w:val="center"/>
          </w:tcPr>
          <w:p>
            <w:pPr>
              <w:jc w:val="right"/>
            </w:pPr>
            <w:r>
              <w:rPr>
                <w:rFonts w:ascii="宋体" w:eastAsia="宋体" w:hAnsi="宋体" w:cs="宋体"/>
                <w:b w:val="0"/>
                <w:i w:val="0"/>
                <w:color w:val="000000"/>
                <w:sz w:val="17"/>
              </w:rPr>
              <w:t xml:space="preserve">58.43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2.84</w:t>
            </w:r>
          </w:p>
        </w:tc>
        <w:tc>
          <w:tcPr>
            <w:tcW w:w="1440" w:type="dxa"/>
            <w:tcBorders/>
            <w:vAlign w:val="center"/>
          </w:tcPr>
          <w:p>
            <w:pPr>
              <w:jc w:val="right"/>
            </w:pPr>
            <w:r>
              <w:rPr>
                <w:rFonts w:ascii="宋体" w:eastAsia="宋体" w:hAnsi="宋体" w:cs="宋体"/>
                <w:b w:val="0"/>
                <w:i w:val="0"/>
                <w:color w:val="000000"/>
                <w:sz w:val="17"/>
              </w:rPr>
              <w:t xml:space="preserve">2.84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2.84</w:t>
            </w:r>
          </w:p>
        </w:tc>
        <w:tc>
          <w:tcPr>
            <w:tcW w:w="1440" w:type="dxa"/>
            <w:tcBorders/>
            <w:vAlign w:val="center"/>
          </w:tcPr>
          <w:p>
            <w:pPr>
              <w:jc w:val="right"/>
            </w:pPr>
            <w:r>
              <w:rPr>
                <w:rFonts w:ascii="宋体" w:eastAsia="宋体" w:hAnsi="宋体" w:cs="宋体"/>
                <w:b w:val="0"/>
                <w:i w:val="0"/>
                <w:color w:val="000000"/>
                <w:sz w:val="17"/>
              </w:rPr>
              <w:t xml:space="preserve">2.84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22.99</w:t>
            </w:r>
          </w:p>
        </w:tc>
        <w:tc>
          <w:tcPr>
            <w:tcW w:w="1440" w:type="dxa"/>
            <w:tcBorders/>
            <w:vAlign w:val="center"/>
          </w:tcPr>
          <w:p>
            <w:pPr>
              <w:jc w:val="right"/>
            </w:pPr>
            <w:r>
              <w:rPr>
                <w:rFonts w:ascii="宋体" w:eastAsia="宋体" w:hAnsi="宋体" w:cs="宋体"/>
                <w:b w:val="0"/>
                <w:i w:val="0"/>
                <w:color w:val="000000"/>
                <w:sz w:val="17"/>
              </w:rPr>
              <w:t xml:space="preserve">22.99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22.99</w:t>
            </w:r>
          </w:p>
        </w:tc>
        <w:tc>
          <w:tcPr>
            <w:tcW w:w="1440" w:type="dxa"/>
            <w:tcBorders/>
            <w:vAlign w:val="center"/>
          </w:tcPr>
          <w:p>
            <w:pPr>
              <w:jc w:val="right"/>
            </w:pPr>
            <w:r>
              <w:rPr>
                <w:rFonts w:ascii="宋体" w:eastAsia="宋体" w:hAnsi="宋体" w:cs="宋体"/>
                <w:b w:val="0"/>
                <w:i w:val="0"/>
                <w:color w:val="000000"/>
                <w:sz w:val="17"/>
              </w:rPr>
              <w:t xml:space="preserve">22.99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其他社会保障和就业支出</w:t>
            </w:r>
          </w:p>
        </w:tc>
        <w:tc>
          <w:tcPr>
            <w:tcW w:w="1440" w:type="dxa"/>
            <w:tcBorders/>
            <w:vAlign w:val="center"/>
          </w:tcPr>
          <w:p>
            <w:pPr>
              <w:jc w:val="right"/>
            </w:pPr>
            <w:r>
              <w:rPr>
                <w:rFonts w:ascii="宋体" w:eastAsia="宋体" w:hAnsi="宋体" w:cs="宋体"/>
                <w:b w:val="0"/>
                <w:i w:val="0"/>
                <w:color w:val="000000"/>
                <w:sz w:val="17"/>
              </w:rPr>
              <w:t xml:space="preserve">752.26</w:t>
            </w:r>
          </w:p>
        </w:tc>
        <w:tc>
          <w:tcPr>
            <w:tcW w:w="1440" w:type="dxa"/>
            <w:tcBorders/>
            <w:vAlign w:val="center"/>
          </w:tcPr>
          <w:p>
            <w:pPr>
              <w:jc w:val="right"/>
            </w:pPr>
            <w:r>
              <w:rPr>
                <w:rFonts w:ascii="宋体" w:eastAsia="宋体" w:hAnsi="宋体" w:cs="宋体"/>
                <w:b w:val="0"/>
                <w:i w:val="0"/>
                <w:color w:val="000000"/>
                <w:sz w:val="17"/>
              </w:rPr>
              <w:t xml:space="preserve">752.26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其他社会保障和就业支出</w:t>
            </w:r>
          </w:p>
        </w:tc>
        <w:tc>
          <w:tcPr>
            <w:tcW w:w="1440" w:type="dxa"/>
            <w:tcBorders/>
            <w:vAlign w:val="center"/>
          </w:tcPr>
          <w:p>
            <w:pPr>
              <w:jc w:val="right"/>
            </w:pPr>
            <w:r>
              <w:rPr>
                <w:rFonts w:ascii="宋体" w:eastAsia="宋体" w:hAnsi="宋体" w:cs="宋体"/>
                <w:b w:val="0"/>
                <w:i w:val="0"/>
                <w:color w:val="000000"/>
                <w:sz w:val="17"/>
              </w:rPr>
              <w:t xml:space="preserve">752.26</w:t>
            </w:r>
          </w:p>
        </w:tc>
        <w:tc>
          <w:tcPr>
            <w:tcW w:w="1440" w:type="dxa"/>
            <w:tcBorders/>
            <w:vAlign w:val="center"/>
          </w:tcPr>
          <w:p>
            <w:pPr>
              <w:jc w:val="right"/>
            </w:pPr>
            <w:r>
              <w:rPr>
                <w:rFonts w:ascii="宋体" w:eastAsia="宋体" w:hAnsi="宋体" w:cs="宋体"/>
                <w:b w:val="0"/>
                <w:i w:val="0"/>
                <w:color w:val="000000"/>
                <w:sz w:val="17"/>
              </w:rPr>
              <w:t xml:space="preserve">752.26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126.16</w:t>
            </w:r>
          </w:p>
        </w:tc>
        <w:tc>
          <w:tcPr>
            <w:tcW w:w="1440" w:type="dxa"/>
            <w:tcBorders/>
            <w:vAlign w:val="center"/>
          </w:tcPr>
          <w:p>
            <w:pPr>
              <w:jc w:val="right"/>
            </w:pPr>
            <w:r>
              <w:rPr>
                <w:rFonts w:ascii="宋体" w:eastAsia="宋体" w:hAnsi="宋体" w:cs="宋体"/>
                <w:b w:val="0"/>
                <w:i w:val="0"/>
                <w:color w:val="000000"/>
                <w:sz w:val="17"/>
              </w:rPr>
              <w:t xml:space="preserve">126.16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126.16</w:t>
            </w:r>
          </w:p>
        </w:tc>
        <w:tc>
          <w:tcPr>
            <w:tcW w:w="1440" w:type="dxa"/>
            <w:tcBorders/>
            <w:vAlign w:val="center"/>
          </w:tcPr>
          <w:p>
            <w:pPr>
              <w:jc w:val="right"/>
            </w:pPr>
            <w:r>
              <w:rPr>
                <w:rFonts w:ascii="宋体" w:eastAsia="宋体" w:hAnsi="宋体" w:cs="宋体"/>
                <w:b w:val="0"/>
                <w:i w:val="0"/>
                <w:color w:val="000000"/>
                <w:sz w:val="17"/>
              </w:rPr>
              <w:t xml:space="preserve">126.16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79.68</w:t>
            </w:r>
          </w:p>
        </w:tc>
        <w:tc>
          <w:tcPr>
            <w:tcW w:w="1440" w:type="dxa"/>
            <w:tcBorders/>
            <w:vAlign w:val="center"/>
          </w:tcPr>
          <w:p>
            <w:pPr>
              <w:jc w:val="right"/>
            </w:pPr>
            <w:r>
              <w:rPr>
                <w:rFonts w:ascii="宋体" w:eastAsia="宋体" w:hAnsi="宋体" w:cs="宋体"/>
                <w:b w:val="0"/>
                <w:i w:val="0"/>
                <w:color w:val="000000"/>
                <w:sz w:val="17"/>
              </w:rPr>
              <w:t xml:space="preserve">79.68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46.48</w:t>
            </w:r>
          </w:p>
        </w:tc>
        <w:tc>
          <w:tcPr>
            <w:tcW w:w="1440" w:type="dxa"/>
            <w:tcBorders/>
            <w:vAlign w:val="center"/>
          </w:tcPr>
          <w:p>
            <w:pPr>
              <w:jc w:val="right"/>
            </w:pPr>
            <w:r>
              <w:rPr>
                <w:rFonts w:ascii="宋体" w:eastAsia="宋体" w:hAnsi="宋体" w:cs="宋体"/>
                <w:b w:val="0"/>
                <w:i w:val="0"/>
                <w:color w:val="000000"/>
                <w:sz w:val="17"/>
              </w:rPr>
              <w:t xml:space="preserve">46.48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158.20</w:t>
            </w:r>
          </w:p>
        </w:tc>
        <w:tc>
          <w:tcPr>
            <w:tcW w:w="1440" w:type="dxa"/>
            <w:tcBorders/>
            <w:vAlign w:val="center"/>
          </w:tcPr>
          <w:p>
            <w:pPr>
              <w:jc w:val="right"/>
            </w:pPr>
            <w:r>
              <w:rPr>
                <w:rFonts w:ascii="宋体" w:eastAsia="宋体" w:hAnsi="宋体" w:cs="宋体"/>
                <w:b w:val="0"/>
                <w:i w:val="0"/>
                <w:color w:val="000000"/>
                <w:sz w:val="17"/>
              </w:rPr>
              <w:t xml:space="preserve">158.20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158.20</w:t>
            </w:r>
          </w:p>
        </w:tc>
        <w:tc>
          <w:tcPr>
            <w:tcW w:w="1440" w:type="dxa"/>
            <w:tcBorders/>
            <w:vAlign w:val="center"/>
          </w:tcPr>
          <w:p>
            <w:pPr>
              <w:jc w:val="right"/>
            </w:pPr>
            <w:r>
              <w:rPr>
                <w:rFonts w:ascii="宋体" w:eastAsia="宋体" w:hAnsi="宋体" w:cs="宋体"/>
                <w:b w:val="0"/>
                <w:i w:val="0"/>
                <w:color w:val="000000"/>
                <w:sz w:val="17"/>
              </w:rPr>
              <w:t xml:space="preserve">158.20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158.20</w:t>
            </w:r>
          </w:p>
        </w:tc>
        <w:tc>
          <w:tcPr>
            <w:tcW w:w="1440" w:type="dxa"/>
            <w:tcBorders/>
            <w:vAlign w:val="center"/>
          </w:tcPr>
          <w:p>
            <w:pPr>
              <w:jc w:val="right"/>
            </w:pPr>
            <w:r>
              <w:rPr>
                <w:rFonts w:ascii="宋体" w:eastAsia="宋体" w:hAnsi="宋体" w:cs="宋体"/>
                <w:b w:val="0"/>
                <w:i w:val="0"/>
                <w:color w:val="000000"/>
                <w:sz w:val="17"/>
              </w:rPr>
              <w:t xml:space="preserve">158.20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4,530.49</w:t>
            </w:r>
          </w:p>
        </w:tc>
        <w:tc>
          <w:tcPr>
            <w:tcW w:w="1600" w:type="dxa"/>
            <w:tcBorders/>
            <w:vAlign w:val="center"/>
          </w:tcPr>
          <w:p>
            <w:pPr>
              <w:jc w:val="right"/>
            </w:pPr>
            <w:r>
              <w:rPr>
                <w:rFonts w:ascii="宋体" w:eastAsia="宋体" w:hAnsi="宋体" w:cs="宋体"/>
                <w:b/>
                <w:i w:val="0"/>
                <w:color w:val="000000"/>
                <w:sz w:val="19"/>
              </w:rPr>
              <w:t xml:space="preserve">3,381.14</w:t>
            </w:r>
          </w:p>
        </w:tc>
        <w:tc>
          <w:tcPr>
            <w:tcW w:w="1600" w:type="dxa"/>
            <w:tcBorders/>
            <w:vAlign w:val="center"/>
          </w:tcPr>
          <w:p>
            <w:pPr>
              <w:jc w:val="right"/>
            </w:pPr>
            <w:r>
              <w:rPr>
                <w:rFonts w:ascii="宋体" w:eastAsia="宋体" w:hAnsi="宋体" w:cs="宋体"/>
                <w:b/>
                <w:i w:val="0"/>
                <w:color w:val="000000"/>
                <w:sz w:val="19"/>
              </w:rPr>
              <w:t xml:space="preserve">1,149.35</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134.92</w:t>
            </w:r>
          </w:p>
        </w:tc>
        <w:tc>
          <w:tcPr>
            <w:tcW w:w="1600" w:type="dxa"/>
            <w:tcBorders/>
            <w:vAlign w:val="center"/>
          </w:tcPr>
          <w:p>
            <w:pPr>
              <w:jc w:val="right"/>
            </w:pPr>
            <w:r>
              <w:rPr>
                <w:rFonts w:ascii="宋体" w:eastAsia="宋体" w:hAnsi="宋体" w:cs="宋体"/>
                <w:b w:val="0"/>
                <w:i w:val="0"/>
                <w:color w:val="000000"/>
                <w:sz w:val="19"/>
              </w:rPr>
              <w:t xml:space="preserve">134.92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14.28</w:t>
            </w:r>
          </w:p>
        </w:tc>
        <w:tc>
          <w:tcPr>
            <w:tcW w:w="1600" w:type="dxa"/>
            <w:tcBorders/>
            <w:vAlign w:val="center"/>
          </w:tcPr>
          <w:p>
            <w:pPr>
              <w:jc w:val="right"/>
            </w:pPr>
            <w:r>
              <w:rPr>
                <w:rFonts w:ascii="宋体" w:eastAsia="宋体" w:hAnsi="宋体" w:cs="宋体"/>
                <w:b w:val="0"/>
                <w:i w:val="0"/>
                <w:color w:val="000000"/>
                <w:sz w:val="19"/>
              </w:rPr>
              <w:t xml:space="preserve">14.28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14.28</w:t>
            </w:r>
          </w:p>
        </w:tc>
        <w:tc>
          <w:tcPr>
            <w:tcW w:w="1600" w:type="dxa"/>
            <w:tcBorders/>
            <w:vAlign w:val="center"/>
          </w:tcPr>
          <w:p>
            <w:pPr>
              <w:jc w:val="right"/>
            </w:pPr>
            <w:r>
              <w:rPr>
                <w:rFonts w:ascii="宋体" w:eastAsia="宋体" w:hAnsi="宋体" w:cs="宋体"/>
                <w:b w:val="0"/>
                <w:i w:val="0"/>
                <w:color w:val="000000"/>
                <w:sz w:val="19"/>
              </w:rPr>
              <w:t xml:space="preserve">14.28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120.64</w:t>
            </w:r>
          </w:p>
        </w:tc>
        <w:tc>
          <w:tcPr>
            <w:tcW w:w="1600" w:type="dxa"/>
            <w:tcBorders/>
            <w:vAlign w:val="center"/>
          </w:tcPr>
          <w:p>
            <w:pPr>
              <w:jc w:val="right"/>
            </w:pPr>
            <w:r>
              <w:rPr>
                <w:rFonts w:ascii="宋体" w:eastAsia="宋体" w:hAnsi="宋体" w:cs="宋体"/>
                <w:b w:val="0"/>
                <w:i w:val="0"/>
                <w:color w:val="000000"/>
                <w:sz w:val="19"/>
              </w:rPr>
              <w:t xml:space="preserve">120.64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120.64</w:t>
            </w:r>
          </w:p>
        </w:tc>
        <w:tc>
          <w:tcPr>
            <w:tcW w:w="1600" w:type="dxa"/>
            <w:tcBorders/>
            <w:vAlign w:val="center"/>
          </w:tcPr>
          <w:p>
            <w:pPr>
              <w:jc w:val="right"/>
            </w:pPr>
            <w:r>
              <w:rPr>
                <w:rFonts w:ascii="宋体" w:eastAsia="宋体" w:hAnsi="宋体" w:cs="宋体"/>
                <w:b w:val="0"/>
                <w:i w:val="0"/>
                <w:color w:val="000000"/>
                <w:sz w:val="19"/>
              </w:rPr>
              <w:t xml:space="preserve">120.64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4,111.20</w:t>
            </w:r>
          </w:p>
        </w:tc>
        <w:tc>
          <w:tcPr>
            <w:tcW w:w="1600" w:type="dxa"/>
            <w:tcBorders/>
            <w:vAlign w:val="center"/>
          </w:tcPr>
          <w:p>
            <w:pPr>
              <w:jc w:val="right"/>
            </w:pPr>
            <w:r>
              <w:rPr>
                <w:rFonts w:ascii="宋体" w:eastAsia="宋体" w:hAnsi="宋体" w:cs="宋体"/>
                <w:b w:val="0"/>
                <w:i w:val="0"/>
                <w:color w:val="000000"/>
                <w:sz w:val="19"/>
              </w:rPr>
              <w:t xml:space="preserve">2,961.85</w:t>
            </w:r>
          </w:p>
        </w:tc>
        <w:tc>
          <w:tcPr>
            <w:tcW w:w="1600" w:type="dxa"/>
            <w:tcBorders/>
            <w:vAlign w:val="center"/>
          </w:tcPr>
          <w:p>
            <w:pPr>
              <w:jc w:val="right"/>
            </w:pPr>
            <w:r>
              <w:rPr>
                <w:rFonts w:ascii="宋体" w:eastAsia="宋体" w:hAnsi="宋体" w:cs="宋体"/>
                <w:b w:val="0"/>
                <w:i w:val="0"/>
                <w:color w:val="000000"/>
                <w:sz w:val="19"/>
              </w:rPr>
              <w:t xml:space="preserve">1,149.35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人力资源和社会保障管理事务</w:t>
            </w:r>
          </w:p>
        </w:tc>
        <w:tc>
          <w:tcPr>
            <w:tcW w:w="1600" w:type="dxa"/>
            <w:tcBorders/>
            <w:vAlign w:val="center"/>
          </w:tcPr>
          <w:p>
            <w:pPr>
              <w:jc w:val="right"/>
            </w:pPr>
            <w:r>
              <w:rPr>
                <w:rFonts w:ascii="宋体" w:eastAsia="宋体" w:hAnsi="宋体" w:cs="宋体"/>
                <w:b w:val="0"/>
                <w:i w:val="0"/>
                <w:color w:val="000000"/>
                <w:sz w:val="19"/>
              </w:rPr>
              <w:t xml:space="preserve">2,942.94</w:t>
            </w:r>
          </w:p>
        </w:tc>
        <w:tc>
          <w:tcPr>
            <w:tcW w:w="1600" w:type="dxa"/>
            <w:tcBorders/>
            <w:vAlign w:val="center"/>
          </w:tcPr>
          <w:p>
            <w:pPr>
              <w:jc w:val="right"/>
            </w:pPr>
            <w:r>
              <w:rPr>
                <w:rFonts w:ascii="宋体" w:eastAsia="宋体" w:hAnsi="宋体" w:cs="宋体"/>
                <w:b w:val="0"/>
                <w:i w:val="0"/>
                <w:color w:val="000000"/>
                <w:sz w:val="19"/>
              </w:rPr>
              <w:t xml:space="preserve">2,607.12</w:t>
            </w:r>
          </w:p>
        </w:tc>
        <w:tc>
          <w:tcPr>
            <w:tcW w:w="1600" w:type="dxa"/>
            <w:tcBorders/>
            <w:vAlign w:val="center"/>
          </w:tcPr>
          <w:p>
            <w:pPr>
              <w:jc w:val="right"/>
            </w:pPr>
            <w:r>
              <w:rPr>
                <w:rFonts w:ascii="宋体" w:eastAsia="宋体" w:hAnsi="宋体" w:cs="宋体"/>
                <w:b w:val="0"/>
                <w:i w:val="0"/>
                <w:color w:val="000000"/>
                <w:sz w:val="19"/>
              </w:rPr>
              <w:t xml:space="preserve">335.81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2,614.73</w:t>
            </w:r>
          </w:p>
        </w:tc>
        <w:tc>
          <w:tcPr>
            <w:tcW w:w="1600" w:type="dxa"/>
            <w:tcBorders/>
            <w:vAlign w:val="center"/>
          </w:tcPr>
          <w:p>
            <w:pPr>
              <w:jc w:val="right"/>
            </w:pPr>
            <w:r>
              <w:rPr>
                <w:rFonts w:ascii="宋体" w:eastAsia="宋体" w:hAnsi="宋体" w:cs="宋体"/>
                <w:b w:val="0"/>
                <w:i w:val="0"/>
                <w:color w:val="000000"/>
                <w:sz w:val="19"/>
              </w:rPr>
              <w:t xml:space="preserve">2,607.12</w:t>
            </w:r>
          </w:p>
        </w:tc>
        <w:tc>
          <w:tcPr>
            <w:tcW w:w="1600" w:type="dxa"/>
            <w:tcBorders/>
            <w:vAlign w:val="center"/>
          </w:tcPr>
          <w:p>
            <w:pPr>
              <w:jc w:val="right"/>
            </w:pPr>
            <w:r>
              <w:rPr>
                <w:rFonts w:ascii="宋体" w:eastAsia="宋体" w:hAnsi="宋体" w:cs="宋体"/>
                <w:b w:val="0"/>
                <w:i w:val="0"/>
                <w:color w:val="000000"/>
                <w:sz w:val="19"/>
              </w:rPr>
              <w:t xml:space="preserve">7.61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社会保险经办机构</w:t>
            </w:r>
          </w:p>
        </w:tc>
        <w:tc>
          <w:tcPr>
            <w:tcW w:w="1600" w:type="dxa"/>
            <w:tcBorders/>
            <w:vAlign w:val="center"/>
          </w:tcPr>
          <w:p>
            <w:pPr>
              <w:jc w:val="right"/>
            </w:pPr>
            <w:r>
              <w:rPr>
                <w:rFonts w:ascii="宋体" w:eastAsia="宋体" w:hAnsi="宋体" w:cs="宋体"/>
                <w:b w:val="0"/>
                <w:i w:val="0"/>
                <w:color w:val="000000"/>
                <w:sz w:val="19"/>
              </w:rPr>
              <w:t xml:space="preserve">36.00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其他人力资源和社会保障管理事务支出</w:t>
            </w:r>
          </w:p>
        </w:tc>
        <w:tc>
          <w:tcPr>
            <w:tcW w:w="1600" w:type="dxa"/>
            <w:tcBorders/>
            <w:vAlign w:val="center"/>
          </w:tcPr>
          <w:p>
            <w:pPr>
              <w:jc w:val="right"/>
            </w:pPr>
            <w:r>
              <w:rPr>
                <w:rFonts w:ascii="宋体" w:eastAsia="宋体" w:hAnsi="宋体" w:cs="宋体"/>
                <w:b w:val="0"/>
                <w:i w:val="0"/>
                <w:color w:val="000000"/>
                <w:sz w:val="19"/>
              </w:rPr>
              <w:t xml:space="preserve">292.20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292.20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331.73</w:t>
            </w:r>
          </w:p>
        </w:tc>
        <w:tc>
          <w:tcPr>
            <w:tcW w:w="1600" w:type="dxa"/>
            <w:tcBorders/>
            <w:vAlign w:val="center"/>
          </w:tcPr>
          <w:p>
            <w:pPr>
              <w:jc w:val="right"/>
            </w:pPr>
            <w:r>
              <w:rPr>
                <w:rFonts w:ascii="宋体" w:eastAsia="宋体" w:hAnsi="宋体" w:cs="宋体"/>
                <w:b w:val="0"/>
                <w:i w:val="0"/>
                <w:color w:val="000000"/>
                <w:sz w:val="19"/>
              </w:rPr>
              <w:t xml:space="preserve">331.73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169.93</w:t>
            </w:r>
          </w:p>
        </w:tc>
        <w:tc>
          <w:tcPr>
            <w:tcW w:w="1600" w:type="dxa"/>
            <w:tcBorders/>
            <w:vAlign w:val="center"/>
          </w:tcPr>
          <w:p>
            <w:pPr>
              <w:jc w:val="right"/>
            </w:pPr>
            <w:r>
              <w:rPr>
                <w:rFonts w:ascii="宋体" w:eastAsia="宋体" w:hAnsi="宋体" w:cs="宋体"/>
                <w:b w:val="0"/>
                <w:i w:val="0"/>
                <w:color w:val="000000"/>
                <w:sz w:val="19"/>
              </w:rPr>
              <w:t xml:space="preserve">169.93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161.80</w:t>
            </w:r>
          </w:p>
        </w:tc>
        <w:tc>
          <w:tcPr>
            <w:tcW w:w="1600" w:type="dxa"/>
            <w:tcBorders/>
            <w:vAlign w:val="center"/>
          </w:tcPr>
          <w:p>
            <w:pPr>
              <w:jc w:val="right"/>
            </w:pPr>
            <w:r>
              <w:rPr>
                <w:rFonts w:ascii="宋体" w:eastAsia="宋体" w:hAnsi="宋体" w:cs="宋体"/>
                <w:b w:val="0"/>
                <w:i w:val="0"/>
                <w:color w:val="000000"/>
                <w:sz w:val="19"/>
              </w:rPr>
              <w:t xml:space="preserve">161.80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企业改革补助</w:t>
            </w:r>
          </w:p>
        </w:tc>
        <w:tc>
          <w:tcPr>
            <w:tcW w:w="1600" w:type="dxa"/>
            <w:tcBorders/>
            <w:vAlign w:val="center"/>
          </w:tcPr>
          <w:p>
            <w:pPr>
              <w:jc w:val="right"/>
            </w:pPr>
            <w:r>
              <w:rPr>
                <w:rFonts w:ascii="宋体" w:eastAsia="宋体" w:hAnsi="宋体" w:cs="宋体"/>
                <w:b w:val="0"/>
                <w:i w:val="0"/>
                <w:color w:val="000000"/>
                <w:sz w:val="19"/>
              </w:rPr>
              <w:t xml:space="preserve">58.43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58.43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2080699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其他企业改革发展补助</w:t>
            </w:r>
          </w:p>
        </w:tc>
        <w:tc>
          <w:tcPr>
            <w:tcW w:w="1600" w:type="dxa"/>
            <w:tcBorders/>
            <w:vAlign w:val="center"/>
          </w:tcPr>
          <w:p>
            <w:pPr>
              <w:jc w:val="right"/>
            </w:pPr>
            <w:r>
              <w:rPr>
                <w:rFonts w:ascii="宋体" w:eastAsia="宋体" w:hAnsi="宋体" w:cs="宋体"/>
                <w:b w:val="0"/>
                <w:i w:val="0"/>
                <w:color w:val="000000"/>
                <w:sz w:val="19"/>
              </w:rPr>
              <w:t xml:space="preserve">58.43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58.43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2.84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2.84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22.99</w:t>
            </w:r>
          </w:p>
        </w:tc>
        <w:tc>
          <w:tcPr>
            <w:tcW w:w="1600" w:type="dxa"/>
            <w:tcBorders/>
            <w:vAlign w:val="center"/>
          </w:tcPr>
          <w:p>
            <w:pPr>
              <w:jc w:val="right"/>
            </w:pPr>
            <w:r>
              <w:rPr>
                <w:rFonts w:ascii="宋体" w:eastAsia="宋体" w:hAnsi="宋体" w:cs="宋体"/>
                <w:b w:val="0"/>
                <w:i w:val="0"/>
                <w:color w:val="000000"/>
                <w:sz w:val="19"/>
              </w:rPr>
              <w:t xml:space="preserve">22.99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22.99</w:t>
            </w:r>
          </w:p>
        </w:tc>
        <w:tc>
          <w:tcPr>
            <w:tcW w:w="1600" w:type="dxa"/>
            <w:tcBorders/>
            <w:vAlign w:val="center"/>
          </w:tcPr>
          <w:p>
            <w:pPr>
              <w:jc w:val="right"/>
            </w:pPr>
            <w:r>
              <w:rPr>
                <w:rFonts w:ascii="宋体" w:eastAsia="宋体" w:hAnsi="宋体" w:cs="宋体"/>
                <w:b w:val="0"/>
                <w:i w:val="0"/>
                <w:color w:val="000000"/>
                <w:sz w:val="19"/>
              </w:rPr>
              <w:t xml:space="preserve">22.99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其他社会保障和就业支出</w:t>
            </w:r>
          </w:p>
        </w:tc>
        <w:tc>
          <w:tcPr>
            <w:tcW w:w="1600" w:type="dxa"/>
            <w:tcBorders/>
            <w:vAlign w:val="center"/>
          </w:tcPr>
          <w:p>
            <w:pPr>
              <w:jc w:val="right"/>
            </w:pPr>
            <w:r>
              <w:rPr>
                <w:rFonts w:ascii="宋体" w:eastAsia="宋体" w:hAnsi="宋体" w:cs="宋体"/>
                <w:b w:val="0"/>
                <w:i w:val="0"/>
                <w:color w:val="000000"/>
                <w:sz w:val="19"/>
              </w:rPr>
              <w:t xml:space="preserve">752.26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752.26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其他社会保障和就业支出</w:t>
            </w:r>
          </w:p>
        </w:tc>
        <w:tc>
          <w:tcPr>
            <w:tcW w:w="1600" w:type="dxa"/>
            <w:tcBorders/>
            <w:vAlign w:val="center"/>
          </w:tcPr>
          <w:p>
            <w:pPr>
              <w:jc w:val="right"/>
            </w:pPr>
            <w:r>
              <w:rPr>
                <w:rFonts w:ascii="宋体" w:eastAsia="宋体" w:hAnsi="宋体" w:cs="宋体"/>
                <w:b w:val="0"/>
                <w:i w:val="0"/>
                <w:color w:val="000000"/>
                <w:sz w:val="19"/>
              </w:rPr>
              <w:t xml:space="preserve">752.26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752.26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126.16</w:t>
            </w:r>
          </w:p>
        </w:tc>
        <w:tc>
          <w:tcPr>
            <w:tcW w:w="1600" w:type="dxa"/>
            <w:tcBorders/>
            <w:vAlign w:val="center"/>
          </w:tcPr>
          <w:p>
            <w:pPr>
              <w:jc w:val="right"/>
            </w:pPr>
            <w:r>
              <w:rPr>
                <w:rFonts w:ascii="宋体" w:eastAsia="宋体" w:hAnsi="宋体" w:cs="宋体"/>
                <w:b w:val="0"/>
                <w:i w:val="0"/>
                <w:color w:val="000000"/>
                <w:sz w:val="19"/>
              </w:rPr>
              <w:t xml:space="preserve">126.16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126.16</w:t>
            </w:r>
          </w:p>
        </w:tc>
        <w:tc>
          <w:tcPr>
            <w:tcW w:w="1600" w:type="dxa"/>
            <w:tcBorders/>
            <w:vAlign w:val="center"/>
          </w:tcPr>
          <w:p>
            <w:pPr>
              <w:jc w:val="right"/>
            </w:pPr>
            <w:r>
              <w:rPr>
                <w:rFonts w:ascii="宋体" w:eastAsia="宋体" w:hAnsi="宋体" w:cs="宋体"/>
                <w:b w:val="0"/>
                <w:i w:val="0"/>
                <w:color w:val="000000"/>
                <w:sz w:val="19"/>
              </w:rPr>
              <w:t xml:space="preserve">126.16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79.68</w:t>
            </w:r>
          </w:p>
        </w:tc>
        <w:tc>
          <w:tcPr>
            <w:tcW w:w="1600" w:type="dxa"/>
            <w:tcBorders/>
            <w:vAlign w:val="center"/>
          </w:tcPr>
          <w:p>
            <w:pPr>
              <w:jc w:val="right"/>
            </w:pPr>
            <w:r>
              <w:rPr>
                <w:rFonts w:ascii="宋体" w:eastAsia="宋体" w:hAnsi="宋体" w:cs="宋体"/>
                <w:b w:val="0"/>
                <w:i w:val="0"/>
                <w:color w:val="000000"/>
                <w:sz w:val="19"/>
              </w:rPr>
              <w:t xml:space="preserve">79.68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46.48</w:t>
            </w:r>
          </w:p>
        </w:tc>
        <w:tc>
          <w:tcPr>
            <w:tcW w:w="1600" w:type="dxa"/>
            <w:tcBorders/>
            <w:vAlign w:val="center"/>
          </w:tcPr>
          <w:p>
            <w:pPr>
              <w:jc w:val="right"/>
            </w:pPr>
            <w:r>
              <w:rPr>
                <w:rFonts w:ascii="宋体" w:eastAsia="宋体" w:hAnsi="宋体" w:cs="宋体"/>
                <w:b w:val="0"/>
                <w:i w:val="0"/>
                <w:color w:val="000000"/>
                <w:sz w:val="19"/>
              </w:rPr>
              <w:t xml:space="preserve">46.48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158.20</w:t>
            </w:r>
          </w:p>
        </w:tc>
        <w:tc>
          <w:tcPr>
            <w:tcW w:w="1600" w:type="dxa"/>
            <w:tcBorders/>
            <w:vAlign w:val="center"/>
          </w:tcPr>
          <w:p>
            <w:pPr>
              <w:jc w:val="right"/>
            </w:pPr>
            <w:r>
              <w:rPr>
                <w:rFonts w:ascii="宋体" w:eastAsia="宋体" w:hAnsi="宋体" w:cs="宋体"/>
                <w:b w:val="0"/>
                <w:i w:val="0"/>
                <w:color w:val="000000"/>
                <w:sz w:val="19"/>
              </w:rPr>
              <w:t xml:space="preserve">158.20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158.20</w:t>
            </w:r>
          </w:p>
        </w:tc>
        <w:tc>
          <w:tcPr>
            <w:tcW w:w="1600" w:type="dxa"/>
            <w:tcBorders/>
            <w:vAlign w:val="center"/>
          </w:tcPr>
          <w:p>
            <w:pPr>
              <w:jc w:val="right"/>
            </w:pPr>
            <w:r>
              <w:rPr>
                <w:rFonts w:ascii="宋体" w:eastAsia="宋体" w:hAnsi="宋体" w:cs="宋体"/>
                <w:b w:val="0"/>
                <w:i w:val="0"/>
                <w:color w:val="000000"/>
                <w:sz w:val="19"/>
              </w:rPr>
              <w:t xml:space="preserve">158.20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158.20</w:t>
            </w:r>
          </w:p>
        </w:tc>
        <w:tc>
          <w:tcPr>
            <w:tcW w:w="1600" w:type="dxa"/>
            <w:tcBorders/>
            <w:vAlign w:val="center"/>
          </w:tcPr>
          <w:p>
            <w:pPr>
              <w:jc w:val="right"/>
            </w:pPr>
            <w:r>
              <w:rPr>
                <w:rFonts w:ascii="宋体" w:eastAsia="宋体" w:hAnsi="宋体" w:cs="宋体"/>
                <w:b w:val="0"/>
                <w:i w:val="0"/>
                <w:color w:val="000000"/>
                <w:sz w:val="19"/>
              </w:rPr>
              <w:t xml:space="preserve">158.20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4,530.49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134.92</w:t>
            </w:r>
          </w:p>
        </w:tc>
        <w:tc>
          <w:tcPr>
            <w:tcW w:w="1420" w:type="dxa"/>
            <w:tcBorders/>
            <w:vAlign w:val="center"/>
          </w:tcPr>
          <w:p>
            <w:pPr>
              <w:jc w:val="right"/>
            </w:pPr>
            <w:r>
              <w:rPr>
                <w:rFonts w:ascii="宋体" w:eastAsia="宋体" w:hAnsi="宋体" w:cs="宋体"/>
                <w:b w:val="0"/>
                <w:i w:val="0"/>
                <w:color w:val="000000"/>
                <w:sz w:val="18"/>
              </w:rPr>
              <w:t xml:space="preserve">134.92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4,111.20</w:t>
            </w:r>
          </w:p>
        </w:tc>
        <w:tc>
          <w:tcPr>
            <w:tcW w:w="1420" w:type="dxa"/>
            <w:tcBorders/>
            <w:vAlign w:val="center"/>
          </w:tcPr>
          <w:p>
            <w:pPr>
              <w:jc w:val="right"/>
            </w:pPr>
            <w:r>
              <w:rPr>
                <w:rFonts w:ascii="宋体" w:eastAsia="宋体" w:hAnsi="宋体" w:cs="宋体"/>
                <w:b w:val="0"/>
                <w:i w:val="0"/>
                <w:color w:val="000000"/>
                <w:sz w:val="18"/>
              </w:rPr>
              <w:t xml:space="preserve">4,111.20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126.16</w:t>
            </w:r>
          </w:p>
        </w:tc>
        <w:tc>
          <w:tcPr>
            <w:tcW w:w="1420" w:type="dxa"/>
            <w:tcBorders/>
            <w:vAlign w:val="center"/>
          </w:tcPr>
          <w:p>
            <w:pPr>
              <w:jc w:val="right"/>
            </w:pPr>
            <w:r>
              <w:rPr>
                <w:rFonts w:ascii="宋体" w:eastAsia="宋体" w:hAnsi="宋体" w:cs="宋体"/>
                <w:b w:val="0"/>
                <w:i w:val="0"/>
                <w:color w:val="000000"/>
                <w:sz w:val="18"/>
              </w:rPr>
              <w:t xml:space="preserve">126.16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158.20</w:t>
            </w:r>
          </w:p>
        </w:tc>
        <w:tc>
          <w:tcPr>
            <w:tcW w:w="1420" w:type="dxa"/>
            <w:tcBorders/>
            <w:vAlign w:val="center"/>
          </w:tcPr>
          <w:p>
            <w:pPr>
              <w:jc w:val="right"/>
            </w:pPr>
            <w:r>
              <w:rPr>
                <w:rFonts w:ascii="宋体" w:eastAsia="宋体" w:hAnsi="宋体" w:cs="宋体"/>
                <w:b w:val="0"/>
                <w:i w:val="0"/>
                <w:color w:val="000000"/>
                <w:sz w:val="18"/>
              </w:rPr>
              <w:t xml:space="preserve">158.20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4,530.49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4,530.49</w:t>
            </w:r>
          </w:p>
        </w:tc>
        <w:tc>
          <w:tcPr>
            <w:tcW w:w="1420" w:type="dxa"/>
            <w:tcBorders/>
            <w:vAlign w:val="center"/>
          </w:tcPr>
          <w:p>
            <w:pPr>
              <w:jc w:val="right"/>
            </w:pPr>
            <w:r>
              <w:rPr>
                <w:rFonts w:ascii="宋体" w:eastAsia="宋体" w:hAnsi="宋体" w:cs="宋体"/>
                <w:b w:val="0"/>
                <w:i w:val="0"/>
                <w:color w:val="000000"/>
                <w:sz w:val="18"/>
              </w:rPr>
              <w:t xml:space="preserve">4,530.49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4,530.49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4,530.49</w:t>
            </w:r>
          </w:p>
        </w:tc>
        <w:tc>
          <w:tcPr>
            <w:tcW w:w="1420" w:type="dxa"/>
            <w:tcBorders/>
            <w:vAlign w:val="center"/>
          </w:tcPr>
          <w:p>
            <w:pPr>
              <w:jc w:val="right"/>
            </w:pPr>
            <w:r>
              <w:rPr>
                <w:rFonts w:ascii="宋体" w:eastAsia="宋体" w:hAnsi="宋体" w:cs="宋体"/>
                <w:b w:val="0"/>
                <w:i w:val="0"/>
                <w:color w:val="000000"/>
                <w:sz w:val="18"/>
              </w:rPr>
              <w:t xml:space="preserve">4,530.49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4,530.49</w:t>
            </w:r>
          </w:p>
        </w:tc>
        <w:tc>
          <w:tcPr>
            <w:tcW w:w="2700" w:type="dxa"/>
            <w:tcBorders/>
            <w:vAlign w:val="center"/>
          </w:tcPr>
          <w:p>
            <w:pPr>
              <w:jc w:val="right"/>
            </w:pPr>
            <w:r>
              <w:rPr>
                <w:rFonts w:ascii="宋体" w:eastAsia="宋体" w:hAnsi="宋体" w:cs="宋体"/>
                <w:b/>
                <w:i w:val="0"/>
                <w:color w:val="000000"/>
                <w:sz w:val="25"/>
              </w:rPr>
              <w:t xml:space="preserve">3,381.14</w:t>
            </w:r>
          </w:p>
        </w:tc>
        <w:tc>
          <w:tcPr>
            <w:tcW w:w="2658" w:type="dxa"/>
            <w:tcBorders/>
            <w:vAlign w:val="center"/>
          </w:tcPr>
          <w:p>
            <w:pPr>
              <w:jc w:val="right"/>
            </w:pPr>
            <w:r>
              <w:rPr>
                <w:rFonts w:ascii="宋体" w:eastAsia="宋体" w:hAnsi="宋体" w:cs="宋体"/>
                <w:b/>
                <w:i w:val="0"/>
                <w:color w:val="000000"/>
                <w:sz w:val="25"/>
              </w:rPr>
              <w:t xml:space="preserve">1,149.35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134.92</w:t>
            </w:r>
          </w:p>
        </w:tc>
        <w:tc>
          <w:tcPr>
            <w:tcW w:w="2700" w:type="dxa"/>
            <w:tcBorders/>
            <w:vAlign w:val="center"/>
          </w:tcPr>
          <w:p>
            <w:pPr>
              <w:jc w:val="right"/>
            </w:pPr>
            <w:r>
              <w:rPr>
                <w:rFonts w:ascii="宋体" w:eastAsia="宋体" w:hAnsi="宋体" w:cs="宋体"/>
                <w:b w:val="0"/>
                <w:i w:val="0"/>
                <w:color w:val="000000"/>
                <w:sz w:val="25"/>
              </w:rPr>
              <w:t xml:space="preserve">134.92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14.28</w:t>
            </w:r>
          </w:p>
        </w:tc>
        <w:tc>
          <w:tcPr>
            <w:tcW w:w="2700" w:type="dxa"/>
            <w:tcBorders/>
            <w:vAlign w:val="center"/>
          </w:tcPr>
          <w:p>
            <w:pPr>
              <w:jc w:val="right"/>
            </w:pPr>
            <w:r>
              <w:rPr>
                <w:rFonts w:ascii="宋体" w:eastAsia="宋体" w:hAnsi="宋体" w:cs="宋体"/>
                <w:b w:val="0"/>
                <w:i w:val="0"/>
                <w:color w:val="000000"/>
                <w:sz w:val="25"/>
              </w:rPr>
              <w:t xml:space="preserve">14.28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14.28</w:t>
            </w:r>
          </w:p>
        </w:tc>
        <w:tc>
          <w:tcPr>
            <w:tcW w:w="2700" w:type="dxa"/>
            <w:tcBorders/>
            <w:vAlign w:val="center"/>
          </w:tcPr>
          <w:p>
            <w:pPr>
              <w:jc w:val="right"/>
            </w:pPr>
            <w:r>
              <w:rPr>
                <w:rFonts w:ascii="宋体" w:eastAsia="宋体" w:hAnsi="宋体" w:cs="宋体"/>
                <w:b w:val="0"/>
                <w:i w:val="0"/>
                <w:color w:val="000000"/>
                <w:sz w:val="25"/>
              </w:rPr>
              <w:t xml:space="preserve">14.28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120.64</w:t>
            </w:r>
          </w:p>
        </w:tc>
        <w:tc>
          <w:tcPr>
            <w:tcW w:w="2700" w:type="dxa"/>
            <w:tcBorders/>
            <w:vAlign w:val="center"/>
          </w:tcPr>
          <w:p>
            <w:pPr>
              <w:jc w:val="right"/>
            </w:pPr>
            <w:r>
              <w:rPr>
                <w:rFonts w:ascii="宋体" w:eastAsia="宋体" w:hAnsi="宋体" w:cs="宋体"/>
                <w:b w:val="0"/>
                <w:i w:val="0"/>
                <w:color w:val="000000"/>
                <w:sz w:val="25"/>
              </w:rPr>
              <w:t xml:space="preserve">120.64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120.64</w:t>
            </w:r>
          </w:p>
        </w:tc>
        <w:tc>
          <w:tcPr>
            <w:tcW w:w="2700" w:type="dxa"/>
            <w:tcBorders/>
            <w:vAlign w:val="center"/>
          </w:tcPr>
          <w:p>
            <w:pPr>
              <w:jc w:val="right"/>
            </w:pPr>
            <w:r>
              <w:rPr>
                <w:rFonts w:ascii="宋体" w:eastAsia="宋体" w:hAnsi="宋体" w:cs="宋体"/>
                <w:b w:val="0"/>
                <w:i w:val="0"/>
                <w:color w:val="000000"/>
                <w:sz w:val="25"/>
              </w:rPr>
              <w:t xml:space="preserve">120.64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4,111.20</w:t>
            </w:r>
          </w:p>
        </w:tc>
        <w:tc>
          <w:tcPr>
            <w:tcW w:w="2700" w:type="dxa"/>
            <w:tcBorders/>
            <w:vAlign w:val="center"/>
          </w:tcPr>
          <w:p>
            <w:pPr>
              <w:jc w:val="right"/>
            </w:pPr>
            <w:r>
              <w:rPr>
                <w:rFonts w:ascii="宋体" w:eastAsia="宋体" w:hAnsi="宋体" w:cs="宋体"/>
                <w:b w:val="0"/>
                <w:i w:val="0"/>
                <w:color w:val="000000"/>
                <w:sz w:val="25"/>
              </w:rPr>
              <w:t xml:space="preserve">2,961.85</w:t>
            </w:r>
          </w:p>
        </w:tc>
        <w:tc>
          <w:tcPr>
            <w:tcW w:w="2658" w:type="dxa"/>
            <w:tcBorders/>
            <w:vAlign w:val="center"/>
          </w:tcPr>
          <w:p>
            <w:pPr>
              <w:jc w:val="right"/>
            </w:pPr>
            <w:r>
              <w:rPr>
                <w:rFonts w:ascii="宋体" w:eastAsia="宋体" w:hAnsi="宋体" w:cs="宋体"/>
                <w:b w:val="0"/>
                <w:i w:val="0"/>
                <w:color w:val="000000"/>
                <w:sz w:val="25"/>
              </w:rPr>
              <w:t xml:space="preserve">1,149.35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人力资源和社会保障管理事务</w:t>
            </w:r>
          </w:p>
        </w:tc>
        <w:tc>
          <w:tcPr>
            <w:tcW w:w="2700" w:type="dxa"/>
            <w:tcBorders/>
            <w:vAlign w:val="center"/>
          </w:tcPr>
          <w:p>
            <w:pPr>
              <w:jc w:val="right"/>
            </w:pPr>
            <w:r>
              <w:rPr>
                <w:rFonts w:ascii="宋体" w:eastAsia="宋体" w:hAnsi="宋体" w:cs="宋体"/>
                <w:b w:val="0"/>
                <w:i w:val="0"/>
                <w:color w:val="000000"/>
                <w:sz w:val="25"/>
              </w:rPr>
              <w:t xml:space="preserve">2,942.94</w:t>
            </w:r>
          </w:p>
        </w:tc>
        <w:tc>
          <w:tcPr>
            <w:tcW w:w="2700" w:type="dxa"/>
            <w:tcBorders/>
            <w:vAlign w:val="center"/>
          </w:tcPr>
          <w:p>
            <w:pPr>
              <w:jc w:val="right"/>
            </w:pPr>
            <w:r>
              <w:rPr>
                <w:rFonts w:ascii="宋体" w:eastAsia="宋体" w:hAnsi="宋体" w:cs="宋体"/>
                <w:b w:val="0"/>
                <w:i w:val="0"/>
                <w:color w:val="000000"/>
                <w:sz w:val="25"/>
              </w:rPr>
              <w:t xml:space="preserve">2,607.12</w:t>
            </w:r>
          </w:p>
        </w:tc>
        <w:tc>
          <w:tcPr>
            <w:tcW w:w="2658" w:type="dxa"/>
            <w:tcBorders/>
            <w:vAlign w:val="center"/>
          </w:tcPr>
          <w:p>
            <w:pPr>
              <w:jc w:val="right"/>
            </w:pPr>
            <w:r>
              <w:rPr>
                <w:rFonts w:ascii="宋体" w:eastAsia="宋体" w:hAnsi="宋体" w:cs="宋体"/>
                <w:b w:val="0"/>
                <w:i w:val="0"/>
                <w:color w:val="000000"/>
                <w:sz w:val="25"/>
              </w:rPr>
              <w:t xml:space="preserve">335.81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2,614.73</w:t>
            </w:r>
          </w:p>
        </w:tc>
        <w:tc>
          <w:tcPr>
            <w:tcW w:w="2700" w:type="dxa"/>
            <w:tcBorders/>
            <w:vAlign w:val="center"/>
          </w:tcPr>
          <w:p>
            <w:pPr>
              <w:jc w:val="right"/>
            </w:pPr>
            <w:r>
              <w:rPr>
                <w:rFonts w:ascii="宋体" w:eastAsia="宋体" w:hAnsi="宋体" w:cs="宋体"/>
                <w:b w:val="0"/>
                <w:i w:val="0"/>
                <w:color w:val="000000"/>
                <w:sz w:val="25"/>
              </w:rPr>
              <w:t xml:space="preserve">2,607.12</w:t>
            </w:r>
          </w:p>
        </w:tc>
        <w:tc>
          <w:tcPr>
            <w:tcW w:w="2658" w:type="dxa"/>
            <w:tcBorders/>
            <w:vAlign w:val="center"/>
          </w:tcPr>
          <w:p>
            <w:pPr>
              <w:jc w:val="right"/>
            </w:pPr>
            <w:r>
              <w:rPr>
                <w:rFonts w:ascii="宋体" w:eastAsia="宋体" w:hAnsi="宋体" w:cs="宋体"/>
                <w:b w:val="0"/>
                <w:i w:val="0"/>
                <w:color w:val="000000"/>
                <w:sz w:val="25"/>
              </w:rPr>
              <w:t xml:space="preserve">7.61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社会保险经办机构</w:t>
            </w:r>
          </w:p>
        </w:tc>
        <w:tc>
          <w:tcPr>
            <w:tcW w:w="2700" w:type="dxa"/>
            <w:tcBorders/>
            <w:vAlign w:val="center"/>
          </w:tcPr>
          <w:p>
            <w:pPr>
              <w:jc w:val="right"/>
            </w:pPr>
            <w:r>
              <w:rPr>
                <w:rFonts w:ascii="宋体" w:eastAsia="宋体" w:hAnsi="宋体" w:cs="宋体"/>
                <w:b w:val="0"/>
                <w:i w:val="0"/>
                <w:color w:val="000000"/>
                <w:sz w:val="25"/>
              </w:rPr>
              <w:t xml:space="preserve">36.00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其他人力资源和社会保障管理事务支出</w:t>
            </w:r>
          </w:p>
        </w:tc>
        <w:tc>
          <w:tcPr>
            <w:tcW w:w="2700" w:type="dxa"/>
            <w:tcBorders/>
            <w:vAlign w:val="center"/>
          </w:tcPr>
          <w:p>
            <w:pPr>
              <w:jc w:val="right"/>
            </w:pPr>
            <w:r>
              <w:rPr>
                <w:rFonts w:ascii="宋体" w:eastAsia="宋体" w:hAnsi="宋体" w:cs="宋体"/>
                <w:b w:val="0"/>
                <w:i w:val="0"/>
                <w:color w:val="000000"/>
                <w:sz w:val="25"/>
              </w:rPr>
              <w:t xml:space="preserve">292.20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292.20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331.73</w:t>
            </w:r>
          </w:p>
        </w:tc>
        <w:tc>
          <w:tcPr>
            <w:tcW w:w="2700" w:type="dxa"/>
            <w:tcBorders/>
            <w:vAlign w:val="center"/>
          </w:tcPr>
          <w:p>
            <w:pPr>
              <w:jc w:val="right"/>
            </w:pPr>
            <w:r>
              <w:rPr>
                <w:rFonts w:ascii="宋体" w:eastAsia="宋体" w:hAnsi="宋体" w:cs="宋体"/>
                <w:b w:val="0"/>
                <w:i w:val="0"/>
                <w:color w:val="000000"/>
                <w:sz w:val="25"/>
              </w:rPr>
              <w:t xml:space="preserve">331.73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169.93</w:t>
            </w:r>
          </w:p>
        </w:tc>
        <w:tc>
          <w:tcPr>
            <w:tcW w:w="2700" w:type="dxa"/>
            <w:tcBorders/>
            <w:vAlign w:val="center"/>
          </w:tcPr>
          <w:p>
            <w:pPr>
              <w:jc w:val="right"/>
            </w:pPr>
            <w:r>
              <w:rPr>
                <w:rFonts w:ascii="宋体" w:eastAsia="宋体" w:hAnsi="宋体" w:cs="宋体"/>
                <w:b w:val="0"/>
                <w:i w:val="0"/>
                <w:color w:val="000000"/>
                <w:sz w:val="25"/>
              </w:rPr>
              <w:t xml:space="preserve">169.93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161.80</w:t>
            </w:r>
          </w:p>
        </w:tc>
        <w:tc>
          <w:tcPr>
            <w:tcW w:w="2700" w:type="dxa"/>
            <w:tcBorders/>
            <w:vAlign w:val="center"/>
          </w:tcPr>
          <w:p>
            <w:pPr>
              <w:jc w:val="right"/>
            </w:pPr>
            <w:r>
              <w:rPr>
                <w:rFonts w:ascii="宋体" w:eastAsia="宋体" w:hAnsi="宋体" w:cs="宋体"/>
                <w:b w:val="0"/>
                <w:i w:val="0"/>
                <w:color w:val="000000"/>
                <w:sz w:val="25"/>
              </w:rPr>
              <w:t xml:space="preserve">161.80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企业改革补助</w:t>
            </w:r>
          </w:p>
        </w:tc>
        <w:tc>
          <w:tcPr>
            <w:tcW w:w="2700" w:type="dxa"/>
            <w:tcBorders/>
            <w:vAlign w:val="center"/>
          </w:tcPr>
          <w:p>
            <w:pPr>
              <w:jc w:val="right"/>
            </w:pPr>
            <w:r>
              <w:rPr>
                <w:rFonts w:ascii="宋体" w:eastAsia="宋体" w:hAnsi="宋体" w:cs="宋体"/>
                <w:b w:val="0"/>
                <w:i w:val="0"/>
                <w:color w:val="000000"/>
                <w:sz w:val="25"/>
              </w:rPr>
              <w:t xml:space="preserve">58.43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58.43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2080699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其他企业改革发展补助</w:t>
            </w:r>
          </w:p>
        </w:tc>
        <w:tc>
          <w:tcPr>
            <w:tcW w:w="2700" w:type="dxa"/>
            <w:tcBorders/>
            <w:vAlign w:val="center"/>
          </w:tcPr>
          <w:p>
            <w:pPr>
              <w:jc w:val="right"/>
            </w:pPr>
            <w:r>
              <w:rPr>
                <w:rFonts w:ascii="宋体" w:eastAsia="宋体" w:hAnsi="宋体" w:cs="宋体"/>
                <w:b w:val="0"/>
                <w:i w:val="0"/>
                <w:color w:val="000000"/>
                <w:sz w:val="25"/>
              </w:rPr>
              <w:t xml:space="preserve">58.43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58.43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2.84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2.84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2.84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2.84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22.99</w:t>
            </w:r>
          </w:p>
        </w:tc>
        <w:tc>
          <w:tcPr>
            <w:tcW w:w="2700" w:type="dxa"/>
            <w:tcBorders/>
            <w:vAlign w:val="center"/>
          </w:tcPr>
          <w:p>
            <w:pPr>
              <w:jc w:val="right"/>
            </w:pPr>
            <w:r>
              <w:rPr>
                <w:rFonts w:ascii="宋体" w:eastAsia="宋体" w:hAnsi="宋体" w:cs="宋体"/>
                <w:b w:val="0"/>
                <w:i w:val="0"/>
                <w:color w:val="000000"/>
                <w:sz w:val="25"/>
              </w:rPr>
              <w:t xml:space="preserve">22.99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22.99</w:t>
            </w:r>
          </w:p>
        </w:tc>
        <w:tc>
          <w:tcPr>
            <w:tcW w:w="2700" w:type="dxa"/>
            <w:tcBorders/>
            <w:vAlign w:val="center"/>
          </w:tcPr>
          <w:p>
            <w:pPr>
              <w:jc w:val="right"/>
            </w:pPr>
            <w:r>
              <w:rPr>
                <w:rFonts w:ascii="宋体" w:eastAsia="宋体" w:hAnsi="宋体" w:cs="宋体"/>
                <w:b w:val="0"/>
                <w:i w:val="0"/>
                <w:color w:val="000000"/>
                <w:sz w:val="25"/>
              </w:rPr>
              <w:t xml:space="preserve">22.99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其他社会保障和就业支出</w:t>
            </w:r>
          </w:p>
        </w:tc>
        <w:tc>
          <w:tcPr>
            <w:tcW w:w="2700" w:type="dxa"/>
            <w:tcBorders/>
            <w:vAlign w:val="center"/>
          </w:tcPr>
          <w:p>
            <w:pPr>
              <w:jc w:val="right"/>
            </w:pPr>
            <w:r>
              <w:rPr>
                <w:rFonts w:ascii="宋体" w:eastAsia="宋体" w:hAnsi="宋体" w:cs="宋体"/>
                <w:b w:val="0"/>
                <w:i w:val="0"/>
                <w:color w:val="000000"/>
                <w:sz w:val="25"/>
              </w:rPr>
              <w:t xml:space="preserve">752.26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752.26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其他社会保障和就业支出</w:t>
            </w:r>
          </w:p>
        </w:tc>
        <w:tc>
          <w:tcPr>
            <w:tcW w:w="2700" w:type="dxa"/>
            <w:tcBorders/>
            <w:vAlign w:val="center"/>
          </w:tcPr>
          <w:p>
            <w:pPr>
              <w:jc w:val="right"/>
            </w:pPr>
            <w:r>
              <w:rPr>
                <w:rFonts w:ascii="宋体" w:eastAsia="宋体" w:hAnsi="宋体" w:cs="宋体"/>
                <w:b w:val="0"/>
                <w:i w:val="0"/>
                <w:color w:val="000000"/>
                <w:sz w:val="25"/>
              </w:rPr>
              <w:t xml:space="preserve">752.26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752.26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126.16</w:t>
            </w:r>
          </w:p>
        </w:tc>
        <w:tc>
          <w:tcPr>
            <w:tcW w:w="2700" w:type="dxa"/>
            <w:tcBorders/>
            <w:vAlign w:val="center"/>
          </w:tcPr>
          <w:p>
            <w:pPr>
              <w:jc w:val="right"/>
            </w:pPr>
            <w:r>
              <w:rPr>
                <w:rFonts w:ascii="宋体" w:eastAsia="宋体" w:hAnsi="宋体" w:cs="宋体"/>
                <w:b w:val="0"/>
                <w:i w:val="0"/>
                <w:color w:val="000000"/>
                <w:sz w:val="25"/>
              </w:rPr>
              <w:t xml:space="preserve">126.16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126.16</w:t>
            </w:r>
          </w:p>
        </w:tc>
        <w:tc>
          <w:tcPr>
            <w:tcW w:w="2700" w:type="dxa"/>
            <w:tcBorders/>
            <w:vAlign w:val="center"/>
          </w:tcPr>
          <w:p>
            <w:pPr>
              <w:jc w:val="right"/>
            </w:pPr>
            <w:r>
              <w:rPr>
                <w:rFonts w:ascii="宋体" w:eastAsia="宋体" w:hAnsi="宋体" w:cs="宋体"/>
                <w:b w:val="0"/>
                <w:i w:val="0"/>
                <w:color w:val="000000"/>
                <w:sz w:val="25"/>
              </w:rPr>
              <w:t xml:space="preserve">126.16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79.68</w:t>
            </w:r>
          </w:p>
        </w:tc>
        <w:tc>
          <w:tcPr>
            <w:tcW w:w="2700" w:type="dxa"/>
            <w:tcBorders/>
            <w:vAlign w:val="center"/>
          </w:tcPr>
          <w:p>
            <w:pPr>
              <w:jc w:val="right"/>
            </w:pPr>
            <w:r>
              <w:rPr>
                <w:rFonts w:ascii="宋体" w:eastAsia="宋体" w:hAnsi="宋体" w:cs="宋体"/>
                <w:b w:val="0"/>
                <w:i w:val="0"/>
                <w:color w:val="000000"/>
                <w:sz w:val="25"/>
              </w:rPr>
              <w:t xml:space="preserve">79.68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46.48</w:t>
            </w:r>
          </w:p>
        </w:tc>
        <w:tc>
          <w:tcPr>
            <w:tcW w:w="2700" w:type="dxa"/>
            <w:tcBorders/>
            <w:vAlign w:val="center"/>
          </w:tcPr>
          <w:p>
            <w:pPr>
              <w:jc w:val="right"/>
            </w:pPr>
            <w:r>
              <w:rPr>
                <w:rFonts w:ascii="宋体" w:eastAsia="宋体" w:hAnsi="宋体" w:cs="宋体"/>
                <w:b w:val="0"/>
                <w:i w:val="0"/>
                <w:color w:val="000000"/>
                <w:sz w:val="25"/>
              </w:rPr>
              <w:t xml:space="preserve">46.48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158.20</w:t>
            </w:r>
          </w:p>
        </w:tc>
        <w:tc>
          <w:tcPr>
            <w:tcW w:w="2700" w:type="dxa"/>
            <w:tcBorders/>
            <w:vAlign w:val="center"/>
          </w:tcPr>
          <w:p>
            <w:pPr>
              <w:jc w:val="right"/>
            </w:pPr>
            <w:r>
              <w:rPr>
                <w:rFonts w:ascii="宋体" w:eastAsia="宋体" w:hAnsi="宋体" w:cs="宋体"/>
                <w:b w:val="0"/>
                <w:i w:val="0"/>
                <w:color w:val="000000"/>
                <w:sz w:val="25"/>
              </w:rPr>
              <w:t xml:space="preserve">158.20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158.20</w:t>
            </w:r>
          </w:p>
        </w:tc>
        <w:tc>
          <w:tcPr>
            <w:tcW w:w="2700" w:type="dxa"/>
            <w:tcBorders/>
            <w:vAlign w:val="center"/>
          </w:tcPr>
          <w:p>
            <w:pPr>
              <w:jc w:val="right"/>
            </w:pPr>
            <w:r>
              <w:rPr>
                <w:rFonts w:ascii="宋体" w:eastAsia="宋体" w:hAnsi="宋体" w:cs="宋体"/>
                <w:b w:val="0"/>
                <w:i w:val="0"/>
                <w:color w:val="000000"/>
                <w:sz w:val="25"/>
              </w:rPr>
              <w:t xml:space="preserve">158.20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158.20</w:t>
            </w:r>
          </w:p>
        </w:tc>
        <w:tc>
          <w:tcPr>
            <w:tcW w:w="2700" w:type="dxa"/>
            <w:tcBorders/>
            <w:vAlign w:val="center"/>
          </w:tcPr>
          <w:p>
            <w:pPr>
              <w:jc w:val="right"/>
            </w:pPr>
            <w:r>
              <w:rPr>
                <w:rFonts w:ascii="宋体" w:eastAsia="宋体" w:hAnsi="宋体" w:cs="宋体"/>
                <w:b w:val="0"/>
                <w:i w:val="0"/>
                <w:color w:val="000000"/>
                <w:sz w:val="25"/>
              </w:rPr>
              <w:t xml:space="preserve">158.20</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2,926.81</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252.12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685.74</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36.14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1,171.67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12.15</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620.71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5.51</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8.44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0.68</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8.44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161.80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1.54</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4.82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79.68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46.48</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1.05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6.08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158.20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4.96</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1.47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193.77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169.93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1.78</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22.99</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0.85</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21.82</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14.28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14.26</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123.91</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4.08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3,120.58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260.56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0.11</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0.11</w:t>
            </w:r>
          </w:p>
        </w:tc>
        <w:tc>
          <w:tcPr>
            <w:tcW w:w="1160" w:type="dxa"/>
            <w:tcBorders/>
            <w:vAlign w:val="center"/>
          </w:tcPr>
          <w:p>
            <w:pPr>
              <w:jc w:val="right"/>
            </w:pPr>
            <w:r>
              <w:rPr>
                <w:rFonts w:ascii="宋体" w:eastAsia="宋体" w:hAnsi="宋体" w:cs="宋体"/>
                <w:b w:val="0"/>
                <w:i w:val="0"/>
                <w:color w:val="000000"/>
                <w:sz w:val="17"/>
              </w:rPr>
              <w:t xml:space="preserve">0.11</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0.11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4530.49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增加285.76万元，增长6.73%</w:t>
      </w:r>
      <w:r>
        <w:rPr>
          <w:rFonts w:ascii="仿宋" w:eastAsia="仿宋" w:hAnsi="仿宋" w:cs="仿宋" w:hint="eastAsia"/>
          <w:kern w:val="0"/>
          <w:sz w:val="32"/>
          <w:szCs w:val="32"/>
          <w:lang w:val="en-US" w:eastAsia="zh-CN"/>
        </w:rPr>
        <w:t xml:space="preserve">。主要原因是发放2022年平安单位奖、未休假补贴，发放基础绩效奖及支付社会保障信息系统维护费等。</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4530.49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财政拨款收入4530.49万元，占100.00%；上级补助收入0.00万元，占0.00%；事业收入0.00万元，占0.00%；经营收入0.00万元，占0.00%；附属单位上缴收入0.00万元，占0.00%；其他收入0.00万元，占0.00%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4530.49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基本支出3381.14万元，占74.63%；项目支出1149.35万元，占25.37%；上缴上级支出0.00万元，占0.00%；经营支出0.00万元，占0.00%；对附属单位补助支出0.00万元，占0.00%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4530.49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增加285.76万元，增长6.73%</w:t>
      </w:r>
      <w:r>
        <w:rPr>
          <w:rFonts w:ascii="仿宋" w:eastAsia="仿宋" w:hAnsi="仿宋" w:cs="仿宋" w:hint="eastAsia"/>
          <w:kern w:val="0"/>
          <w:sz w:val="32"/>
          <w:szCs w:val="32"/>
          <w:lang w:val="en-US" w:eastAsia="zh-CN"/>
        </w:rPr>
        <w:t xml:space="preserve">。主要原因是发放2022年平安单位奖、未休假补贴，发放基础绩效奖及支付社会保障信息系统维护费等。</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4530.49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增加285.76万元，增长6.73%</w:t>
      </w:r>
      <w:r>
        <w:rPr>
          <w:rFonts w:ascii="仿宋" w:eastAsia="仿宋" w:hAnsi="仿宋" w:cs="仿宋" w:hint="eastAsia"/>
          <w:kern w:val="0"/>
          <w:sz w:val="32"/>
          <w:szCs w:val="32"/>
          <w:lang w:val="en-US" w:eastAsia="zh-CN"/>
        </w:rPr>
        <w:t xml:space="preserve">。主要原因是发放2022年平安单位奖、未休假补贴，发放基础绩效奖及支付社会保障信息系统维护费等。</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4530.49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一般公共服务支出（类）134.92万元，占2.98%；社会保障和就业支出（类）4111.20万元，占90.75%；卫生健康支出（类）126.16万元，占2.78%；住房保障支出（类）158.20万元，占3.49%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4220.70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4530.49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107.34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年初预算数为14.28万元，决算数14.28万元,完成年初预算的100.00%，决算数与年初预算数不存在差异。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年初预算数为0.00万元，决算数120.64万元,决算数与年初预算数存在差异的主要原因是发放在职人员2021年平安建设奖。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3.社会保障和就业支出（类）人力资源和社会保障管理事务（款）行政运行（项）</w:t>
      </w:r>
      <w:r>
        <w:rPr>
          <w:rFonts w:ascii="仿宋" w:eastAsia="仿宋" w:hAnsi="仿宋" w:cs="仿宋" w:hint="default"/>
          <w:kern w:val="2"/>
          <w:sz w:val="32"/>
          <w:szCs w:val="32"/>
          <w:lang w:val="en-US" w:eastAsia="zh-CN"/>
        </w:rPr>
        <w:t xml:space="preserve">年初预算数为2407.00万元，决算数2614.73万元,完成年初预算的108.63%，决算数与年初预算数存在差异的主要原因是发放在职人员2021年、2022年未休假补贴及2022年平安单位奖。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4.社会保障和就业支出（类）人力资源和社会保障管理事务（款）社会保险经办机构（项）</w:t>
      </w:r>
      <w:r>
        <w:rPr>
          <w:rFonts w:ascii="仿宋" w:eastAsia="仿宋" w:hAnsi="仿宋" w:cs="仿宋" w:hint="default"/>
          <w:kern w:val="2"/>
          <w:sz w:val="32"/>
          <w:szCs w:val="32"/>
          <w:lang w:val="en-US" w:eastAsia="zh-CN"/>
        </w:rPr>
        <w:t xml:space="preserve">年初预算数为0.00万元，决算数36.00万元,决算数与年初预算数存在差异的主要原因是支付社会保障信息系统维护费。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5.社会保障和就业支出（类）人力资源和社会保障管理事务（款）其他人力资源和社会保障管理事务支出（项）</w:t>
      </w:r>
      <w:r>
        <w:rPr>
          <w:rFonts w:ascii="仿宋" w:eastAsia="仿宋" w:hAnsi="仿宋" w:cs="仿宋" w:hint="default"/>
          <w:kern w:val="2"/>
          <w:sz w:val="32"/>
          <w:szCs w:val="32"/>
          <w:lang w:val="en-US" w:eastAsia="zh-CN"/>
        </w:rPr>
        <w:t xml:space="preserve">年初预算数为392.20万元，决算数292.20万元,完成年初预算的74.50%，决算数与年初预算数存在差异的主要原因是部分人员未认证暂停发放及离休干部死亡情况不可控。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年初预算数为124.93万元，决算数169.93万元,完成年初预算的136.02%，决算数与年初预算数存在差异的主要原因是发放退休人员基础绩效奖。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年初预算数为170.87万元，决算数161.80万元,完成年初预算的94.69%，决算数与年初预算数存在差异的主要原因是当年在职转退休人员退休后不再缴纳养老保险费。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8.社会保障和就业支出（类）企业改革补助（款）其他企业改革发展补助（项）</w:t>
      </w:r>
      <w:r>
        <w:rPr>
          <w:rFonts w:ascii="仿宋" w:eastAsia="仿宋" w:hAnsi="仿宋" w:cs="仿宋" w:hint="default"/>
          <w:kern w:val="2"/>
          <w:sz w:val="32"/>
          <w:szCs w:val="32"/>
          <w:lang w:val="en-US" w:eastAsia="zh-CN"/>
        </w:rPr>
        <w:t xml:space="preserve">年初预算数为0.00万元，决算数58.43万元,决算数与年初预算数存在差异的主要原因是发放国有企业职教幼教退休教师待遇补助资金。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9.社会保障和就业支出（类）就业补助（款）其他就业补助支出（项）</w:t>
      </w:r>
      <w:r>
        <w:rPr>
          <w:rFonts w:ascii="仿宋" w:eastAsia="仿宋" w:hAnsi="仿宋" w:cs="仿宋" w:hint="default"/>
          <w:kern w:val="2"/>
          <w:sz w:val="32"/>
          <w:szCs w:val="32"/>
          <w:lang w:val="en-US" w:eastAsia="zh-CN"/>
        </w:rPr>
        <w:t xml:space="preserve">年初预算数为0.00万元，决算数2.84万元,决算数与年初预算数存在差异的主要原因是发放公益性岗位人员工资及社保费。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10.社会保障和就业支出（类）抚恤（款）死亡抚恤（项）</w:t>
      </w:r>
      <w:r>
        <w:rPr>
          <w:rFonts w:ascii="仿宋" w:eastAsia="仿宋" w:hAnsi="仿宋" w:cs="仿宋" w:hint="default"/>
          <w:kern w:val="2"/>
          <w:sz w:val="32"/>
          <w:szCs w:val="32"/>
          <w:lang w:val="en-US" w:eastAsia="zh-CN"/>
        </w:rPr>
        <w:t xml:space="preserve">年初预算数为0.00万元，决算数22.99万元,决算数与年初预算数存在差异的主要原因是1名退休人员死亡发放丧葬费及死亡抚恤金。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11.社会保障和就业支出（类）其他社会保障和就业支出（款）其他社会保障和就业支出（项）</w:t>
      </w:r>
      <w:r>
        <w:rPr>
          <w:rFonts w:ascii="仿宋" w:eastAsia="仿宋" w:hAnsi="仿宋" w:cs="仿宋" w:hint="default"/>
          <w:kern w:val="2"/>
          <w:sz w:val="32"/>
          <w:szCs w:val="32"/>
          <w:lang w:val="en-US" w:eastAsia="zh-CN"/>
        </w:rPr>
        <w:t xml:space="preserve">年初预算数为769.35万元，决算数752.26万元,完成年初预算的97.78%，决算数与年初预算数存在差异的主要原因是部分企业离休干部和破产企业教师未认证暂停发放。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12.卫生健康支出（类）行政事业单位医疗（款）行政单位医疗（项）</w:t>
      </w:r>
      <w:r>
        <w:rPr>
          <w:rFonts w:ascii="仿宋" w:eastAsia="仿宋" w:hAnsi="仿宋" w:cs="仿宋" w:hint="default"/>
          <w:kern w:val="2"/>
          <w:sz w:val="32"/>
          <w:szCs w:val="32"/>
          <w:lang w:val="en-US" w:eastAsia="zh-CN"/>
        </w:rPr>
        <w:t xml:space="preserve">年初预算数为85.18万元，决算数79.68万元,完成年初预算的93.54%，决算数与年初预算数存在差异的主要原因是当年在职转退休人员退休后不再缴纳医疗保险费。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13.卫生健康支出（类）行政事业单位医疗（款）公务员医疗补助（项）</w:t>
      </w:r>
      <w:r>
        <w:rPr>
          <w:rFonts w:ascii="仿宋" w:eastAsia="仿宋" w:hAnsi="仿宋" w:cs="仿宋" w:hint="default"/>
          <w:kern w:val="2"/>
          <w:sz w:val="32"/>
          <w:szCs w:val="32"/>
          <w:lang w:val="en-US" w:eastAsia="zh-CN"/>
        </w:rPr>
        <w:t xml:space="preserve">年初预算数为94.65万元，决算数46.48万元,完成年初预算的49.11%，决算数与年初预算数存在差异的主要原因是部分县（市、区）没有执行公务员医疗补助政策。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14.住房保障支出（类）住房改革支出（款）住房公积金（项）</w:t>
      </w:r>
      <w:r>
        <w:rPr>
          <w:rFonts w:ascii="仿宋" w:eastAsia="仿宋" w:hAnsi="仿宋" w:cs="仿宋" w:hint="default"/>
          <w:kern w:val="2"/>
          <w:sz w:val="32"/>
          <w:szCs w:val="32"/>
          <w:lang w:val="en-US" w:eastAsia="zh-CN"/>
        </w:rPr>
        <w:t xml:space="preserve">年初预算数为162.25万元，决算数158.20万元,完成年初预算的97.50%，决算数与年初预算数存在差异的主要原因是当年在职转退休人员退休后不再缴纳住房公积金。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3381.14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其中：人员经费3120.58万元，主要包括：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公用经费260.56万元，主要包括：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0.11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0.11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0.11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0.11</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0.11</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0.11</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主要用于迎接省社保中心调研。</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2023年度机关运行经费支出260.56万元，</w:t>
      </w:r>
      <w:r>
        <w:rPr>
          <w:rFonts w:ascii="仿宋" w:eastAsia="仿宋" w:hAnsi="仿宋" w:cs="仿宋" w:hint="eastAsia"/>
          <w:kern w:val="0"/>
          <w:sz w:val="32"/>
          <w:szCs w:val="32"/>
          <w:lang w:val="en-US" w:eastAsia="zh-CN"/>
        </w:rPr>
        <w:t xml:space="preserve">较2022年度增长42.60万元，</w:t>
      </w:r>
      <w:r>
        <w:rPr>
          <w:rFonts w:ascii="仿宋" w:eastAsia="仿宋" w:hAnsi="仿宋" w:cs="仿宋" w:hint="eastAsia"/>
          <w:kern w:val="0"/>
          <w:sz w:val="32"/>
          <w:szCs w:val="32"/>
          <w:lang w:val="en-US" w:eastAsia="zh-CN"/>
        </w:rPr>
        <w:t xml:space="preserve">增长19.54%，</w:t>
      </w:r>
      <w:r>
        <w:rPr>
          <w:rFonts w:ascii="仿宋" w:eastAsia="仿宋" w:hAnsi="仿宋" w:cs="仿宋" w:hint="eastAsia"/>
          <w:kern w:val="0"/>
          <w:sz w:val="32"/>
          <w:szCs w:val="32"/>
          <w:lang w:val="en-US" w:eastAsia="zh-CN"/>
        </w:rPr>
        <w:t xml:space="preserve">主要原因是单位机构改革，业务增加，公用经费支出也相应增加。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4530.49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财政资金预算配置合理合规，预算执行严格有序，预算管理规范可控，资金效益合乎预期</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基于项目预期目标的实现程度，我单位对2023年度单位预算项目支出（含单位参与分配的转移支付项目）开展绩效自评，涉及项目7个，项目金额1149.35万元。其中：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差额、自收自支事业单位离休干部离休费，自评得分为97.45分，等级为“优”。预算数392.20万元，执行数292.20万元，执行率74.50%，差异原因为部分人员未认证暂停发放及离休干部死亡情况不可控，年度目标已完成。</w:t>
        <w:br/>
        <w:t xml:space="preserve">    （2）破产企业教师工资补差，自评得分为99.97分，等级为“优”。预算数383.28万元，执行数382.24万元，执行率99.73%，差异原因为部分人员未认证暂停发放，年度目标已完成。</w:t>
        <w:br/>
        <w:t xml:space="preserve">    （3）企业离休干部生活补贴，自评得分为99.58分，等级为“优”。预算数386.07万元，执行数370.02万元，执行率95.84%，差异原因为部分人员未认证暂停发放，年度目标已完成。</w:t>
        <w:br/>
        <w:t xml:space="preserve">    （4）国有企业职教幼教退休教师待遇补助资金，自评得分为100分，等级为“优”。预算数58.43万元，执行数58.43万元，执行率100%，年度目标已完成。</w:t>
        <w:br/>
        <w:t xml:space="preserve">    （5）社会保障信息系统运行维护费，自评得分为100分，等级为“优”。预算数36万元，执行数36万元，执行率100%，年度目标已完成。</w:t>
        <w:br/>
        <w:t xml:space="preserve">    （6）编外人员补缴养老保险费，自评得分为100分，等级为“优”。预算数7.61万元，执行数7.61万元，执行率100%，年度目标已完成。</w:t>
        <w:br/>
        <w:t xml:space="preserve">    （7）市直公益性岗位2023年12月岗位和社会保险补贴，自评得分为100分，等级为“优”。预算数2.84万元，执行数2.84万元，执行率100%，年度目标已完成。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预期目标标均已实现，但在实际执行过程中还存在一些问题，导致部分项目财政资金使用效率低于预期。在今后的工作中，我们将高度重视，加强管理，不断学习，提高自身的业务水平，提高资金使用效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dbd3112e-8892-401f-8f17-dba53bc2f9a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83"/>
        <w:gridCol w:w="1321"/>
        <w:gridCol w:w="1837"/>
        <w:gridCol w:w="1922"/>
        <w:gridCol w:w="1310"/>
        <w:gridCol w:w="1729"/>
        <w:gridCol w:w="797"/>
        <w:gridCol w:w="740"/>
        <w:gridCol w:w="1244"/>
        <w:gridCol w:w="219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0"/>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许昌市社会保险中心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单位整体支出情况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4220.70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4530.49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4530.49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4220.70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4530.49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4530.49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1、全民参保</w:t>
            </w:r>
            <w:r>
              <w:rPr/>
              <w:br/>
            </w:r>
            <w:r>
              <w:rPr>
                <w:rFonts w:ascii="宋体" w:eastAsia="宋体" w:hAnsi="宋体" w:cs="宋体"/>
                <w:i w:val="0"/>
                <w:iCs w:val="0"/>
                <w:color w:val="000000"/>
                <w:kern w:val="0"/>
                <w:sz w:val="18"/>
                <w:szCs w:val="18"/>
                <w:u w:val="none"/>
                <w:bdr w:val="none" w:sz="0" w:space="0" w:color="auto"/>
                <w:lang w:val="en-US" w:eastAsia="zh-CN"/>
              </w:rPr>
              <w:t xml:space="preserve">2、养老保险待遇按时足额发放</w:t>
            </w:r>
            <w:r>
              <w:rPr/>
              <w:br/>
            </w:r>
            <w:r>
              <w:rPr>
                <w:rFonts w:ascii="宋体" w:eastAsia="宋体" w:hAnsi="宋体" w:cs="宋体"/>
                <w:i w:val="0"/>
                <w:iCs w:val="0"/>
                <w:color w:val="000000"/>
                <w:kern w:val="0"/>
                <w:sz w:val="18"/>
                <w:szCs w:val="18"/>
                <w:u w:val="none"/>
                <w:bdr w:val="none" w:sz="0" w:space="0" w:color="auto"/>
                <w:lang w:val="en-US" w:eastAsia="zh-CN"/>
              </w:rPr>
              <w:t xml:space="preserve">3、社保业务便民服务</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全民参保</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持续扩大社会保险覆盖面</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养老保险待遇按时足额发放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确保养老保险待遇按时调整，足额发放</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社保业务便民</w:t>
            </w:r>
            <w:r>
              <w:rPr>
                <w:rFonts w:ascii="宋体" w:eastAsia="宋体" w:hAnsi="宋体" w:cs="宋体"/>
                <w:i w:val="0"/>
                <w:iCs w:val="0"/>
                <w:color w:val="000000"/>
                <w:kern w:val="0"/>
                <w:sz w:val="18"/>
                <w:szCs w:val="18"/>
                <w:u w:val="none"/>
                <w:bdr w:val="none" w:sz="0" w:space="0" w:color="auto"/>
                <w:lang w:val="en-US" w:eastAsia="zh-CN"/>
              </w:rPr>
              <w:t xml:space="preserve">服务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加强社银一体化服务网点建设</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编制完整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编制完整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46.80%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平安单位奖、未休假补贴等未列入年初预算</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制度健全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制度健全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信息公开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信息公开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全民参保计划完成率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养老保险待遇按时足额发放计划完成率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全民参保实现率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养老保险待遇按时足额发放实现率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保障退休人员基本生活</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rPr>
                <w:rFonts w:ascii="宋体" w:eastAsia="宋体" w:hAnsi="宋体" w:cs="宋体" w:hint="eastAsia"/>
                <w:i w:val="0"/>
                <w:iCs w:val="0"/>
                <w:color w:val="000000"/>
                <w:sz w:val="18"/>
                <w:szCs w:val="18"/>
                <w:u w:val="none"/>
              </w:rPr>
            </w:pPr>
          </w:p>
        </w:tc>
      </w:tr>
    </w:tbl>
    <w:p>
      <w:pPr>
        <w:pStyle w:val="Normal_cf2be559-8d49-4ac9-ac96-4d3811cafa5a"/>
        <w:sectPr>
          <w:pgSz w:w="16838" w:h="11906" w:orient="landscape"/>
          <w:pgMar w:top="1800" w:right="1440" w:bottom="1800" w:left="1440" w:header="851" w:footer="992" w:gutter="0"/>
          <w:cols w:num="1" w:space="425">
            <w:col w:w="13958" w:space="425"/>
          </w:cols>
          <w:docGrid w:type="lines" w:linePitch="312" w:charSpace="0"/>
        </w:sectPr>
      </w:pPr>
    </w:p>
    <w:tbl>
      <w:tblPr>
        <w:tblStyle w:val="NormalTable_dbd3112e-8892-401f-8f17-dba53bc2f9a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1"/>
        <w:gridCol w:w="1106"/>
        <w:gridCol w:w="1029"/>
        <w:gridCol w:w="884"/>
        <w:gridCol w:w="1562"/>
        <w:gridCol w:w="1029"/>
        <w:gridCol w:w="887"/>
        <w:gridCol w:w="1026"/>
        <w:gridCol w:w="1032"/>
        <w:gridCol w:w="899"/>
        <w:gridCol w:w="901"/>
        <w:gridCol w:w="206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差额、自收自支事业单位离休干部离休费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许昌市社会保险中心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392.2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392.2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292.2</w:t>
            </w:r>
          </w:p>
        </w:tc>
        <w:tc>
          <w:tcPr>
            <w:tcW w:type="auto" w:w="0"/>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74.5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7.45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392.2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392.2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292.2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74.5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预算绩效管理优秀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5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both"/>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目标1：2023年1-12月离休费2333766.48元（194480.54*12）。</w:t>
            </w:r>
            <w:r>
              <w:rPr/>
              <w:br/>
            </w:r>
            <w:r>
              <w:rPr>
                <w:rFonts w:ascii="宋体" w:eastAsia="宋体" w:hAnsi="宋体" w:cs="宋体"/>
                <w:i w:val="0"/>
                <w:iCs w:val="0"/>
                <w:color w:val="000000"/>
                <w:kern w:val="0"/>
                <w:sz w:val="18"/>
                <w:szCs w:val="18"/>
                <w:u w:val="none"/>
                <w:bdr w:val="none" w:sz="0" w:space="0" w:color="auto"/>
                <w:lang w:val="en-US" w:eastAsia="zh-CN"/>
              </w:rPr>
              <w:t xml:space="preserve"> 目标2：2023年生活补贴159403.95元，取暖费41440元。</w:t>
            </w:r>
            <w:r>
              <w:rPr/>
              <w:br/>
            </w:r>
            <w:r>
              <w:rPr>
                <w:rFonts w:ascii="宋体" w:eastAsia="宋体" w:hAnsi="宋体" w:cs="宋体"/>
                <w:i w:val="0"/>
                <w:iCs w:val="0"/>
                <w:color w:val="000000"/>
                <w:kern w:val="0"/>
                <w:sz w:val="18"/>
                <w:szCs w:val="18"/>
                <w:u w:val="none"/>
                <w:bdr w:val="none" w:sz="0" w:space="0" w:color="auto"/>
                <w:lang w:val="en-US" w:eastAsia="zh-CN"/>
              </w:rPr>
              <w:t xml:space="preserve"> 目标3：2022年年度健康休养费193706.75元，2022年文明城市奖193706.75元。</w:t>
            </w:r>
            <w:r>
              <w:rPr/>
              <w:br/>
            </w:r>
            <w:r>
              <w:rPr>
                <w:rFonts w:ascii="宋体" w:eastAsia="宋体" w:hAnsi="宋体" w:cs="宋体"/>
                <w:i w:val="0"/>
                <w:iCs w:val="0"/>
                <w:color w:val="000000"/>
                <w:kern w:val="0"/>
                <w:sz w:val="18"/>
                <w:szCs w:val="18"/>
                <w:u w:val="none"/>
                <w:bdr w:val="none" w:sz="0" w:space="0" w:color="auto"/>
                <w:lang w:val="en-US" w:eastAsia="zh-CN"/>
              </w:rPr>
              <w:t xml:space="preserve"> 目标4：2023年死亡待遇预计1000000元。</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发放市直差额、自收自支事业单位离休干部离休费金额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392.2万元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292.2万元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市直差额、自收自支事业单位离休干部离休费领取人数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市直差额、自收自支事业单位离休干部离休费发放完成率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市直差额、自收自支事业单位离休干部离休费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按月支付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市直差额、自收自支事业单位离休干部幸福感和获得感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市直差额、自收自支事业单位离休干部满意度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97.45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bl>
    <w:p>
      <w:pPr>
        <w:pStyle w:val="Normal_cf2be559-8d49-4ac9-ac96-4d3811cafa5a"/>
      </w:pPr>
      <w:r>
        <w:br w:type="page"/>
      </w:r>
    </w:p>
    <w:tbl>
      <w:tblPr>
        <w:tblStyle w:val="NormalTable_dbd3112e-8892-401f-8f17-dba53bc2f9a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6"/>
        <w:gridCol w:w="1026"/>
        <w:gridCol w:w="887"/>
        <w:gridCol w:w="1559"/>
        <w:gridCol w:w="1029"/>
        <w:gridCol w:w="887"/>
        <w:gridCol w:w="1026"/>
        <w:gridCol w:w="1032"/>
        <w:gridCol w:w="899"/>
        <w:gridCol w:w="901"/>
        <w:gridCol w:w="206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破产企业教师工资补差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许昌市社会保险中心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383.28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383.28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382.24</w:t>
            </w:r>
          </w:p>
        </w:tc>
        <w:tc>
          <w:tcPr>
            <w:tcW w:type="auto" w:w="0"/>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99.73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9.97</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383.28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383.28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382.24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99.73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科学安排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管理有效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目标1：2022年年度健康休养费671788元，全国文明城市奖671788元，取暖费244090元;</w:t>
            </w:r>
            <w:r>
              <w:rPr/>
              <w:br/>
            </w:r>
            <w:r>
              <w:rPr>
                <w:rFonts w:ascii="宋体" w:eastAsia="宋体" w:hAnsi="宋体" w:cs="宋体"/>
                <w:i w:val="0"/>
                <w:iCs w:val="0"/>
                <w:color w:val="000000"/>
                <w:kern w:val="0"/>
                <w:sz w:val="18"/>
                <w:szCs w:val="18"/>
                <w:u w:val="none"/>
                <w:bdr w:val="none" w:sz="0" w:space="0" w:color="auto"/>
                <w:lang w:val="en-US" w:eastAsia="zh-CN"/>
              </w:rPr>
              <w:t xml:space="preserve"> 目标2：2023年平时健康休养费667041.9元，物业补贴298080元，住房补贴180000元;</w:t>
            </w:r>
            <w:r>
              <w:rPr/>
              <w:br/>
            </w:r>
            <w:r>
              <w:rPr>
                <w:rFonts w:ascii="宋体" w:eastAsia="宋体" w:hAnsi="宋体" w:cs="宋体"/>
                <w:i w:val="0"/>
                <w:iCs w:val="0"/>
                <w:color w:val="000000"/>
                <w:kern w:val="0"/>
                <w:sz w:val="18"/>
                <w:szCs w:val="18"/>
                <w:u w:val="none"/>
                <w:bdr w:val="none" w:sz="0" w:space="0" w:color="auto"/>
                <w:lang w:val="en-US" w:eastAsia="zh-CN"/>
              </w:rPr>
              <w:t xml:space="preserve"> 目标3：2023年退休教师企业与事业增资差额111万元。</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年度目标已完成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发放市直破产企业退休教师各项生活补贴金额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272.28万元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272.28万元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发放市直破产企业退休教师企业和事业工资差额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111万元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市直破产企业退休教师各项生活补贴领取人数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145人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145人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市直破产企业退休教师企业和事业工资差额领取人数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145人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145人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市直破产企业退休教师各项生活市直破产企业退休教师各项生活市直破产企业退休教师各项生活补贴完成率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发放市直破产企业退休教师企业和事业工资差额完成率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市直破产企业退休教师各项生活补贴发放时间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12月底完成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市直破产企业退休教师企业和事业工资差额发放时间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12月底完成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市直破产企业退休教师幸福感和获得感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市直破产企业退休教师满意度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bl>
    <w:p>
      <w:pPr>
        <w:pStyle w:val="Normal_cf2be559-8d49-4ac9-ac96-4d3811cafa5a"/>
      </w:pPr>
      <w:r>
        <w:br w:type="page"/>
      </w:r>
    </w:p>
    <w:tbl>
      <w:tblPr>
        <w:tblStyle w:val="NormalTable_dbd3112e-8892-401f-8f17-dba53bc2f9a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1"/>
        <w:gridCol w:w="1106"/>
        <w:gridCol w:w="1029"/>
        <w:gridCol w:w="884"/>
        <w:gridCol w:w="1562"/>
        <w:gridCol w:w="1029"/>
        <w:gridCol w:w="887"/>
        <w:gridCol w:w="1026"/>
        <w:gridCol w:w="1032"/>
        <w:gridCol w:w="899"/>
        <w:gridCol w:w="901"/>
        <w:gridCol w:w="206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企业离休干部生活补贴</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许昌市社会保险中心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386.07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386.07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370.02</w:t>
            </w:r>
          </w:p>
        </w:tc>
        <w:tc>
          <w:tcPr>
            <w:tcW w:type="auto" w:w="0"/>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95.84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386.07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386.07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370.02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95.84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科学安排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管理有效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目标1：2023年需为离休人员发放2022年年度健康休养费1098571.6 元（139名），全国文明城市奖1098571.6元（139名），</w:t>
            </w:r>
            <w:r>
              <w:rPr/>
              <w:br/>
            </w:r>
            <w:r>
              <w:rPr>
                <w:rFonts w:ascii="宋体" w:eastAsia="宋体" w:hAnsi="宋体" w:cs="宋体"/>
                <w:i w:val="0"/>
                <w:iCs w:val="0"/>
                <w:color w:val="000000"/>
                <w:kern w:val="0"/>
                <w:sz w:val="18"/>
                <w:szCs w:val="18"/>
                <w:u w:val="none"/>
                <w:bdr w:val="none" w:sz="0" w:space="0" w:color="auto"/>
                <w:lang w:val="en-US" w:eastAsia="zh-CN"/>
              </w:rPr>
              <w:t xml:space="preserve"> 目标2：取暖费223020元（116名），</w:t>
            </w:r>
            <w:r>
              <w:rPr/>
              <w:br/>
            </w:r>
            <w:r>
              <w:rPr>
                <w:rFonts w:ascii="宋体" w:eastAsia="宋体" w:hAnsi="宋体" w:cs="宋体"/>
                <w:i w:val="0"/>
                <w:iCs w:val="0"/>
                <w:color w:val="000000"/>
                <w:kern w:val="0"/>
                <w:sz w:val="18"/>
                <w:szCs w:val="18"/>
                <w:u w:val="none"/>
                <w:bdr w:val="none" w:sz="0" w:space="0" w:color="auto"/>
                <w:lang w:val="en-US" w:eastAsia="zh-CN"/>
              </w:rPr>
              <w:t xml:space="preserve"> 目标3：2023年平时健康休养费1012348.89元（116名），物业补贴260880 元（116名），住房补贴167340元（116名）。</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市直企业离休干部生活补贴金额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386.07万元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370.02万元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2022年度健康休养费和文明城市奖发放人数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139人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139人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2023年取暖费、平时健康休养费、物业和住房补贴发放人数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116人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116人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2022年度健康休养费和文明城市奖发放准确率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2023年取暖费、平时健康休养费、物业和住房补贴发放准确率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2022年度健康休养费和文明城市奖发放时间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4月底前完成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2023年取暖费、平时健康休养费、物业和住房补贴发放时间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12月底前完成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市直企业离休干部幸福感和获得感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市直企业离休干部满意度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99.58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bl>
    <w:p>
      <w:pPr>
        <w:pStyle w:val="Normal_cf2be559-8d49-4ac9-ac96-4d3811cafa5a"/>
      </w:pPr>
      <w:r>
        <w:br w:type="page"/>
      </w:r>
    </w:p>
    <w:tbl>
      <w:tblPr>
        <w:tblStyle w:val="NormalTable_dbd3112e-8892-401f-8f17-dba53bc2f9a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6"/>
        <w:gridCol w:w="1026"/>
        <w:gridCol w:w="887"/>
        <w:gridCol w:w="1559"/>
        <w:gridCol w:w="1029"/>
        <w:gridCol w:w="887"/>
        <w:gridCol w:w="1026"/>
        <w:gridCol w:w="1032"/>
        <w:gridCol w:w="899"/>
        <w:gridCol w:w="901"/>
        <w:gridCol w:w="206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国有企业职教幼教退休教师待遇补助资金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许昌市社会保险中心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58.43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58.43</w:t>
            </w:r>
          </w:p>
        </w:tc>
        <w:tc>
          <w:tcPr>
            <w:tcW w:type="auto" w:w="0"/>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58.43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58.43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预算绩效管理优秀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按时足额发放2023年国有企业职教幼教退休教师待遇补助资金。</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年度目标已完成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58.43万元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58.43万元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国有企业职教幼教退休教师幸福感和获得感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有企业职教幼教退休教师满意度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bl>
    <w:p>
      <w:pPr>
        <w:pStyle w:val="Normal_cf2be559-8d49-4ac9-ac96-4d3811cafa5a"/>
      </w:pPr>
      <w:r>
        <w:br w:type="page"/>
      </w:r>
    </w:p>
    <w:tbl>
      <w:tblPr>
        <w:tblStyle w:val="NormalTable_dbd3112e-8892-401f-8f17-dba53bc2f9a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1"/>
        <w:gridCol w:w="1106"/>
        <w:gridCol w:w="1029"/>
        <w:gridCol w:w="884"/>
        <w:gridCol w:w="1562"/>
        <w:gridCol w:w="1029"/>
        <w:gridCol w:w="887"/>
        <w:gridCol w:w="1026"/>
        <w:gridCol w:w="1032"/>
        <w:gridCol w:w="899"/>
        <w:gridCol w:w="901"/>
        <w:gridCol w:w="206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社会保障信息系统运行维护费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许昌市社会保险中心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w:t>
            </w:r>
          </w:p>
        </w:tc>
        <w:tc>
          <w:tcPr>
            <w:tcW w:type="auto" w:w="0"/>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预算绩效管理优秀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保障社会保险信息系统正常运行，确保我市各项社会保险业务的高效办理。</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年度目标已完成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信息系统运维费成本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信息系统维护工程师人数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信息系统维护工程师工作时间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22天/人/月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22天/人/月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保障信息系统安全高效稳定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社会保险业务高效办理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高效快捷</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东软集团（北京）有限公司满意度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参保单位及群众满意度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bl>
    <w:p>
      <w:pPr>
        <w:pStyle w:val="Normal_cf2be559-8d49-4ac9-ac96-4d3811cafa5a"/>
      </w:pPr>
      <w:r>
        <w:br w:type="page"/>
      </w:r>
    </w:p>
    <w:tbl>
      <w:tblPr>
        <w:tblStyle w:val="NormalTable_dbd3112e-8892-401f-8f17-dba53bc2f9a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1"/>
        <w:gridCol w:w="1106"/>
        <w:gridCol w:w="1029"/>
        <w:gridCol w:w="884"/>
        <w:gridCol w:w="1562"/>
        <w:gridCol w:w="1029"/>
        <w:gridCol w:w="887"/>
        <w:gridCol w:w="1026"/>
        <w:gridCol w:w="1032"/>
        <w:gridCol w:w="899"/>
        <w:gridCol w:w="901"/>
        <w:gridCol w:w="206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编外人员补缴养老保险费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许昌市社会保险中心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7.61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7.61</w:t>
            </w:r>
          </w:p>
        </w:tc>
        <w:tc>
          <w:tcPr>
            <w:tcW w:type="auto" w:w="0"/>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7.61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7.61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预算绩效管理优秀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为编外人员补缴养老保险费，保障退休后养老生活水平。</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年度目标已完成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补缴金额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7.61万元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7.61万元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补缴人数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补缴准确率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补缴及时率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保障退休后生活水平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补缴人员满意度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bl>
    <w:p>
      <w:pPr>
        <w:pStyle w:val="Normal_cf2be559-8d49-4ac9-ac96-4d3811cafa5a"/>
      </w:pPr>
      <w:r>
        <w:br w:type="page"/>
      </w:r>
    </w:p>
    <w:tbl>
      <w:tblPr>
        <w:tblStyle w:val="NormalTable_dbd3112e-8892-401f-8f17-dba53bc2f9a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3"/>
        <w:gridCol w:w="1029"/>
        <w:gridCol w:w="884"/>
        <w:gridCol w:w="1562"/>
        <w:gridCol w:w="1029"/>
        <w:gridCol w:w="884"/>
        <w:gridCol w:w="1026"/>
        <w:gridCol w:w="1032"/>
        <w:gridCol w:w="899"/>
        <w:gridCol w:w="901"/>
        <w:gridCol w:w="2067"/>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市直公益性岗位2023年12月岗位和社会保险补贴</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许昌市社会保险中心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2.84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2.84</w:t>
            </w:r>
          </w:p>
        </w:tc>
        <w:tc>
          <w:tcPr>
            <w:tcW w:type="auto" w:w="0"/>
            <w:tcBorders>
              <w:top w:val="nil"/>
              <w:left w:val="nil"/>
              <w:bottom w:val="nil"/>
              <w:right w:val="nil"/>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2.84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2.84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预算绩效管理优秀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按时准确支付市直公益性岗位2023年12月工资和社会保险补贴。</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年度目标已完成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公益性岗位工资和社会保险补贴金额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2.84万元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2.84万元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公益性岗位人数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公益性岗位工作时间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22天/人/月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22天/人/月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支付准确率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支付及时率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保障公益性岗位人员生活水平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rPr>
              <w:t xml:space="preserve">公益性岗位人员满意度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f2be559-8d49-4ac9-ac96-4d3811cafa5a"/>
              <w:jc w:val="center"/>
              <w:rPr>
                <w:rFonts w:ascii="宋体" w:eastAsia="宋体" w:hAnsi="宋体" w:cs="宋体" w:hint="eastAsia"/>
                <w:i w:val="0"/>
                <w:iCs w:val="0"/>
                <w:color w:val="000000"/>
                <w:sz w:val="18"/>
                <w:szCs w:val="18"/>
                <w:u w:val="none"/>
              </w:rPr>
            </w:pPr>
          </w:p>
        </w:tc>
      </w:tr>
    </w:tbl>
    <w:p>
      <w:pPr>
        <w:pStyle w:val="Normal_cf2be559-8d49-4ac9-ac96-4d3811cafa5a"/>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0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38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cf2be559-8d49-4ac9-ac96-4d3811cafa5a">
    <w:name w:val="Normal_cf2be559-8d49-4ac9-ac96-4d3811cafa5a"/>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dbd3112e-8892-401f-8f17-dba53bc2f9a0">
    <w:name w:val="Normal Table_dbd3112e-8892-401f-8f17-dba53bc2f9a0"/>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