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许昌市生态环境综合行政执法支队</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许昌市生态环境综合行政执法支队</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许昌市生态环境综合行政执法支队概况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1.贯彻国家和地方生态环境保护方面的法律、法规和方针、政策；2.以部门名义依法统一行使污染防治、生态保护、核与辐射安全的行政处罚权以及与行政处罚相关的行政检查、行政强制权等执法职能；3.具体负责城区（含魏都区、建安区、东城区、经济技术开发区、市城乡一体化示范区）的大气、水、土壤、固体废物（含危险废物）、核与辐射、移动源、自然生态等相关污染防治和生态环境保护等执法工作；4.组织开展全市范围内的生态环境行政检查“双随机一公开”和交叉执法、异地执法和跨区执法；5.受理12369热线、微信举报平台等生态环境举报，组织环境污染和生态破坏投诉、举报案件的调查处理工作；6.参与突发环境事件应急处置及环境污染事故、生态环境事件调查处理等工作；7.负责县（市）生态环境执法组织协调、业务指导、业务培训、评价考核等工作；8.联合有关部门跨部门生态环境联合执法；9.依法履行法律法规规定的其他生态环境综合行政执法职责。</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许昌市生态环境综合行政执法支队</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7</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办公室、法制科、环境信访科、机动大队、东城区大队、经济技术开发区大队、城乡一体化示范区大队</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许昌市生态环境综合行政执法支队</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1.许昌市生态环境综合行政执法支队</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单位：许昌市生态环境综合行政执法支队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1,517.76</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34.53</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0.07</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58.23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29.09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1,384.92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26.25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1,517.82</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1,533.02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0.06</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15.26</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1,533.08</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1,533.08</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单位：许昌市生态环境综合行政执法支队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1,517.82</w:t>
            </w:r>
          </w:p>
        </w:tc>
        <w:tc>
          <w:tcPr>
            <w:tcW w:w="1440" w:type="dxa"/>
            <w:tcBorders/>
            <w:vAlign w:val="center"/>
          </w:tcPr>
          <w:p>
            <w:pPr>
              <w:jc w:val="right"/>
            </w:pPr>
            <w:r>
              <w:rPr>
                <w:rFonts w:ascii="宋体" w:eastAsia="宋体" w:hAnsi="宋体" w:cs="宋体"/>
                <w:b/>
                <w:i w:val="0"/>
                <w:color w:val="000000"/>
                <w:sz w:val="17"/>
              </w:rPr>
              <w:t xml:space="preserve">1,517.76</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0.07</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34.53</w:t>
            </w:r>
          </w:p>
        </w:tc>
        <w:tc>
          <w:tcPr>
            <w:tcW w:w="1440" w:type="dxa"/>
            <w:tcBorders/>
            <w:vAlign w:val="center"/>
          </w:tcPr>
          <w:p>
            <w:pPr>
              <w:jc w:val="right"/>
            </w:pPr>
            <w:r>
              <w:rPr>
                <w:rFonts w:ascii="宋体" w:eastAsia="宋体" w:hAnsi="宋体" w:cs="宋体"/>
                <w:b w:val="0"/>
                <w:i w:val="0"/>
                <w:color w:val="000000"/>
                <w:sz w:val="17"/>
              </w:rPr>
              <w:t xml:space="preserve">34.53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人大事务</w:t>
            </w:r>
          </w:p>
        </w:tc>
        <w:tc>
          <w:tcPr>
            <w:tcW w:w="1440" w:type="dxa"/>
            <w:tcBorders/>
            <w:vAlign w:val="center"/>
          </w:tcPr>
          <w:p>
            <w:pPr>
              <w:jc w:val="right"/>
            </w:pPr>
            <w:r>
              <w:rPr>
                <w:rFonts w:ascii="宋体" w:eastAsia="宋体" w:hAnsi="宋体" w:cs="宋体"/>
                <w:b w:val="0"/>
                <w:i w:val="0"/>
                <w:color w:val="000000"/>
                <w:sz w:val="17"/>
              </w:rPr>
              <w:t xml:space="preserve">11.73</w:t>
            </w:r>
          </w:p>
        </w:tc>
        <w:tc>
          <w:tcPr>
            <w:tcW w:w="1440" w:type="dxa"/>
            <w:tcBorders/>
            <w:vAlign w:val="center"/>
          </w:tcPr>
          <w:p>
            <w:pPr>
              <w:jc w:val="right"/>
            </w:pPr>
            <w:r>
              <w:rPr>
                <w:rFonts w:ascii="宋体" w:eastAsia="宋体" w:hAnsi="宋体" w:cs="宋体"/>
                <w:b w:val="0"/>
                <w:i w:val="0"/>
                <w:color w:val="000000"/>
                <w:sz w:val="17"/>
              </w:rPr>
              <w:t xml:space="preserve">11.73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11.73</w:t>
            </w:r>
          </w:p>
        </w:tc>
        <w:tc>
          <w:tcPr>
            <w:tcW w:w="1440" w:type="dxa"/>
            <w:tcBorders/>
            <w:vAlign w:val="center"/>
          </w:tcPr>
          <w:p>
            <w:pPr>
              <w:jc w:val="right"/>
            </w:pPr>
            <w:r>
              <w:rPr>
                <w:rFonts w:ascii="宋体" w:eastAsia="宋体" w:hAnsi="宋体" w:cs="宋体"/>
                <w:b w:val="0"/>
                <w:i w:val="0"/>
                <w:color w:val="000000"/>
                <w:sz w:val="17"/>
              </w:rPr>
              <w:t xml:space="preserve">11.73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2.26</w:t>
            </w:r>
          </w:p>
        </w:tc>
        <w:tc>
          <w:tcPr>
            <w:tcW w:w="1440" w:type="dxa"/>
            <w:tcBorders/>
            <w:vAlign w:val="center"/>
          </w:tcPr>
          <w:p>
            <w:pPr>
              <w:jc w:val="right"/>
            </w:pPr>
            <w:r>
              <w:rPr>
                <w:rFonts w:ascii="宋体" w:eastAsia="宋体" w:hAnsi="宋体" w:cs="宋体"/>
                <w:b w:val="0"/>
                <w:i w:val="0"/>
                <w:color w:val="000000"/>
                <w:sz w:val="17"/>
              </w:rPr>
              <w:t xml:space="preserve">2.26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2.26</w:t>
            </w:r>
          </w:p>
        </w:tc>
        <w:tc>
          <w:tcPr>
            <w:tcW w:w="1440" w:type="dxa"/>
            <w:tcBorders/>
            <w:vAlign w:val="center"/>
          </w:tcPr>
          <w:p>
            <w:pPr>
              <w:jc w:val="right"/>
            </w:pPr>
            <w:r>
              <w:rPr>
                <w:rFonts w:ascii="宋体" w:eastAsia="宋体" w:hAnsi="宋体" w:cs="宋体"/>
                <w:b w:val="0"/>
                <w:i w:val="0"/>
                <w:color w:val="000000"/>
                <w:sz w:val="17"/>
              </w:rPr>
              <w:t xml:space="preserve">2.26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20.55</w:t>
            </w:r>
          </w:p>
        </w:tc>
        <w:tc>
          <w:tcPr>
            <w:tcW w:w="1440" w:type="dxa"/>
            <w:tcBorders/>
            <w:vAlign w:val="center"/>
          </w:tcPr>
          <w:p>
            <w:pPr>
              <w:jc w:val="right"/>
            </w:pPr>
            <w:r>
              <w:rPr>
                <w:rFonts w:ascii="宋体" w:eastAsia="宋体" w:hAnsi="宋体" w:cs="宋体"/>
                <w:b w:val="0"/>
                <w:i w:val="0"/>
                <w:color w:val="000000"/>
                <w:sz w:val="17"/>
              </w:rPr>
              <w:t xml:space="preserve">20.55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20.55</w:t>
            </w:r>
          </w:p>
        </w:tc>
        <w:tc>
          <w:tcPr>
            <w:tcW w:w="1440" w:type="dxa"/>
            <w:tcBorders/>
            <w:vAlign w:val="center"/>
          </w:tcPr>
          <w:p>
            <w:pPr>
              <w:jc w:val="right"/>
            </w:pPr>
            <w:r>
              <w:rPr>
                <w:rFonts w:ascii="宋体" w:eastAsia="宋体" w:hAnsi="宋体" w:cs="宋体"/>
                <w:b w:val="0"/>
                <w:i w:val="0"/>
                <w:color w:val="000000"/>
                <w:sz w:val="17"/>
              </w:rPr>
              <w:t xml:space="preserve">20.55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58.23</w:t>
            </w:r>
          </w:p>
        </w:tc>
        <w:tc>
          <w:tcPr>
            <w:tcW w:w="1440" w:type="dxa"/>
            <w:tcBorders/>
            <w:vAlign w:val="center"/>
          </w:tcPr>
          <w:p>
            <w:pPr>
              <w:jc w:val="right"/>
            </w:pPr>
            <w:r>
              <w:rPr>
                <w:rFonts w:ascii="宋体" w:eastAsia="宋体" w:hAnsi="宋体" w:cs="宋体"/>
                <w:b w:val="0"/>
                <w:i w:val="0"/>
                <w:color w:val="000000"/>
                <w:sz w:val="17"/>
              </w:rPr>
              <w:t xml:space="preserve">58.23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58.23</w:t>
            </w:r>
          </w:p>
        </w:tc>
        <w:tc>
          <w:tcPr>
            <w:tcW w:w="1440" w:type="dxa"/>
            <w:tcBorders/>
            <w:vAlign w:val="center"/>
          </w:tcPr>
          <w:p>
            <w:pPr>
              <w:jc w:val="right"/>
            </w:pPr>
            <w:r>
              <w:rPr>
                <w:rFonts w:ascii="宋体" w:eastAsia="宋体" w:hAnsi="宋体" w:cs="宋体"/>
                <w:b w:val="0"/>
                <w:i w:val="0"/>
                <w:color w:val="000000"/>
                <w:sz w:val="17"/>
              </w:rPr>
              <w:t xml:space="preserve">58.23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32.38</w:t>
            </w:r>
          </w:p>
        </w:tc>
        <w:tc>
          <w:tcPr>
            <w:tcW w:w="1440" w:type="dxa"/>
            <w:tcBorders/>
            <w:vAlign w:val="center"/>
          </w:tcPr>
          <w:p>
            <w:pPr>
              <w:jc w:val="right"/>
            </w:pPr>
            <w:r>
              <w:rPr>
                <w:rFonts w:ascii="宋体" w:eastAsia="宋体" w:hAnsi="宋体" w:cs="宋体"/>
                <w:b w:val="0"/>
                <w:i w:val="0"/>
                <w:color w:val="000000"/>
                <w:sz w:val="17"/>
              </w:rPr>
              <w:t xml:space="preserve">32.38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25.85</w:t>
            </w:r>
          </w:p>
        </w:tc>
        <w:tc>
          <w:tcPr>
            <w:tcW w:w="1440" w:type="dxa"/>
            <w:tcBorders/>
            <w:vAlign w:val="center"/>
          </w:tcPr>
          <w:p>
            <w:pPr>
              <w:jc w:val="right"/>
            </w:pPr>
            <w:r>
              <w:rPr>
                <w:rFonts w:ascii="宋体" w:eastAsia="宋体" w:hAnsi="宋体" w:cs="宋体"/>
                <w:b w:val="0"/>
                <w:i w:val="0"/>
                <w:color w:val="000000"/>
                <w:sz w:val="17"/>
              </w:rPr>
              <w:t xml:space="preserve">25.85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29.09</w:t>
            </w:r>
          </w:p>
        </w:tc>
        <w:tc>
          <w:tcPr>
            <w:tcW w:w="1440" w:type="dxa"/>
            <w:tcBorders/>
            <w:vAlign w:val="center"/>
          </w:tcPr>
          <w:p>
            <w:pPr>
              <w:jc w:val="right"/>
            </w:pPr>
            <w:r>
              <w:rPr>
                <w:rFonts w:ascii="宋体" w:eastAsia="宋体" w:hAnsi="宋体" w:cs="宋体"/>
                <w:b w:val="0"/>
                <w:i w:val="0"/>
                <w:color w:val="000000"/>
                <w:sz w:val="17"/>
              </w:rPr>
              <w:t xml:space="preserve">29.09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29.09</w:t>
            </w:r>
          </w:p>
        </w:tc>
        <w:tc>
          <w:tcPr>
            <w:tcW w:w="1440" w:type="dxa"/>
            <w:tcBorders/>
            <w:vAlign w:val="center"/>
          </w:tcPr>
          <w:p>
            <w:pPr>
              <w:jc w:val="right"/>
            </w:pPr>
            <w:r>
              <w:rPr>
                <w:rFonts w:ascii="宋体" w:eastAsia="宋体" w:hAnsi="宋体" w:cs="宋体"/>
                <w:b w:val="0"/>
                <w:i w:val="0"/>
                <w:color w:val="000000"/>
                <w:sz w:val="17"/>
              </w:rPr>
              <w:t xml:space="preserve">29.09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13.78</w:t>
            </w:r>
          </w:p>
        </w:tc>
        <w:tc>
          <w:tcPr>
            <w:tcW w:w="1440" w:type="dxa"/>
            <w:tcBorders/>
            <w:vAlign w:val="center"/>
          </w:tcPr>
          <w:p>
            <w:pPr>
              <w:jc w:val="right"/>
            </w:pPr>
            <w:r>
              <w:rPr>
                <w:rFonts w:ascii="宋体" w:eastAsia="宋体" w:hAnsi="宋体" w:cs="宋体"/>
                <w:b w:val="0"/>
                <w:i w:val="0"/>
                <w:color w:val="000000"/>
                <w:sz w:val="17"/>
              </w:rPr>
              <w:t xml:space="preserve">13.78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15.31</w:t>
            </w:r>
          </w:p>
        </w:tc>
        <w:tc>
          <w:tcPr>
            <w:tcW w:w="1440" w:type="dxa"/>
            <w:tcBorders/>
            <w:vAlign w:val="center"/>
          </w:tcPr>
          <w:p>
            <w:pPr>
              <w:jc w:val="right"/>
            </w:pPr>
            <w:r>
              <w:rPr>
                <w:rFonts w:ascii="宋体" w:eastAsia="宋体" w:hAnsi="宋体" w:cs="宋体"/>
                <w:b w:val="0"/>
                <w:i w:val="0"/>
                <w:color w:val="000000"/>
                <w:sz w:val="17"/>
              </w:rPr>
              <w:t xml:space="preserve">15.31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节能环保支出</w:t>
            </w:r>
          </w:p>
        </w:tc>
        <w:tc>
          <w:tcPr>
            <w:tcW w:w="1440" w:type="dxa"/>
            <w:tcBorders/>
            <w:vAlign w:val="center"/>
          </w:tcPr>
          <w:p>
            <w:pPr>
              <w:jc w:val="right"/>
            </w:pPr>
            <w:r>
              <w:rPr>
                <w:rFonts w:ascii="宋体" w:eastAsia="宋体" w:hAnsi="宋体" w:cs="宋体"/>
                <w:b w:val="0"/>
                <w:i w:val="0"/>
                <w:color w:val="000000"/>
                <w:sz w:val="17"/>
              </w:rPr>
              <w:t xml:space="preserve">1,369.72</w:t>
            </w:r>
          </w:p>
        </w:tc>
        <w:tc>
          <w:tcPr>
            <w:tcW w:w="1440" w:type="dxa"/>
            <w:tcBorders/>
            <w:vAlign w:val="center"/>
          </w:tcPr>
          <w:p>
            <w:pPr>
              <w:jc w:val="right"/>
            </w:pPr>
            <w:r>
              <w:rPr>
                <w:rFonts w:ascii="宋体" w:eastAsia="宋体" w:hAnsi="宋体" w:cs="宋体"/>
                <w:b w:val="0"/>
                <w:i w:val="0"/>
                <w:color w:val="000000"/>
                <w:sz w:val="17"/>
              </w:rPr>
              <w:t xml:space="preserve">1,369.66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0.07</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环境保护管理事务</w:t>
            </w:r>
          </w:p>
        </w:tc>
        <w:tc>
          <w:tcPr>
            <w:tcW w:w="1440" w:type="dxa"/>
            <w:tcBorders/>
            <w:vAlign w:val="center"/>
          </w:tcPr>
          <w:p>
            <w:pPr>
              <w:jc w:val="right"/>
            </w:pPr>
            <w:r>
              <w:rPr>
                <w:rFonts w:ascii="宋体" w:eastAsia="宋体" w:hAnsi="宋体" w:cs="宋体"/>
                <w:b w:val="0"/>
                <w:i w:val="0"/>
                <w:color w:val="000000"/>
                <w:sz w:val="17"/>
              </w:rPr>
              <w:t xml:space="preserve">453.10</w:t>
            </w:r>
          </w:p>
        </w:tc>
        <w:tc>
          <w:tcPr>
            <w:tcW w:w="1440" w:type="dxa"/>
            <w:tcBorders/>
            <w:vAlign w:val="center"/>
          </w:tcPr>
          <w:p>
            <w:pPr>
              <w:jc w:val="right"/>
            </w:pPr>
            <w:r>
              <w:rPr>
                <w:rFonts w:ascii="宋体" w:eastAsia="宋体" w:hAnsi="宋体" w:cs="宋体"/>
                <w:b w:val="0"/>
                <w:i w:val="0"/>
                <w:color w:val="000000"/>
                <w:sz w:val="17"/>
              </w:rPr>
              <w:t xml:space="preserve">453.03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0.07</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2110101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24.18</w:t>
            </w:r>
          </w:p>
        </w:tc>
        <w:tc>
          <w:tcPr>
            <w:tcW w:w="1440" w:type="dxa"/>
            <w:tcBorders/>
            <w:vAlign w:val="center"/>
          </w:tcPr>
          <w:p>
            <w:pPr>
              <w:jc w:val="right"/>
            </w:pPr>
            <w:r>
              <w:rPr>
                <w:rFonts w:ascii="宋体" w:eastAsia="宋体" w:hAnsi="宋体" w:cs="宋体"/>
                <w:b w:val="0"/>
                <w:i w:val="0"/>
                <w:color w:val="000000"/>
                <w:sz w:val="17"/>
              </w:rPr>
              <w:t xml:space="preserve">24.11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0.07</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2110102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428.92</w:t>
            </w:r>
          </w:p>
        </w:tc>
        <w:tc>
          <w:tcPr>
            <w:tcW w:w="1440" w:type="dxa"/>
            <w:tcBorders/>
            <w:vAlign w:val="center"/>
          </w:tcPr>
          <w:p>
            <w:pPr>
              <w:jc w:val="right"/>
            </w:pPr>
            <w:r>
              <w:rPr>
                <w:rFonts w:ascii="宋体" w:eastAsia="宋体" w:hAnsi="宋体" w:cs="宋体"/>
                <w:b w:val="0"/>
                <w:i w:val="0"/>
                <w:color w:val="000000"/>
                <w:sz w:val="17"/>
              </w:rPr>
              <w:t xml:space="preserve">428.92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污染防治</w:t>
            </w:r>
          </w:p>
        </w:tc>
        <w:tc>
          <w:tcPr>
            <w:tcW w:w="1440" w:type="dxa"/>
            <w:tcBorders/>
            <w:vAlign w:val="center"/>
          </w:tcPr>
          <w:p>
            <w:pPr>
              <w:jc w:val="right"/>
            </w:pPr>
            <w:r>
              <w:rPr>
                <w:rFonts w:ascii="宋体" w:eastAsia="宋体" w:hAnsi="宋体" w:cs="宋体"/>
                <w:b w:val="0"/>
                <w:i w:val="0"/>
                <w:color w:val="000000"/>
                <w:sz w:val="17"/>
              </w:rPr>
              <w:t xml:space="preserve">916.63</w:t>
            </w:r>
          </w:p>
        </w:tc>
        <w:tc>
          <w:tcPr>
            <w:tcW w:w="1440" w:type="dxa"/>
            <w:tcBorders/>
            <w:vAlign w:val="center"/>
          </w:tcPr>
          <w:p>
            <w:pPr>
              <w:jc w:val="right"/>
            </w:pPr>
            <w:r>
              <w:rPr>
                <w:rFonts w:ascii="宋体" w:eastAsia="宋体" w:hAnsi="宋体" w:cs="宋体"/>
                <w:b w:val="0"/>
                <w:i w:val="0"/>
                <w:color w:val="000000"/>
                <w:sz w:val="17"/>
              </w:rPr>
              <w:t xml:space="preserve">916.63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2110301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大气</w:t>
            </w:r>
          </w:p>
        </w:tc>
        <w:tc>
          <w:tcPr>
            <w:tcW w:w="1440" w:type="dxa"/>
            <w:tcBorders/>
            <w:vAlign w:val="center"/>
          </w:tcPr>
          <w:p>
            <w:pPr>
              <w:jc w:val="right"/>
            </w:pPr>
            <w:r>
              <w:rPr>
                <w:rFonts w:ascii="宋体" w:eastAsia="宋体" w:hAnsi="宋体" w:cs="宋体"/>
                <w:b w:val="0"/>
                <w:i w:val="0"/>
                <w:color w:val="000000"/>
                <w:sz w:val="17"/>
              </w:rPr>
              <w:t xml:space="preserve">781.71</w:t>
            </w:r>
          </w:p>
        </w:tc>
        <w:tc>
          <w:tcPr>
            <w:tcW w:w="1440" w:type="dxa"/>
            <w:tcBorders/>
            <w:vAlign w:val="center"/>
          </w:tcPr>
          <w:p>
            <w:pPr>
              <w:jc w:val="right"/>
            </w:pPr>
            <w:r>
              <w:rPr>
                <w:rFonts w:ascii="宋体" w:eastAsia="宋体" w:hAnsi="宋体" w:cs="宋体"/>
                <w:b w:val="0"/>
                <w:i w:val="0"/>
                <w:color w:val="000000"/>
                <w:sz w:val="17"/>
              </w:rPr>
              <w:t xml:space="preserve">781.71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2110302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水体</w:t>
            </w:r>
          </w:p>
        </w:tc>
        <w:tc>
          <w:tcPr>
            <w:tcW w:w="1440" w:type="dxa"/>
            <w:tcBorders/>
            <w:vAlign w:val="center"/>
          </w:tcPr>
          <w:p>
            <w:pPr>
              <w:jc w:val="right"/>
            </w:pPr>
            <w:r>
              <w:rPr>
                <w:rFonts w:ascii="宋体" w:eastAsia="宋体" w:hAnsi="宋体" w:cs="宋体"/>
                <w:b w:val="0"/>
                <w:i w:val="0"/>
                <w:color w:val="000000"/>
                <w:sz w:val="17"/>
              </w:rPr>
              <w:t xml:space="preserve">14.91</w:t>
            </w:r>
          </w:p>
        </w:tc>
        <w:tc>
          <w:tcPr>
            <w:tcW w:w="1440" w:type="dxa"/>
            <w:tcBorders/>
            <w:vAlign w:val="center"/>
          </w:tcPr>
          <w:p>
            <w:pPr>
              <w:jc w:val="right"/>
            </w:pPr>
            <w:r>
              <w:rPr>
                <w:rFonts w:ascii="宋体" w:eastAsia="宋体" w:hAnsi="宋体" w:cs="宋体"/>
                <w:b w:val="0"/>
                <w:i w:val="0"/>
                <w:color w:val="000000"/>
                <w:sz w:val="17"/>
              </w:rPr>
              <w:t xml:space="preserve">14.91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2110399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其他污染防治支出</w:t>
            </w:r>
          </w:p>
        </w:tc>
        <w:tc>
          <w:tcPr>
            <w:tcW w:w="1440" w:type="dxa"/>
            <w:tcBorders/>
            <w:vAlign w:val="center"/>
          </w:tcPr>
          <w:p>
            <w:pPr>
              <w:jc w:val="right"/>
            </w:pPr>
            <w:r>
              <w:rPr>
                <w:rFonts w:ascii="宋体" w:eastAsia="宋体" w:hAnsi="宋体" w:cs="宋体"/>
                <w:b w:val="0"/>
                <w:i w:val="0"/>
                <w:color w:val="000000"/>
                <w:sz w:val="17"/>
              </w:rPr>
              <w:t xml:space="preserve">120.00</w:t>
            </w:r>
          </w:p>
        </w:tc>
        <w:tc>
          <w:tcPr>
            <w:tcW w:w="1440" w:type="dxa"/>
            <w:tcBorders/>
            <w:vAlign w:val="center"/>
          </w:tcPr>
          <w:p>
            <w:pPr>
              <w:jc w:val="right"/>
            </w:pPr>
            <w:r>
              <w:rPr>
                <w:rFonts w:ascii="宋体" w:eastAsia="宋体" w:hAnsi="宋体" w:cs="宋体"/>
                <w:b w:val="0"/>
                <w:i w:val="0"/>
                <w:color w:val="000000"/>
                <w:sz w:val="17"/>
              </w:rPr>
              <w:t xml:space="preserve">120.00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26.25</w:t>
            </w:r>
          </w:p>
        </w:tc>
        <w:tc>
          <w:tcPr>
            <w:tcW w:w="1440" w:type="dxa"/>
            <w:tcBorders/>
            <w:vAlign w:val="center"/>
          </w:tcPr>
          <w:p>
            <w:pPr>
              <w:jc w:val="right"/>
            </w:pPr>
            <w:r>
              <w:rPr>
                <w:rFonts w:ascii="宋体" w:eastAsia="宋体" w:hAnsi="宋体" w:cs="宋体"/>
                <w:b w:val="0"/>
                <w:i w:val="0"/>
                <w:color w:val="000000"/>
                <w:sz w:val="17"/>
              </w:rPr>
              <w:t xml:space="preserve">26.25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26.25</w:t>
            </w:r>
          </w:p>
        </w:tc>
        <w:tc>
          <w:tcPr>
            <w:tcW w:w="1440" w:type="dxa"/>
            <w:tcBorders/>
            <w:vAlign w:val="center"/>
          </w:tcPr>
          <w:p>
            <w:pPr>
              <w:jc w:val="right"/>
            </w:pPr>
            <w:r>
              <w:rPr>
                <w:rFonts w:ascii="宋体" w:eastAsia="宋体" w:hAnsi="宋体" w:cs="宋体"/>
                <w:b w:val="0"/>
                <w:i w:val="0"/>
                <w:color w:val="000000"/>
                <w:sz w:val="17"/>
              </w:rPr>
              <w:t xml:space="preserve">26.25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26.25</w:t>
            </w:r>
          </w:p>
        </w:tc>
        <w:tc>
          <w:tcPr>
            <w:tcW w:w="1440" w:type="dxa"/>
            <w:tcBorders/>
            <w:vAlign w:val="center"/>
          </w:tcPr>
          <w:p>
            <w:pPr>
              <w:jc w:val="right"/>
            </w:pPr>
            <w:r>
              <w:rPr>
                <w:rFonts w:ascii="宋体" w:eastAsia="宋体" w:hAnsi="宋体" w:cs="宋体"/>
                <w:b w:val="0"/>
                <w:i w:val="0"/>
                <w:color w:val="000000"/>
                <w:sz w:val="17"/>
              </w:rPr>
              <w:t xml:space="preserve">26.25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单位：许昌市生态环境综合行政执法支队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1,533.02</w:t>
            </w:r>
          </w:p>
        </w:tc>
        <w:tc>
          <w:tcPr>
            <w:tcW w:w="1600" w:type="dxa"/>
            <w:tcBorders/>
            <w:vAlign w:val="center"/>
          </w:tcPr>
          <w:p>
            <w:pPr>
              <w:jc w:val="right"/>
            </w:pPr>
            <w:r>
              <w:rPr>
                <w:rFonts w:ascii="宋体" w:eastAsia="宋体" w:hAnsi="宋体" w:cs="宋体"/>
                <w:b/>
                <w:i w:val="0"/>
                <w:color w:val="000000"/>
                <w:sz w:val="19"/>
              </w:rPr>
              <w:t xml:space="preserve">601.13</w:t>
            </w:r>
          </w:p>
        </w:tc>
        <w:tc>
          <w:tcPr>
            <w:tcW w:w="1600" w:type="dxa"/>
            <w:tcBorders/>
            <w:vAlign w:val="center"/>
          </w:tcPr>
          <w:p>
            <w:pPr>
              <w:jc w:val="right"/>
            </w:pPr>
            <w:r>
              <w:rPr>
                <w:rFonts w:ascii="宋体" w:eastAsia="宋体" w:hAnsi="宋体" w:cs="宋体"/>
                <w:b/>
                <w:i w:val="0"/>
                <w:color w:val="000000"/>
                <w:sz w:val="19"/>
              </w:rPr>
              <w:t xml:space="preserve">931.88</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34.53</w:t>
            </w:r>
          </w:p>
        </w:tc>
        <w:tc>
          <w:tcPr>
            <w:tcW w:w="1600" w:type="dxa"/>
            <w:tcBorders/>
            <w:vAlign w:val="center"/>
          </w:tcPr>
          <w:p>
            <w:pPr>
              <w:jc w:val="right"/>
            </w:pPr>
            <w:r>
              <w:rPr>
                <w:rFonts w:ascii="宋体" w:eastAsia="宋体" w:hAnsi="宋体" w:cs="宋体"/>
                <w:b w:val="0"/>
                <w:i w:val="0"/>
                <w:color w:val="000000"/>
                <w:sz w:val="19"/>
              </w:rPr>
              <w:t xml:space="preserve">34.53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人大事务</w:t>
            </w:r>
          </w:p>
        </w:tc>
        <w:tc>
          <w:tcPr>
            <w:tcW w:w="1600" w:type="dxa"/>
            <w:tcBorders/>
            <w:vAlign w:val="center"/>
          </w:tcPr>
          <w:p>
            <w:pPr>
              <w:jc w:val="right"/>
            </w:pPr>
            <w:r>
              <w:rPr>
                <w:rFonts w:ascii="宋体" w:eastAsia="宋体" w:hAnsi="宋体" w:cs="宋体"/>
                <w:b w:val="0"/>
                <w:i w:val="0"/>
                <w:color w:val="000000"/>
                <w:sz w:val="19"/>
              </w:rPr>
              <w:t xml:space="preserve">11.73</w:t>
            </w:r>
          </w:p>
        </w:tc>
        <w:tc>
          <w:tcPr>
            <w:tcW w:w="1600" w:type="dxa"/>
            <w:tcBorders/>
            <w:vAlign w:val="center"/>
          </w:tcPr>
          <w:p>
            <w:pPr>
              <w:jc w:val="right"/>
            </w:pPr>
            <w:r>
              <w:rPr>
                <w:rFonts w:ascii="宋体" w:eastAsia="宋体" w:hAnsi="宋体" w:cs="宋体"/>
                <w:b w:val="0"/>
                <w:i w:val="0"/>
                <w:color w:val="000000"/>
                <w:sz w:val="19"/>
              </w:rPr>
              <w:t xml:space="preserve">11.73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11.73</w:t>
            </w:r>
          </w:p>
        </w:tc>
        <w:tc>
          <w:tcPr>
            <w:tcW w:w="1600" w:type="dxa"/>
            <w:tcBorders/>
            <w:vAlign w:val="center"/>
          </w:tcPr>
          <w:p>
            <w:pPr>
              <w:jc w:val="right"/>
            </w:pPr>
            <w:r>
              <w:rPr>
                <w:rFonts w:ascii="宋体" w:eastAsia="宋体" w:hAnsi="宋体" w:cs="宋体"/>
                <w:b w:val="0"/>
                <w:i w:val="0"/>
                <w:color w:val="000000"/>
                <w:sz w:val="19"/>
              </w:rPr>
              <w:t xml:space="preserve">11.73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2.26</w:t>
            </w:r>
          </w:p>
        </w:tc>
        <w:tc>
          <w:tcPr>
            <w:tcW w:w="1600" w:type="dxa"/>
            <w:tcBorders/>
            <w:vAlign w:val="center"/>
          </w:tcPr>
          <w:p>
            <w:pPr>
              <w:jc w:val="right"/>
            </w:pPr>
            <w:r>
              <w:rPr>
                <w:rFonts w:ascii="宋体" w:eastAsia="宋体" w:hAnsi="宋体" w:cs="宋体"/>
                <w:b w:val="0"/>
                <w:i w:val="0"/>
                <w:color w:val="000000"/>
                <w:sz w:val="19"/>
              </w:rPr>
              <w:t xml:space="preserve">2.26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2.26</w:t>
            </w:r>
          </w:p>
        </w:tc>
        <w:tc>
          <w:tcPr>
            <w:tcW w:w="1600" w:type="dxa"/>
            <w:tcBorders/>
            <w:vAlign w:val="center"/>
          </w:tcPr>
          <w:p>
            <w:pPr>
              <w:jc w:val="right"/>
            </w:pPr>
            <w:r>
              <w:rPr>
                <w:rFonts w:ascii="宋体" w:eastAsia="宋体" w:hAnsi="宋体" w:cs="宋体"/>
                <w:b w:val="0"/>
                <w:i w:val="0"/>
                <w:color w:val="000000"/>
                <w:sz w:val="19"/>
              </w:rPr>
              <w:t xml:space="preserve">2.26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20.55</w:t>
            </w:r>
          </w:p>
        </w:tc>
        <w:tc>
          <w:tcPr>
            <w:tcW w:w="1600" w:type="dxa"/>
            <w:tcBorders/>
            <w:vAlign w:val="center"/>
          </w:tcPr>
          <w:p>
            <w:pPr>
              <w:jc w:val="right"/>
            </w:pPr>
            <w:r>
              <w:rPr>
                <w:rFonts w:ascii="宋体" w:eastAsia="宋体" w:hAnsi="宋体" w:cs="宋体"/>
                <w:b w:val="0"/>
                <w:i w:val="0"/>
                <w:color w:val="000000"/>
                <w:sz w:val="19"/>
              </w:rPr>
              <w:t xml:space="preserve">20.55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20.55</w:t>
            </w:r>
          </w:p>
        </w:tc>
        <w:tc>
          <w:tcPr>
            <w:tcW w:w="1600" w:type="dxa"/>
            <w:tcBorders/>
            <w:vAlign w:val="center"/>
          </w:tcPr>
          <w:p>
            <w:pPr>
              <w:jc w:val="right"/>
            </w:pPr>
            <w:r>
              <w:rPr>
                <w:rFonts w:ascii="宋体" w:eastAsia="宋体" w:hAnsi="宋体" w:cs="宋体"/>
                <w:b w:val="0"/>
                <w:i w:val="0"/>
                <w:color w:val="000000"/>
                <w:sz w:val="19"/>
              </w:rPr>
              <w:t xml:space="preserve">20.55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58.23</w:t>
            </w:r>
          </w:p>
        </w:tc>
        <w:tc>
          <w:tcPr>
            <w:tcW w:w="1600" w:type="dxa"/>
            <w:tcBorders/>
            <w:vAlign w:val="center"/>
          </w:tcPr>
          <w:p>
            <w:pPr>
              <w:jc w:val="right"/>
            </w:pPr>
            <w:r>
              <w:rPr>
                <w:rFonts w:ascii="宋体" w:eastAsia="宋体" w:hAnsi="宋体" w:cs="宋体"/>
                <w:b w:val="0"/>
                <w:i w:val="0"/>
                <w:color w:val="000000"/>
                <w:sz w:val="19"/>
              </w:rPr>
              <w:t xml:space="preserve">58.23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58.23</w:t>
            </w:r>
          </w:p>
        </w:tc>
        <w:tc>
          <w:tcPr>
            <w:tcW w:w="1600" w:type="dxa"/>
            <w:tcBorders/>
            <w:vAlign w:val="center"/>
          </w:tcPr>
          <w:p>
            <w:pPr>
              <w:jc w:val="right"/>
            </w:pPr>
            <w:r>
              <w:rPr>
                <w:rFonts w:ascii="宋体" w:eastAsia="宋体" w:hAnsi="宋体" w:cs="宋体"/>
                <w:b w:val="0"/>
                <w:i w:val="0"/>
                <w:color w:val="000000"/>
                <w:sz w:val="19"/>
              </w:rPr>
              <w:t xml:space="preserve">58.23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32.38</w:t>
            </w:r>
          </w:p>
        </w:tc>
        <w:tc>
          <w:tcPr>
            <w:tcW w:w="1600" w:type="dxa"/>
            <w:tcBorders/>
            <w:vAlign w:val="center"/>
          </w:tcPr>
          <w:p>
            <w:pPr>
              <w:jc w:val="right"/>
            </w:pPr>
            <w:r>
              <w:rPr>
                <w:rFonts w:ascii="宋体" w:eastAsia="宋体" w:hAnsi="宋体" w:cs="宋体"/>
                <w:b w:val="0"/>
                <w:i w:val="0"/>
                <w:color w:val="000000"/>
                <w:sz w:val="19"/>
              </w:rPr>
              <w:t xml:space="preserve">32.38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25.85</w:t>
            </w:r>
          </w:p>
        </w:tc>
        <w:tc>
          <w:tcPr>
            <w:tcW w:w="1600" w:type="dxa"/>
            <w:tcBorders/>
            <w:vAlign w:val="center"/>
          </w:tcPr>
          <w:p>
            <w:pPr>
              <w:jc w:val="right"/>
            </w:pPr>
            <w:r>
              <w:rPr>
                <w:rFonts w:ascii="宋体" w:eastAsia="宋体" w:hAnsi="宋体" w:cs="宋体"/>
                <w:b w:val="0"/>
                <w:i w:val="0"/>
                <w:color w:val="000000"/>
                <w:sz w:val="19"/>
              </w:rPr>
              <w:t xml:space="preserve">25.85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29.09</w:t>
            </w:r>
          </w:p>
        </w:tc>
        <w:tc>
          <w:tcPr>
            <w:tcW w:w="1600" w:type="dxa"/>
            <w:tcBorders/>
            <w:vAlign w:val="center"/>
          </w:tcPr>
          <w:p>
            <w:pPr>
              <w:jc w:val="right"/>
            </w:pPr>
            <w:r>
              <w:rPr>
                <w:rFonts w:ascii="宋体" w:eastAsia="宋体" w:hAnsi="宋体" w:cs="宋体"/>
                <w:b w:val="0"/>
                <w:i w:val="0"/>
                <w:color w:val="000000"/>
                <w:sz w:val="19"/>
              </w:rPr>
              <w:t xml:space="preserve">29.09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29.09</w:t>
            </w:r>
          </w:p>
        </w:tc>
        <w:tc>
          <w:tcPr>
            <w:tcW w:w="1600" w:type="dxa"/>
            <w:tcBorders/>
            <w:vAlign w:val="center"/>
          </w:tcPr>
          <w:p>
            <w:pPr>
              <w:jc w:val="right"/>
            </w:pPr>
            <w:r>
              <w:rPr>
                <w:rFonts w:ascii="宋体" w:eastAsia="宋体" w:hAnsi="宋体" w:cs="宋体"/>
                <w:b w:val="0"/>
                <w:i w:val="0"/>
                <w:color w:val="000000"/>
                <w:sz w:val="19"/>
              </w:rPr>
              <w:t xml:space="preserve">29.09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13.78</w:t>
            </w:r>
          </w:p>
        </w:tc>
        <w:tc>
          <w:tcPr>
            <w:tcW w:w="1600" w:type="dxa"/>
            <w:tcBorders/>
            <w:vAlign w:val="center"/>
          </w:tcPr>
          <w:p>
            <w:pPr>
              <w:jc w:val="right"/>
            </w:pPr>
            <w:r>
              <w:rPr>
                <w:rFonts w:ascii="宋体" w:eastAsia="宋体" w:hAnsi="宋体" w:cs="宋体"/>
                <w:b w:val="0"/>
                <w:i w:val="0"/>
                <w:color w:val="000000"/>
                <w:sz w:val="19"/>
              </w:rPr>
              <w:t xml:space="preserve">13.78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15.31</w:t>
            </w:r>
          </w:p>
        </w:tc>
        <w:tc>
          <w:tcPr>
            <w:tcW w:w="1600" w:type="dxa"/>
            <w:tcBorders/>
            <w:vAlign w:val="center"/>
          </w:tcPr>
          <w:p>
            <w:pPr>
              <w:jc w:val="right"/>
            </w:pPr>
            <w:r>
              <w:rPr>
                <w:rFonts w:ascii="宋体" w:eastAsia="宋体" w:hAnsi="宋体" w:cs="宋体"/>
                <w:b w:val="0"/>
                <w:i w:val="0"/>
                <w:color w:val="000000"/>
                <w:sz w:val="19"/>
              </w:rPr>
              <w:t xml:space="preserve">15.31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节能环保支出</w:t>
            </w:r>
          </w:p>
        </w:tc>
        <w:tc>
          <w:tcPr>
            <w:tcW w:w="1600" w:type="dxa"/>
            <w:tcBorders/>
            <w:vAlign w:val="center"/>
          </w:tcPr>
          <w:p>
            <w:pPr>
              <w:jc w:val="right"/>
            </w:pPr>
            <w:r>
              <w:rPr>
                <w:rFonts w:ascii="宋体" w:eastAsia="宋体" w:hAnsi="宋体" w:cs="宋体"/>
                <w:b w:val="0"/>
                <w:i w:val="0"/>
                <w:color w:val="000000"/>
                <w:sz w:val="19"/>
              </w:rPr>
              <w:t xml:space="preserve">1,384.92</w:t>
            </w:r>
          </w:p>
        </w:tc>
        <w:tc>
          <w:tcPr>
            <w:tcW w:w="1600" w:type="dxa"/>
            <w:tcBorders/>
            <w:vAlign w:val="center"/>
          </w:tcPr>
          <w:p>
            <w:pPr>
              <w:jc w:val="right"/>
            </w:pPr>
            <w:r>
              <w:rPr>
                <w:rFonts w:ascii="宋体" w:eastAsia="宋体" w:hAnsi="宋体" w:cs="宋体"/>
                <w:b w:val="0"/>
                <w:i w:val="0"/>
                <w:color w:val="000000"/>
                <w:sz w:val="19"/>
              </w:rPr>
              <w:t xml:space="preserve">453.03</w:t>
            </w:r>
          </w:p>
        </w:tc>
        <w:tc>
          <w:tcPr>
            <w:tcW w:w="1600" w:type="dxa"/>
            <w:tcBorders/>
            <w:vAlign w:val="center"/>
          </w:tcPr>
          <w:p>
            <w:pPr>
              <w:jc w:val="right"/>
            </w:pPr>
            <w:r>
              <w:rPr>
                <w:rFonts w:ascii="宋体" w:eastAsia="宋体" w:hAnsi="宋体" w:cs="宋体"/>
                <w:b w:val="0"/>
                <w:i w:val="0"/>
                <w:color w:val="000000"/>
                <w:sz w:val="19"/>
              </w:rPr>
              <w:t xml:space="preserve">931.88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环境保护管理事务</w:t>
            </w:r>
          </w:p>
        </w:tc>
        <w:tc>
          <w:tcPr>
            <w:tcW w:w="1600" w:type="dxa"/>
            <w:tcBorders/>
            <w:vAlign w:val="center"/>
          </w:tcPr>
          <w:p>
            <w:pPr>
              <w:jc w:val="right"/>
            </w:pPr>
            <w:r>
              <w:rPr>
                <w:rFonts w:ascii="宋体" w:eastAsia="宋体" w:hAnsi="宋体" w:cs="宋体"/>
                <w:b w:val="0"/>
                <w:i w:val="0"/>
                <w:color w:val="000000"/>
                <w:sz w:val="19"/>
              </w:rPr>
              <w:t xml:space="preserve">453.03</w:t>
            </w:r>
          </w:p>
        </w:tc>
        <w:tc>
          <w:tcPr>
            <w:tcW w:w="1600" w:type="dxa"/>
            <w:tcBorders/>
            <w:vAlign w:val="center"/>
          </w:tcPr>
          <w:p>
            <w:pPr>
              <w:jc w:val="right"/>
            </w:pPr>
            <w:r>
              <w:rPr>
                <w:rFonts w:ascii="宋体" w:eastAsia="宋体" w:hAnsi="宋体" w:cs="宋体"/>
                <w:b w:val="0"/>
                <w:i w:val="0"/>
                <w:color w:val="000000"/>
                <w:sz w:val="19"/>
              </w:rPr>
              <w:t xml:space="preserve">453.03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2110101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24.11</w:t>
            </w:r>
          </w:p>
        </w:tc>
        <w:tc>
          <w:tcPr>
            <w:tcW w:w="1600" w:type="dxa"/>
            <w:tcBorders/>
            <w:vAlign w:val="center"/>
          </w:tcPr>
          <w:p>
            <w:pPr>
              <w:jc w:val="right"/>
            </w:pPr>
            <w:r>
              <w:rPr>
                <w:rFonts w:ascii="宋体" w:eastAsia="宋体" w:hAnsi="宋体" w:cs="宋体"/>
                <w:b w:val="0"/>
                <w:i w:val="0"/>
                <w:color w:val="000000"/>
                <w:sz w:val="19"/>
              </w:rPr>
              <w:t xml:space="preserve">24.11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2110102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428.92</w:t>
            </w:r>
          </w:p>
        </w:tc>
        <w:tc>
          <w:tcPr>
            <w:tcW w:w="1600" w:type="dxa"/>
            <w:tcBorders/>
            <w:vAlign w:val="center"/>
          </w:tcPr>
          <w:p>
            <w:pPr>
              <w:jc w:val="right"/>
            </w:pPr>
            <w:r>
              <w:rPr>
                <w:rFonts w:ascii="宋体" w:eastAsia="宋体" w:hAnsi="宋体" w:cs="宋体"/>
                <w:b w:val="0"/>
                <w:i w:val="0"/>
                <w:color w:val="000000"/>
                <w:sz w:val="19"/>
              </w:rPr>
              <w:t xml:space="preserve">428.92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污染防治</w:t>
            </w:r>
          </w:p>
        </w:tc>
        <w:tc>
          <w:tcPr>
            <w:tcW w:w="1600" w:type="dxa"/>
            <w:tcBorders/>
            <w:vAlign w:val="center"/>
          </w:tcPr>
          <w:p>
            <w:pPr>
              <w:jc w:val="right"/>
            </w:pPr>
            <w:r>
              <w:rPr>
                <w:rFonts w:ascii="宋体" w:eastAsia="宋体" w:hAnsi="宋体" w:cs="宋体"/>
                <w:b w:val="0"/>
                <w:i w:val="0"/>
                <w:color w:val="000000"/>
                <w:sz w:val="19"/>
              </w:rPr>
              <w:t xml:space="preserve">931.88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931.88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2110301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大气</w:t>
            </w:r>
          </w:p>
        </w:tc>
        <w:tc>
          <w:tcPr>
            <w:tcW w:w="1600" w:type="dxa"/>
            <w:tcBorders/>
            <w:vAlign w:val="center"/>
          </w:tcPr>
          <w:p>
            <w:pPr>
              <w:jc w:val="right"/>
            </w:pPr>
            <w:r>
              <w:rPr>
                <w:rFonts w:ascii="宋体" w:eastAsia="宋体" w:hAnsi="宋体" w:cs="宋体"/>
                <w:b w:val="0"/>
                <w:i w:val="0"/>
                <w:color w:val="000000"/>
                <w:sz w:val="19"/>
              </w:rPr>
              <w:t xml:space="preserve">792.86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792.86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2110302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水体</w:t>
            </w:r>
          </w:p>
        </w:tc>
        <w:tc>
          <w:tcPr>
            <w:tcW w:w="1600" w:type="dxa"/>
            <w:tcBorders/>
            <w:vAlign w:val="center"/>
          </w:tcPr>
          <w:p>
            <w:pPr>
              <w:jc w:val="right"/>
            </w:pPr>
            <w:r>
              <w:rPr>
                <w:rFonts w:ascii="宋体" w:eastAsia="宋体" w:hAnsi="宋体" w:cs="宋体"/>
                <w:b w:val="0"/>
                <w:i w:val="0"/>
                <w:color w:val="000000"/>
                <w:sz w:val="19"/>
              </w:rPr>
              <w:t xml:space="preserve">14.91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14.91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2110399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其他污染防治支出</w:t>
            </w:r>
          </w:p>
        </w:tc>
        <w:tc>
          <w:tcPr>
            <w:tcW w:w="1600" w:type="dxa"/>
            <w:tcBorders/>
            <w:vAlign w:val="center"/>
          </w:tcPr>
          <w:p>
            <w:pPr>
              <w:jc w:val="right"/>
            </w:pPr>
            <w:r>
              <w:rPr>
                <w:rFonts w:ascii="宋体" w:eastAsia="宋体" w:hAnsi="宋体" w:cs="宋体"/>
                <w:b w:val="0"/>
                <w:i w:val="0"/>
                <w:color w:val="000000"/>
                <w:sz w:val="19"/>
              </w:rPr>
              <w:t xml:space="preserve">124.11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124.11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26.25</w:t>
            </w:r>
          </w:p>
        </w:tc>
        <w:tc>
          <w:tcPr>
            <w:tcW w:w="1600" w:type="dxa"/>
            <w:tcBorders/>
            <w:vAlign w:val="center"/>
          </w:tcPr>
          <w:p>
            <w:pPr>
              <w:jc w:val="right"/>
            </w:pPr>
            <w:r>
              <w:rPr>
                <w:rFonts w:ascii="宋体" w:eastAsia="宋体" w:hAnsi="宋体" w:cs="宋体"/>
                <w:b w:val="0"/>
                <w:i w:val="0"/>
                <w:color w:val="000000"/>
                <w:sz w:val="19"/>
              </w:rPr>
              <w:t xml:space="preserve">26.25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26.25</w:t>
            </w:r>
          </w:p>
        </w:tc>
        <w:tc>
          <w:tcPr>
            <w:tcW w:w="1600" w:type="dxa"/>
            <w:tcBorders/>
            <w:vAlign w:val="center"/>
          </w:tcPr>
          <w:p>
            <w:pPr>
              <w:jc w:val="right"/>
            </w:pPr>
            <w:r>
              <w:rPr>
                <w:rFonts w:ascii="宋体" w:eastAsia="宋体" w:hAnsi="宋体" w:cs="宋体"/>
                <w:b w:val="0"/>
                <w:i w:val="0"/>
                <w:color w:val="000000"/>
                <w:sz w:val="19"/>
              </w:rPr>
              <w:t xml:space="preserve">26.25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26.25</w:t>
            </w:r>
          </w:p>
        </w:tc>
        <w:tc>
          <w:tcPr>
            <w:tcW w:w="1600" w:type="dxa"/>
            <w:tcBorders/>
            <w:vAlign w:val="center"/>
          </w:tcPr>
          <w:p>
            <w:pPr>
              <w:jc w:val="right"/>
            </w:pPr>
            <w:r>
              <w:rPr>
                <w:rFonts w:ascii="宋体" w:eastAsia="宋体" w:hAnsi="宋体" w:cs="宋体"/>
                <w:b w:val="0"/>
                <w:i w:val="0"/>
                <w:color w:val="000000"/>
                <w:sz w:val="19"/>
              </w:rPr>
              <w:t xml:space="preserve">26.25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单位：许昌市生态环境综合行政执法支队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1,517.76</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34.53</w:t>
            </w:r>
          </w:p>
        </w:tc>
        <w:tc>
          <w:tcPr>
            <w:tcW w:w="1420" w:type="dxa"/>
            <w:tcBorders/>
            <w:vAlign w:val="center"/>
          </w:tcPr>
          <w:p>
            <w:pPr>
              <w:jc w:val="right"/>
            </w:pPr>
            <w:r>
              <w:rPr>
                <w:rFonts w:ascii="宋体" w:eastAsia="宋体" w:hAnsi="宋体" w:cs="宋体"/>
                <w:b w:val="0"/>
                <w:i w:val="0"/>
                <w:color w:val="000000"/>
                <w:sz w:val="18"/>
              </w:rPr>
              <w:t xml:space="preserve">34.53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58.23</w:t>
            </w:r>
          </w:p>
        </w:tc>
        <w:tc>
          <w:tcPr>
            <w:tcW w:w="1420" w:type="dxa"/>
            <w:tcBorders/>
            <w:vAlign w:val="center"/>
          </w:tcPr>
          <w:p>
            <w:pPr>
              <w:jc w:val="right"/>
            </w:pPr>
            <w:r>
              <w:rPr>
                <w:rFonts w:ascii="宋体" w:eastAsia="宋体" w:hAnsi="宋体" w:cs="宋体"/>
                <w:b w:val="0"/>
                <w:i w:val="0"/>
                <w:color w:val="000000"/>
                <w:sz w:val="18"/>
              </w:rPr>
              <w:t xml:space="preserve">58.23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29.09</w:t>
            </w:r>
          </w:p>
        </w:tc>
        <w:tc>
          <w:tcPr>
            <w:tcW w:w="1420" w:type="dxa"/>
            <w:tcBorders/>
            <w:vAlign w:val="center"/>
          </w:tcPr>
          <w:p>
            <w:pPr>
              <w:jc w:val="right"/>
            </w:pPr>
            <w:r>
              <w:rPr>
                <w:rFonts w:ascii="宋体" w:eastAsia="宋体" w:hAnsi="宋体" w:cs="宋体"/>
                <w:b w:val="0"/>
                <w:i w:val="0"/>
                <w:color w:val="000000"/>
                <w:sz w:val="18"/>
              </w:rPr>
              <w:t xml:space="preserve">29.09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1,384.92</w:t>
            </w:r>
          </w:p>
        </w:tc>
        <w:tc>
          <w:tcPr>
            <w:tcW w:w="1420" w:type="dxa"/>
            <w:tcBorders/>
            <w:vAlign w:val="center"/>
          </w:tcPr>
          <w:p>
            <w:pPr>
              <w:jc w:val="right"/>
            </w:pPr>
            <w:r>
              <w:rPr>
                <w:rFonts w:ascii="宋体" w:eastAsia="宋体" w:hAnsi="宋体" w:cs="宋体"/>
                <w:b w:val="0"/>
                <w:i w:val="0"/>
                <w:color w:val="000000"/>
                <w:sz w:val="18"/>
              </w:rPr>
              <w:t xml:space="preserve">1,384.92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26.25</w:t>
            </w:r>
          </w:p>
        </w:tc>
        <w:tc>
          <w:tcPr>
            <w:tcW w:w="1420" w:type="dxa"/>
            <w:tcBorders/>
            <w:vAlign w:val="center"/>
          </w:tcPr>
          <w:p>
            <w:pPr>
              <w:jc w:val="right"/>
            </w:pPr>
            <w:r>
              <w:rPr>
                <w:rFonts w:ascii="宋体" w:eastAsia="宋体" w:hAnsi="宋体" w:cs="宋体"/>
                <w:b w:val="0"/>
                <w:i w:val="0"/>
                <w:color w:val="000000"/>
                <w:sz w:val="18"/>
              </w:rPr>
              <w:t xml:space="preserve">26.25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1,517.76</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1,533.01</w:t>
            </w:r>
          </w:p>
        </w:tc>
        <w:tc>
          <w:tcPr>
            <w:tcW w:w="1420" w:type="dxa"/>
            <w:tcBorders/>
            <w:vAlign w:val="center"/>
          </w:tcPr>
          <w:p>
            <w:pPr>
              <w:jc w:val="right"/>
            </w:pPr>
            <w:r>
              <w:rPr>
                <w:rFonts w:ascii="宋体" w:eastAsia="宋体" w:hAnsi="宋体" w:cs="宋体"/>
                <w:b w:val="0"/>
                <w:i w:val="0"/>
                <w:color w:val="000000"/>
                <w:sz w:val="18"/>
              </w:rPr>
              <w:t xml:space="preserve">1,533.01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15.26</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15.26</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1,533.01</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1,533.01</w:t>
            </w:r>
          </w:p>
        </w:tc>
        <w:tc>
          <w:tcPr>
            <w:tcW w:w="1420" w:type="dxa"/>
            <w:tcBorders/>
            <w:vAlign w:val="center"/>
          </w:tcPr>
          <w:p>
            <w:pPr>
              <w:jc w:val="right"/>
            </w:pPr>
            <w:r>
              <w:rPr>
                <w:rFonts w:ascii="宋体" w:eastAsia="宋体" w:hAnsi="宋体" w:cs="宋体"/>
                <w:b w:val="0"/>
                <w:i w:val="0"/>
                <w:color w:val="000000"/>
                <w:sz w:val="18"/>
              </w:rPr>
              <w:t xml:space="preserve">1,533.01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单位：许昌市生态环境综合行政执法支队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1,533.01</w:t>
            </w:r>
          </w:p>
        </w:tc>
        <w:tc>
          <w:tcPr>
            <w:tcW w:w="2700" w:type="dxa"/>
            <w:tcBorders/>
            <w:vAlign w:val="center"/>
          </w:tcPr>
          <w:p>
            <w:pPr>
              <w:jc w:val="right"/>
            </w:pPr>
            <w:r>
              <w:rPr>
                <w:rFonts w:ascii="宋体" w:eastAsia="宋体" w:hAnsi="宋体" w:cs="宋体"/>
                <w:b/>
                <w:i w:val="0"/>
                <w:color w:val="000000"/>
                <w:sz w:val="25"/>
              </w:rPr>
              <w:t xml:space="preserve">601.13</w:t>
            </w:r>
          </w:p>
        </w:tc>
        <w:tc>
          <w:tcPr>
            <w:tcW w:w="2658" w:type="dxa"/>
            <w:tcBorders/>
            <w:vAlign w:val="center"/>
          </w:tcPr>
          <w:p>
            <w:pPr>
              <w:jc w:val="right"/>
            </w:pPr>
            <w:r>
              <w:rPr>
                <w:rFonts w:ascii="宋体" w:eastAsia="宋体" w:hAnsi="宋体" w:cs="宋体"/>
                <w:b/>
                <w:i w:val="0"/>
                <w:color w:val="000000"/>
                <w:sz w:val="25"/>
              </w:rPr>
              <w:t xml:space="preserve">931.88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34.53</w:t>
            </w:r>
          </w:p>
        </w:tc>
        <w:tc>
          <w:tcPr>
            <w:tcW w:w="2700" w:type="dxa"/>
            <w:tcBorders/>
            <w:vAlign w:val="center"/>
          </w:tcPr>
          <w:p>
            <w:pPr>
              <w:jc w:val="right"/>
            </w:pPr>
            <w:r>
              <w:rPr>
                <w:rFonts w:ascii="宋体" w:eastAsia="宋体" w:hAnsi="宋体" w:cs="宋体"/>
                <w:b w:val="0"/>
                <w:i w:val="0"/>
                <w:color w:val="000000"/>
                <w:sz w:val="25"/>
              </w:rPr>
              <w:t xml:space="preserve">34.53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人大事务</w:t>
            </w:r>
          </w:p>
        </w:tc>
        <w:tc>
          <w:tcPr>
            <w:tcW w:w="2700" w:type="dxa"/>
            <w:tcBorders/>
            <w:vAlign w:val="center"/>
          </w:tcPr>
          <w:p>
            <w:pPr>
              <w:jc w:val="right"/>
            </w:pPr>
            <w:r>
              <w:rPr>
                <w:rFonts w:ascii="宋体" w:eastAsia="宋体" w:hAnsi="宋体" w:cs="宋体"/>
                <w:b w:val="0"/>
                <w:i w:val="0"/>
                <w:color w:val="000000"/>
                <w:sz w:val="25"/>
              </w:rPr>
              <w:t xml:space="preserve">11.73</w:t>
            </w:r>
          </w:p>
        </w:tc>
        <w:tc>
          <w:tcPr>
            <w:tcW w:w="2700" w:type="dxa"/>
            <w:tcBorders/>
            <w:vAlign w:val="center"/>
          </w:tcPr>
          <w:p>
            <w:pPr>
              <w:jc w:val="right"/>
            </w:pPr>
            <w:r>
              <w:rPr>
                <w:rFonts w:ascii="宋体" w:eastAsia="宋体" w:hAnsi="宋体" w:cs="宋体"/>
                <w:b w:val="0"/>
                <w:i w:val="0"/>
                <w:color w:val="000000"/>
                <w:sz w:val="25"/>
              </w:rPr>
              <w:t xml:space="preserve">11.73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11.73</w:t>
            </w:r>
          </w:p>
        </w:tc>
        <w:tc>
          <w:tcPr>
            <w:tcW w:w="2700" w:type="dxa"/>
            <w:tcBorders/>
            <w:vAlign w:val="center"/>
          </w:tcPr>
          <w:p>
            <w:pPr>
              <w:jc w:val="right"/>
            </w:pPr>
            <w:r>
              <w:rPr>
                <w:rFonts w:ascii="宋体" w:eastAsia="宋体" w:hAnsi="宋体" w:cs="宋体"/>
                <w:b w:val="0"/>
                <w:i w:val="0"/>
                <w:color w:val="000000"/>
                <w:sz w:val="25"/>
              </w:rPr>
              <w:t xml:space="preserve">11.73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2.26</w:t>
            </w:r>
          </w:p>
        </w:tc>
        <w:tc>
          <w:tcPr>
            <w:tcW w:w="2700" w:type="dxa"/>
            <w:tcBorders/>
            <w:vAlign w:val="center"/>
          </w:tcPr>
          <w:p>
            <w:pPr>
              <w:jc w:val="right"/>
            </w:pPr>
            <w:r>
              <w:rPr>
                <w:rFonts w:ascii="宋体" w:eastAsia="宋体" w:hAnsi="宋体" w:cs="宋体"/>
                <w:b w:val="0"/>
                <w:i w:val="0"/>
                <w:color w:val="000000"/>
                <w:sz w:val="25"/>
              </w:rPr>
              <w:t xml:space="preserve">2.26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2.26</w:t>
            </w:r>
          </w:p>
        </w:tc>
        <w:tc>
          <w:tcPr>
            <w:tcW w:w="2700" w:type="dxa"/>
            <w:tcBorders/>
            <w:vAlign w:val="center"/>
          </w:tcPr>
          <w:p>
            <w:pPr>
              <w:jc w:val="right"/>
            </w:pPr>
            <w:r>
              <w:rPr>
                <w:rFonts w:ascii="宋体" w:eastAsia="宋体" w:hAnsi="宋体" w:cs="宋体"/>
                <w:b w:val="0"/>
                <w:i w:val="0"/>
                <w:color w:val="000000"/>
                <w:sz w:val="25"/>
              </w:rPr>
              <w:t xml:space="preserve">2.26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20.55</w:t>
            </w:r>
          </w:p>
        </w:tc>
        <w:tc>
          <w:tcPr>
            <w:tcW w:w="2700" w:type="dxa"/>
            <w:tcBorders/>
            <w:vAlign w:val="center"/>
          </w:tcPr>
          <w:p>
            <w:pPr>
              <w:jc w:val="right"/>
            </w:pPr>
            <w:r>
              <w:rPr>
                <w:rFonts w:ascii="宋体" w:eastAsia="宋体" w:hAnsi="宋体" w:cs="宋体"/>
                <w:b w:val="0"/>
                <w:i w:val="0"/>
                <w:color w:val="000000"/>
                <w:sz w:val="25"/>
              </w:rPr>
              <w:t xml:space="preserve">20.55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20.55</w:t>
            </w:r>
          </w:p>
        </w:tc>
        <w:tc>
          <w:tcPr>
            <w:tcW w:w="2700" w:type="dxa"/>
            <w:tcBorders/>
            <w:vAlign w:val="center"/>
          </w:tcPr>
          <w:p>
            <w:pPr>
              <w:jc w:val="right"/>
            </w:pPr>
            <w:r>
              <w:rPr>
                <w:rFonts w:ascii="宋体" w:eastAsia="宋体" w:hAnsi="宋体" w:cs="宋体"/>
                <w:b w:val="0"/>
                <w:i w:val="0"/>
                <w:color w:val="000000"/>
                <w:sz w:val="25"/>
              </w:rPr>
              <w:t xml:space="preserve">20.55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58.23</w:t>
            </w:r>
          </w:p>
        </w:tc>
        <w:tc>
          <w:tcPr>
            <w:tcW w:w="2700" w:type="dxa"/>
            <w:tcBorders/>
            <w:vAlign w:val="center"/>
          </w:tcPr>
          <w:p>
            <w:pPr>
              <w:jc w:val="right"/>
            </w:pPr>
            <w:r>
              <w:rPr>
                <w:rFonts w:ascii="宋体" w:eastAsia="宋体" w:hAnsi="宋体" w:cs="宋体"/>
                <w:b w:val="0"/>
                <w:i w:val="0"/>
                <w:color w:val="000000"/>
                <w:sz w:val="25"/>
              </w:rPr>
              <w:t xml:space="preserve">58.23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58.23</w:t>
            </w:r>
          </w:p>
        </w:tc>
        <w:tc>
          <w:tcPr>
            <w:tcW w:w="2700" w:type="dxa"/>
            <w:tcBorders/>
            <w:vAlign w:val="center"/>
          </w:tcPr>
          <w:p>
            <w:pPr>
              <w:jc w:val="right"/>
            </w:pPr>
            <w:r>
              <w:rPr>
                <w:rFonts w:ascii="宋体" w:eastAsia="宋体" w:hAnsi="宋体" w:cs="宋体"/>
                <w:b w:val="0"/>
                <w:i w:val="0"/>
                <w:color w:val="000000"/>
                <w:sz w:val="25"/>
              </w:rPr>
              <w:t xml:space="preserve">58.23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32.38</w:t>
            </w:r>
          </w:p>
        </w:tc>
        <w:tc>
          <w:tcPr>
            <w:tcW w:w="2700" w:type="dxa"/>
            <w:tcBorders/>
            <w:vAlign w:val="center"/>
          </w:tcPr>
          <w:p>
            <w:pPr>
              <w:jc w:val="right"/>
            </w:pPr>
            <w:r>
              <w:rPr>
                <w:rFonts w:ascii="宋体" w:eastAsia="宋体" w:hAnsi="宋体" w:cs="宋体"/>
                <w:b w:val="0"/>
                <w:i w:val="0"/>
                <w:color w:val="000000"/>
                <w:sz w:val="25"/>
              </w:rPr>
              <w:t xml:space="preserve">32.38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25.85</w:t>
            </w:r>
          </w:p>
        </w:tc>
        <w:tc>
          <w:tcPr>
            <w:tcW w:w="2700" w:type="dxa"/>
            <w:tcBorders/>
            <w:vAlign w:val="center"/>
          </w:tcPr>
          <w:p>
            <w:pPr>
              <w:jc w:val="right"/>
            </w:pPr>
            <w:r>
              <w:rPr>
                <w:rFonts w:ascii="宋体" w:eastAsia="宋体" w:hAnsi="宋体" w:cs="宋体"/>
                <w:b w:val="0"/>
                <w:i w:val="0"/>
                <w:color w:val="000000"/>
                <w:sz w:val="25"/>
              </w:rPr>
              <w:t xml:space="preserve">25.85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29.09</w:t>
            </w:r>
          </w:p>
        </w:tc>
        <w:tc>
          <w:tcPr>
            <w:tcW w:w="2700" w:type="dxa"/>
            <w:tcBorders/>
            <w:vAlign w:val="center"/>
          </w:tcPr>
          <w:p>
            <w:pPr>
              <w:jc w:val="right"/>
            </w:pPr>
            <w:r>
              <w:rPr>
                <w:rFonts w:ascii="宋体" w:eastAsia="宋体" w:hAnsi="宋体" w:cs="宋体"/>
                <w:b w:val="0"/>
                <w:i w:val="0"/>
                <w:color w:val="000000"/>
                <w:sz w:val="25"/>
              </w:rPr>
              <w:t xml:space="preserve">29.09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29.09</w:t>
            </w:r>
          </w:p>
        </w:tc>
        <w:tc>
          <w:tcPr>
            <w:tcW w:w="2700" w:type="dxa"/>
            <w:tcBorders/>
            <w:vAlign w:val="center"/>
          </w:tcPr>
          <w:p>
            <w:pPr>
              <w:jc w:val="right"/>
            </w:pPr>
            <w:r>
              <w:rPr>
                <w:rFonts w:ascii="宋体" w:eastAsia="宋体" w:hAnsi="宋体" w:cs="宋体"/>
                <w:b w:val="0"/>
                <w:i w:val="0"/>
                <w:color w:val="000000"/>
                <w:sz w:val="25"/>
              </w:rPr>
              <w:t xml:space="preserve">29.09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13.78</w:t>
            </w:r>
          </w:p>
        </w:tc>
        <w:tc>
          <w:tcPr>
            <w:tcW w:w="2700" w:type="dxa"/>
            <w:tcBorders/>
            <w:vAlign w:val="center"/>
          </w:tcPr>
          <w:p>
            <w:pPr>
              <w:jc w:val="right"/>
            </w:pPr>
            <w:r>
              <w:rPr>
                <w:rFonts w:ascii="宋体" w:eastAsia="宋体" w:hAnsi="宋体" w:cs="宋体"/>
                <w:b w:val="0"/>
                <w:i w:val="0"/>
                <w:color w:val="000000"/>
                <w:sz w:val="25"/>
              </w:rPr>
              <w:t xml:space="preserve">13.78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15.31</w:t>
            </w:r>
          </w:p>
        </w:tc>
        <w:tc>
          <w:tcPr>
            <w:tcW w:w="2700" w:type="dxa"/>
            <w:tcBorders/>
            <w:vAlign w:val="center"/>
          </w:tcPr>
          <w:p>
            <w:pPr>
              <w:jc w:val="right"/>
            </w:pPr>
            <w:r>
              <w:rPr>
                <w:rFonts w:ascii="宋体" w:eastAsia="宋体" w:hAnsi="宋体" w:cs="宋体"/>
                <w:b w:val="0"/>
                <w:i w:val="0"/>
                <w:color w:val="000000"/>
                <w:sz w:val="25"/>
              </w:rPr>
              <w:t xml:space="preserve">15.31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节能环保支出</w:t>
            </w:r>
          </w:p>
        </w:tc>
        <w:tc>
          <w:tcPr>
            <w:tcW w:w="2700" w:type="dxa"/>
            <w:tcBorders/>
            <w:vAlign w:val="center"/>
          </w:tcPr>
          <w:p>
            <w:pPr>
              <w:jc w:val="right"/>
            </w:pPr>
            <w:r>
              <w:rPr>
                <w:rFonts w:ascii="宋体" w:eastAsia="宋体" w:hAnsi="宋体" w:cs="宋体"/>
                <w:b w:val="0"/>
                <w:i w:val="0"/>
                <w:color w:val="000000"/>
                <w:sz w:val="25"/>
              </w:rPr>
              <w:t xml:space="preserve">1,384.92</w:t>
            </w:r>
          </w:p>
        </w:tc>
        <w:tc>
          <w:tcPr>
            <w:tcW w:w="2700" w:type="dxa"/>
            <w:tcBorders/>
            <w:vAlign w:val="center"/>
          </w:tcPr>
          <w:p>
            <w:pPr>
              <w:jc w:val="right"/>
            </w:pPr>
            <w:r>
              <w:rPr>
                <w:rFonts w:ascii="宋体" w:eastAsia="宋体" w:hAnsi="宋体" w:cs="宋体"/>
                <w:b w:val="0"/>
                <w:i w:val="0"/>
                <w:color w:val="000000"/>
                <w:sz w:val="25"/>
              </w:rPr>
              <w:t xml:space="preserve">453.03</w:t>
            </w:r>
          </w:p>
        </w:tc>
        <w:tc>
          <w:tcPr>
            <w:tcW w:w="2658" w:type="dxa"/>
            <w:tcBorders/>
            <w:vAlign w:val="center"/>
          </w:tcPr>
          <w:p>
            <w:pPr>
              <w:jc w:val="right"/>
            </w:pPr>
            <w:r>
              <w:rPr>
                <w:rFonts w:ascii="宋体" w:eastAsia="宋体" w:hAnsi="宋体" w:cs="宋体"/>
                <w:b w:val="0"/>
                <w:i w:val="0"/>
                <w:color w:val="000000"/>
                <w:sz w:val="25"/>
              </w:rPr>
              <w:t xml:space="preserve">931.88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环境保护管理事务</w:t>
            </w:r>
          </w:p>
        </w:tc>
        <w:tc>
          <w:tcPr>
            <w:tcW w:w="2700" w:type="dxa"/>
            <w:tcBorders/>
            <w:vAlign w:val="center"/>
          </w:tcPr>
          <w:p>
            <w:pPr>
              <w:jc w:val="right"/>
            </w:pPr>
            <w:r>
              <w:rPr>
                <w:rFonts w:ascii="宋体" w:eastAsia="宋体" w:hAnsi="宋体" w:cs="宋体"/>
                <w:b w:val="0"/>
                <w:i w:val="0"/>
                <w:color w:val="000000"/>
                <w:sz w:val="25"/>
              </w:rPr>
              <w:t xml:space="preserve">453.03</w:t>
            </w:r>
          </w:p>
        </w:tc>
        <w:tc>
          <w:tcPr>
            <w:tcW w:w="2700" w:type="dxa"/>
            <w:tcBorders/>
            <w:vAlign w:val="center"/>
          </w:tcPr>
          <w:p>
            <w:pPr>
              <w:jc w:val="right"/>
            </w:pPr>
            <w:r>
              <w:rPr>
                <w:rFonts w:ascii="宋体" w:eastAsia="宋体" w:hAnsi="宋体" w:cs="宋体"/>
                <w:b w:val="0"/>
                <w:i w:val="0"/>
                <w:color w:val="000000"/>
                <w:sz w:val="25"/>
              </w:rPr>
              <w:t xml:space="preserve">453.03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2110101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24.11</w:t>
            </w:r>
          </w:p>
        </w:tc>
        <w:tc>
          <w:tcPr>
            <w:tcW w:w="2700" w:type="dxa"/>
            <w:tcBorders/>
            <w:vAlign w:val="center"/>
          </w:tcPr>
          <w:p>
            <w:pPr>
              <w:jc w:val="right"/>
            </w:pPr>
            <w:r>
              <w:rPr>
                <w:rFonts w:ascii="宋体" w:eastAsia="宋体" w:hAnsi="宋体" w:cs="宋体"/>
                <w:b w:val="0"/>
                <w:i w:val="0"/>
                <w:color w:val="000000"/>
                <w:sz w:val="25"/>
              </w:rPr>
              <w:t xml:space="preserve">24.11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2110102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428.92</w:t>
            </w:r>
          </w:p>
        </w:tc>
        <w:tc>
          <w:tcPr>
            <w:tcW w:w="2700" w:type="dxa"/>
            <w:tcBorders/>
            <w:vAlign w:val="center"/>
          </w:tcPr>
          <w:p>
            <w:pPr>
              <w:jc w:val="right"/>
            </w:pPr>
            <w:r>
              <w:rPr>
                <w:rFonts w:ascii="宋体" w:eastAsia="宋体" w:hAnsi="宋体" w:cs="宋体"/>
                <w:b w:val="0"/>
                <w:i w:val="0"/>
                <w:color w:val="000000"/>
                <w:sz w:val="25"/>
              </w:rPr>
              <w:t xml:space="preserve">428.92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污染防治</w:t>
            </w:r>
          </w:p>
        </w:tc>
        <w:tc>
          <w:tcPr>
            <w:tcW w:w="2700" w:type="dxa"/>
            <w:tcBorders/>
            <w:vAlign w:val="center"/>
          </w:tcPr>
          <w:p>
            <w:pPr>
              <w:jc w:val="right"/>
            </w:pPr>
            <w:r>
              <w:rPr>
                <w:rFonts w:ascii="宋体" w:eastAsia="宋体" w:hAnsi="宋体" w:cs="宋体"/>
                <w:b w:val="0"/>
                <w:i w:val="0"/>
                <w:color w:val="000000"/>
                <w:sz w:val="25"/>
              </w:rPr>
              <w:t xml:space="preserve">931.88</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931.88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2110301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大气</w:t>
            </w:r>
          </w:p>
        </w:tc>
        <w:tc>
          <w:tcPr>
            <w:tcW w:w="2700" w:type="dxa"/>
            <w:tcBorders/>
            <w:vAlign w:val="center"/>
          </w:tcPr>
          <w:p>
            <w:pPr>
              <w:jc w:val="right"/>
            </w:pPr>
            <w:r>
              <w:rPr>
                <w:rFonts w:ascii="宋体" w:eastAsia="宋体" w:hAnsi="宋体" w:cs="宋体"/>
                <w:b w:val="0"/>
                <w:i w:val="0"/>
                <w:color w:val="000000"/>
                <w:sz w:val="25"/>
              </w:rPr>
              <w:t xml:space="preserve">792.86</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792.86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2110302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水体</w:t>
            </w:r>
          </w:p>
        </w:tc>
        <w:tc>
          <w:tcPr>
            <w:tcW w:w="2700" w:type="dxa"/>
            <w:tcBorders/>
            <w:vAlign w:val="center"/>
          </w:tcPr>
          <w:p>
            <w:pPr>
              <w:jc w:val="right"/>
            </w:pPr>
            <w:r>
              <w:rPr>
                <w:rFonts w:ascii="宋体" w:eastAsia="宋体" w:hAnsi="宋体" w:cs="宋体"/>
                <w:b w:val="0"/>
                <w:i w:val="0"/>
                <w:color w:val="000000"/>
                <w:sz w:val="25"/>
              </w:rPr>
              <w:t xml:space="preserve">14.91</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14.91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2110399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其他污染防治支出</w:t>
            </w:r>
          </w:p>
        </w:tc>
        <w:tc>
          <w:tcPr>
            <w:tcW w:w="2700" w:type="dxa"/>
            <w:tcBorders/>
            <w:vAlign w:val="center"/>
          </w:tcPr>
          <w:p>
            <w:pPr>
              <w:jc w:val="right"/>
            </w:pPr>
            <w:r>
              <w:rPr>
                <w:rFonts w:ascii="宋体" w:eastAsia="宋体" w:hAnsi="宋体" w:cs="宋体"/>
                <w:b w:val="0"/>
                <w:i w:val="0"/>
                <w:color w:val="000000"/>
                <w:sz w:val="25"/>
              </w:rPr>
              <w:t xml:space="preserve">124.11</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124.11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26.25</w:t>
            </w:r>
          </w:p>
        </w:tc>
        <w:tc>
          <w:tcPr>
            <w:tcW w:w="2700" w:type="dxa"/>
            <w:tcBorders/>
            <w:vAlign w:val="center"/>
          </w:tcPr>
          <w:p>
            <w:pPr>
              <w:jc w:val="right"/>
            </w:pPr>
            <w:r>
              <w:rPr>
                <w:rFonts w:ascii="宋体" w:eastAsia="宋体" w:hAnsi="宋体" w:cs="宋体"/>
                <w:b w:val="0"/>
                <w:i w:val="0"/>
                <w:color w:val="000000"/>
                <w:sz w:val="25"/>
              </w:rPr>
              <w:t xml:space="preserve">26.25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26.25</w:t>
            </w:r>
          </w:p>
        </w:tc>
        <w:tc>
          <w:tcPr>
            <w:tcW w:w="2700" w:type="dxa"/>
            <w:tcBorders/>
            <w:vAlign w:val="center"/>
          </w:tcPr>
          <w:p>
            <w:pPr>
              <w:jc w:val="right"/>
            </w:pPr>
            <w:r>
              <w:rPr>
                <w:rFonts w:ascii="宋体" w:eastAsia="宋体" w:hAnsi="宋体" w:cs="宋体"/>
                <w:b w:val="0"/>
                <w:i w:val="0"/>
                <w:color w:val="000000"/>
                <w:sz w:val="25"/>
              </w:rPr>
              <w:t xml:space="preserve">26.25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26.25</w:t>
            </w:r>
          </w:p>
        </w:tc>
        <w:tc>
          <w:tcPr>
            <w:tcW w:w="2700" w:type="dxa"/>
            <w:tcBorders/>
            <w:vAlign w:val="center"/>
          </w:tcPr>
          <w:p>
            <w:pPr>
              <w:jc w:val="right"/>
            </w:pPr>
            <w:r>
              <w:rPr>
                <w:rFonts w:ascii="宋体" w:eastAsia="宋体" w:hAnsi="宋体" w:cs="宋体"/>
                <w:b w:val="0"/>
                <w:i w:val="0"/>
                <w:color w:val="000000"/>
                <w:sz w:val="25"/>
              </w:rPr>
              <w:t xml:space="preserve">26.25</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单位：许昌市生态环境综合行政执法支队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498.68</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68.92</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113.91</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8.75</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113.60</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1.77</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183.01</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0.25</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0.25</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25.85</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0.65</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13.84</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15.31</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0.17</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7.37</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26.25</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0.38</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6.75</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33.28</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0.88</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32.38</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0.91</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10.59</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2.20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2.26</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3.28</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8.91</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21.10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0.80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531.96</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69.17</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单位：许昌市生态环境综合行政执法支队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单位：许昌市生态环境综合行政执法支队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单位：许昌市生态环境综合行政执法支队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10.78</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10.78</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10.78</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10.78</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10.78</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10.78</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1533.08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增加583.73万元，增长61.49%</w:t>
      </w:r>
      <w:r>
        <w:rPr>
          <w:rFonts w:ascii="仿宋" w:eastAsia="仿宋" w:hAnsi="仿宋" w:cs="仿宋" w:hint="eastAsia"/>
          <w:kern w:val="0"/>
          <w:sz w:val="32"/>
          <w:szCs w:val="32"/>
          <w:lang w:val="en-US" w:eastAsia="zh-CN"/>
        </w:rPr>
        <w:t xml:space="preserve">。主要原因是上年结转项目支出和项目尾款支出。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1517.82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财政拨款收入1517.76万元，占100.00%；上级补助收入0.00万元，占0.00%；事业收入0.00万元，占0.00%；经营收入0.00万元，占0.00%；附属单位上缴收入0.00万元，占0.00%；其他收入0.07万元，占0.00%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1533.02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基本支出601.13万元，占39.21%；项目支出931.88万元，占60.79%；上缴上级支出0.00万元，占0.00%；经营支出0.00万元，占0.00%；对附属单位补助支出0.00万元，占0.00%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1533.01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增加583.66万元，增长61.48%</w:t>
      </w:r>
      <w:r>
        <w:rPr>
          <w:rFonts w:ascii="仿宋" w:eastAsia="仿宋" w:hAnsi="仿宋" w:cs="仿宋" w:hint="eastAsia"/>
          <w:kern w:val="0"/>
          <w:sz w:val="32"/>
          <w:szCs w:val="32"/>
          <w:lang w:val="en-US" w:eastAsia="zh-CN"/>
        </w:rPr>
        <w:t xml:space="preserve">。主要原因是上年结转项目支出和项目尾款支出。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1533.01</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增加583.66万元，增长61.48%</w:t>
      </w:r>
      <w:r>
        <w:rPr>
          <w:rFonts w:ascii="仿宋" w:eastAsia="仿宋" w:hAnsi="仿宋" w:cs="仿宋" w:hint="eastAsia"/>
          <w:kern w:val="0"/>
          <w:sz w:val="32"/>
          <w:szCs w:val="32"/>
          <w:lang w:val="en-US" w:eastAsia="zh-CN"/>
        </w:rPr>
        <w:t xml:space="preserve">。主要原因是上年结转项目支出和项目尾款支出。</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1533.01</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一般公共服务支出（类）34.53万元，占2.25%；社会保障和就业支出（类）58.23万元，占3.80%；卫生健康支出（类）29.09万元，占1.90%；节能环保支出（类）1384.92万元，占90.34%；住房保障支出（类）26.25万元，占1.71%</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537.02</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1533.01</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285.47</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1.一般公共服务支出（类）人大事务（款）行政运行（项）</w:t>
      </w:r>
      <w:r>
        <w:rPr>
          <w:rFonts w:ascii="仿宋" w:eastAsia="仿宋" w:hAnsi="仿宋" w:cs="仿宋" w:hint="default"/>
          <w:kern w:val="2"/>
          <w:sz w:val="32"/>
          <w:szCs w:val="32"/>
          <w:lang w:val="en-US" w:eastAsia="zh-CN"/>
        </w:rPr>
        <w:t xml:space="preserve">年初预算数为0.00万元，决算数11.73万元,决算数与年初预算数存在差异的主要原因是本年度追加有2022年度人员未休假补贴支出。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2.一般公共服务支出（类）群众团体事务（款）工会事务（项）</w:t>
      </w:r>
      <w:r>
        <w:rPr>
          <w:rFonts w:ascii="仿宋" w:eastAsia="仿宋" w:hAnsi="仿宋" w:cs="仿宋" w:hint="default"/>
          <w:kern w:val="2"/>
          <w:sz w:val="32"/>
          <w:szCs w:val="32"/>
          <w:lang w:val="en-US" w:eastAsia="zh-CN"/>
        </w:rPr>
        <w:t xml:space="preserve">年初预算数为2.26万元，决算数2.26万元,完成年初预算的100.00%，决算数与年初预算数不存在差异。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年初预算数为0.00万元，决算数20.55万元,决算数与年初预算数存在差异的主要原因是本年度追加有2021年度人员平安建设奖金支出。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4.社会保障和就业支出（类）行政事业单位养老支出（款）行政单位离退休（项）</w:t>
      </w:r>
      <w:r>
        <w:rPr>
          <w:rFonts w:ascii="仿宋" w:eastAsia="仿宋" w:hAnsi="仿宋" w:cs="仿宋" w:hint="default"/>
          <w:kern w:val="2"/>
          <w:sz w:val="32"/>
          <w:szCs w:val="32"/>
          <w:lang w:val="en-US" w:eastAsia="zh-CN"/>
        </w:rPr>
        <w:t xml:space="preserve">年初预算数为25.53万元，决算数32.38万元,完成年初预算的126.83%，决算数与年初预算数存在差异的主要原因是本年度追加有退休人员6-12月基础绩效奖支出。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年初预算数为25.85万元，决算数25.85万元,完成年初预算的100.00%，决算数与年初预算数不存在差异。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6.卫生健康支出（类）行政事业单位医疗（款）行政单位医疗（项）</w:t>
      </w:r>
      <w:r>
        <w:rPr>
          <w:rFonts w:ascii="仿宋" w:eastAsia="仿宋" w:hAnsi="仿宋" w:cs="仿宋" w:hint="default"/>
          <w:kern w:val="2"/>
          <w:sz w:val="32"/>
          <w:szCs w:val="32"/>
          <w:lang w:val="en-US" w:eastAsia="zh-CN"/>
        </w:rPr>
        <w:t xml:space="preserve">年初预算数为13.78万元，决算数13.78万元,完成年初预算的100.00%，决算数与年初预算数不存在差异。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7.卫生健康支出（类）行政事业单位医疗（款）公务员医疗补助（项）</w:t>
      </w:r>
      <w:r>
        <w:rPr>
          <w:rFonts w:ascii="仿宋" w:eastAsia="仿宋" w:hAnsi="仿宋" w:cs="仿宋" w:hint="default"/>
          <w:kern w:val="2"/>
          <w:sz w:val="32"/>
          <w:szCs w:val="32"/>
          <w:lang w:val="en-US" w:eastAsia="zh-CN"/>
        </w:rPr>
        <w:t xml:space="preserve">年初预算数为15.31万元，决算数15.31万元,完成年初预算的100.00%，决算数与年初预算数不存在差异。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8.节能环保支出（类）环境保护管理事务（款）行政运行（项）</w:t>
      </w:r>
      <w:r>
        <w:rPr>
          <w:rFonts w:ascii="仿宋" w:eastAsia="仿宋" w:hAnsi="仿宋" w:cs="仿宋" w:hint="default"/>
          <w:kern w:val="2"/>
          <w:sz w:val="32"/>
          <w:szCs w:val="32"/>
          <w:lang w:val="en-US" w:eastAsia="zh-CN"/>
        </w:rPr>
        <w:t xml:space="preserve">年初预算数为0.00万元，决算数24.11万元,决算数与年初预算数存在差异的主要原因是本年度追加有2021年度人员未休假补贴和2022年度优秀公务员奖励等支出。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9.节能环保支出（类）环境保护管理事务（款）一般行政管理事务（项）</w:t>
      </w:r>
      <w:r>
        <w:rPr>
          <w:rFonts w:ascii="仿宋" w:eastAsia="仿宋" w:hAnsi="仿宋" w:cs="仿宋" w:hint="default"/>
          <w:kern w:val="2"/>
          <w:sz w:val="32"/>
          <w:szCs w:val="32"/>
          <w:lang w:val="en-US" w:eastAsia="zh-CN"/>
        </w:rPr>
        <w:t xml:space="preserve">年初预算数为428.04万元，决算数428.92万元,完成年初预算的100.21%，决算数与年初预算数存在差异的主要原因是本年度追加有人员经费支出。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10.节能环保支出（类）污染防治（款）大气（项）</w:t>
      </w:r>
      <w:r>
        <w:rPr>
          <w:rFonts w:ascii="仿宋" w:eastAsia="仿宋" w:hAnsi="仿宋" w:cs="仿宋" w:hint="default"/>
          <w:kern w:val="2"/>
          <w:sz w:val="32"/>
          <w:szCs w:val="32"/>
          <w:lang w:val="en-US" w:eastAsia="zh-CN"/>
        </w:rPr>
        <w:t xml:space="preserve">年初预算数为0.00万元，决算数792.86万元,决算数与年初预算数存在差异的主要原因是本年度追加有大气项目尾款、大气设备购置等项目支出。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11.节能环保支出（类）污染防治（款）水体（项）</w:t>
      </w:r>
      <w:r>
        <w:rPr>
          <w:rFonts w:ascii="仿宋" w:eastAsia="仿宋" w:hAnsi="仿宋" w:cs="仿宋" w:hint="default"/>
          <w:kern w:val="2"/>
          <w:sz w:val="32"/>
          <w:szCs w:val="32"/>
          <w:lang w:val="en-US" w:eastAsia="zh-CN"/>
        </w:rPr>
        <w:t xml:space="preserve">年初预算数为0.00万元，决算数14.91万元,决算数与年初预算数存在差异的主要原因是本年度追加有水执法建设项目尾款支出。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12.节能环保支出（类）污染防治（款）其他污染防治支出（项）</w:t>
      </w:r>
      <w:r>
        <w:rPr>
          <w:rFonts w:ascii="仿宋" w:eastAsia="仿宋" w:hAnsi="仿宋" w:cs="仿宋" w:hint="default"/>
          <w:kern w:val="2"/>
          <w:sz w:val="32"/>
          <w:szCs w:val="32"/>
          <w:lang w:val="en-US" w:eastAsia="zh-CN"/>
        </w:rPr>
        <w:t xml:space="preserve">年初预算数为0.00万元，决算数124.11万元,决算数与年初预算数存在差异的主要原因是本年度追加有项目尾款和质保金支出。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13.住房保障支出（类）住房改革支出（款）住房公积金（项）</w:t>
      </w:r>
      <w:r>
        <w:rPr>
          <w:rFonts w:ascii="仿宋" w:eastAsia="仿宋" w:hAnsi="仿宋" w:cs="仿宋" w:hint="default"/>
          <w:kern w:val="2"/>
          <w:sz w:val="32"/>
          <w:szCs w:val="32"/>
          <w:lang w:val="en-US" w:eastAsia="zh-CN"/>
        </w:rPr>
        <w:t xml:space="preserve">年初预算数为26.25万元，决算数26.25万元,完成年初预算的100.00%，决算数与年初预算数不存在差异。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601.13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其中：人员经费531.96万元，主要包括：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公用经费69.17万元，主要包括：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10.78</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10.78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10.78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10.78</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10.78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10.78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主要用于支付燃油费、保险费、修理费。</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4</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2023年度机关运行经费支出69.17万元，</w:t>
      </w:r>
      <w:r>
        <w:rPr>
          <w:rFonts w:ascii="仿宋" w:eastAsia="仿宋" w:hAnsi="仿宋" w:cs="仿宋" w:hint="eastAsia"/>
          <w:kern w:val="0"/>
          <w:sz w:val="32"/>
          <w:szCs w:val="32"/>
          <w:lang w:val="en-US" w:eastAsia="zh-CN"/>
        </w:rPr>
        <w:t xml:space="preserve">较2022年度增长9.62万元，</w:t>
      </w:r>
      <w:r>
        <w:rPr>
          <w:rFonts w:ascii="仿宋" w:eastAsia="仿宋" w:hAnsi="仿宋" w:cs="仿宋" w:hint="eastAsia"/>
          <w:kern w:val="0"/>
          <w:sz w:val="32"/>
          <w:szCs w:val="32"/>
          <w:lang w:val="en-US" w:eastAsia="zh-CN"/>
        </w:rPr>
        <w:t xml:space="preserve">增长16.15%，</w:t>
      </w:r>
      <w:r>
        <w:rPr>
          <w:rFonts w:ascii="仿宋" w:eastAsia="仿宋" w:hAnsi="仿宋" w:cs="仿宋" w:hint="eastAsia"/>
          <w:kern w:val="0"/>
          <w:sz w:val="32"/>
          <w:szCs w:val="32"/>
          <w:lang w:val="en-US" w:eastAsia="zh-CN"/>
        </w:rPr>
        <w:t xml:space="preserve">主要原因是工作任务增多，差旅费增加，人员参加培训，教育费用增加。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841.57</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841.57</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4</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4</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2030.43</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95.5</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我单位2023年顺利完成年度目标，单位整体绩效自评得分95.5分</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bookmarkStart w:id="0" w:name="_GoBack"/>
      <w:bookmarkEnd w:id="0"/>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基于项目预期目标的实现程度，我单位对2023年度单位预算项目支出（含单位参与分配的转移支付项目）开展绩效自评，涉及项目1个，项目金额600万元。其中：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许昌市生态环境综合行政执法支队多因子走航监测车购置及环境执法能力建设项目，自评得分为99.3分，等级为“优”。本项目自评结果较好、预算执行96.5%，已签订合同并组织验收投入使用。下一步将继续加大使用频次，提高环境精细化管控能力，促进许昌市空气质量提升。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基于项目预期目标的实现程度，对2023年度项目支出绩效进行自评，绩效自评得分为99.3分。其中：1个项目评价等级为“优”。下一步我们将严格执行预算，加快项目进度，保质保量完成任务。</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p>
      <w:pPr>
        <w:pStyle w:val="Normal_c0db61fd-38f0-4c1d-a61c-a40ab317a7ef"/>
        <w:keepNext w:val="0"/>
        <w:keepLines w:val="0"/>
        <w:widowControl/>
        <w:suppressLineNumbers w:val="0"/>
        <w:jc w:val="left"/>
        <w:textAlignment w:val="bottom"/>
        <w:rPr>
          <w:rFonts w:ascii="黑体" w:eastAsia="黑体" w:hAnsi="宋体" w:cs="黑体"/>
          <w:i w:val="0"/>
          <w:iCs w:val="0"/>
          <w:color w:val="000000"/>
          <w:sz w:val="22"/>
          <w:szCs w:val="22"/>
          <w:u w:val="none"/>
        </w:rPr>
      </w:pP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317"/>
        <w:gridCol w:w="597"/>
        <w:gridCol w:w="2216"/>
        <w:gridCol w:w="2216"/>
        <w:gridCol w:w="1137"/>
        <w:gridCol w:w="7036"/>
        <w:gridCol w:w="1264"/>
        <w:gridCol w:w="664"/>
        <w:gridCol w:w="1264"/>
        <w:gridCol w:w="286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0"/>
            <w:tcBorders>
              <w:top w:val="nil"/>
              <w:left w:val="nil"/>
              <w:bottom w:val="nil"/>
              <w:right w:val="nil"/>
            </w:tcBorders>
            <w:noWrap w:val="0"/>
            <w:vAlign w:val="bottom"/>
          </w:tcPr>
          <w:p>
            <w:pPr>
              <w:pStyle w:val="Normal_c0db61fd-38f0-4c1d-a61c-a40ab317a7ef"/>
              <w:keepNext w:val="0"/>
              <w:keepLines w:val="0"/>
              <w:widowControl/>
              <w:suppressLineNumbers w:val="0"/>
              <w:jc w:val="center"/>
              <w:textAlignment w:val="bottom"/>
              <w:rPr>
                <w:rFonts w:ascii="宋体" w:eastAsia="宋体" w:hAnsi="宋体" w:cs="宋体" w:hint="eastAsia"/>
                <w:b/>
                <w:bCs/>
                <w:i w:val="0"/>
                <w:iCs w:val="0"/>
                <w:color w:val="000000"/>
                <w:sz w:val="32"/>
                <w:szCs w:val="32"/>
                <w:u w:val="none"/>
              </w:rPr>
            </w:pPr>
            <w:r>
              <w:rPr>
                <w:rFonts w:ascii="宋体" w:eastAsia="宋体" w:hAnsi="宋体" w:cs="宋体" w:hint="eastAsia"/>
                <w:b/>
                <w:bCs/>
                <w:i w:val="0"/>
                <w:iCs w:val="0"/>
                <w:color w:val="000000"/>
                <w:kern w:val="0"/>
                <w:sz w:val="32"/>
                <w:szCs w:val="32"/>
                <w:u w:val="none"/>
                <w:lang w:val="en-US" w:eastAsia="zh-CN" w:bidi="en-AU"/>
              </w:rPr>
              <w:t xml:space="preserve">部门整体自评表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5"/>
        </w:trPr>
        <w:tc>
          <w:tcPr>
            <w:tcW w:type="auto" w:w="0"/>
            <w:gridSpan w:val="10"/>
            <w:tcBorders>
              <w:top w:val="nil"/>
              <w:left w:val="nil"/>
              <w:bottom w:val="nil"/>
              <w:right w:val="nil"/>
            </w:tcBorders>
            <w:noWrap w:val="0"/>
            <w:vAlign w:val="bottom"/>
          </w:tcPr>
          <w:p>
            <w:pPr>
              <w:pStyle w:val="Normal_c0db61fd-38f0-4c1d-a61c-a40ab317a7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en-AU"/>
              </w:rPr>
              <w:t xml:space="preserve">（</w:t>
            </w:r>
            <w:r>
              <w:rPr>
                <w:rFonts w:ascii="宋体" w:eastAsia="宋体" w:hAnsi="宋体" w:cs="宋体" w:hint="eastAsia"/>
                <w:i w:val="0"/>
                <w:iCs w:val="0"/>
                <w:color w:val="000000"/>
                <w:kern w:val="0"/>
                <w:sz w:val="22"/>
                <w:szCs w:val="22"/>
                <w:u w:val="none"/>
                <w:lang w:val="en-US" w:eastAsia="zh-CN" w:bidi="en-AU"/>
              </w:rPr>
              <w:t xml:space="preserve">2023 </w:t>
            </w:r>
            <w:r>
              <w:rPr>
                <w:rFonts w:ascii="宋体" w:eastAsia="宋体" w:hAnsi="宋体" w:cs="宋体" w:hint="eastAsia"/>
                <w:i w:val="0"/>
                <w:iCs w:val="0"/>
                <w:color w:val="000000"/>
                <w:kern w:val="0"/>
                <w:sz w:val="22"/>
                <w:szCs w:val="22"/>
                <w:u w:val="none"/>
                <w:lang w:val="en-US" w:eastAsia="zh-CN" w:bidi="en-AU"/>
              </w:rPr>
              <w:t xml:space="preserve"> </w:t>
            </w:r>
            <w:r>
              <w:rPr>
                <w:rFonts w:ascii="宋体" w:eastAsia="宋体" w:hAnsi="宋体" w:cs="宋体" w:hint="eastAsia"/>
                <w:i w:val="0"/>
                <w:iCs w:val="0"/>
                <w:color w:val="000000"/>
                <w:kern w:val="0"/>
                <w:sz w:val="22"/>
                <w:szCs w:val="22"/>
                <w:u w:val="none"/>
                <w:lang w:val="en-US" w:eastAsia="zh-CN" w:bidi="en-AU"/>
              </w:rPr>
              <w:t xml:space="preserve">年度）</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部门（单位）名称</w:t>
            </w:r>
          </w:p>
        </w:tc>
        <w:tc>
          <w:tcPr>
            <w:tcW w:type="auto" w:w="0"/>
            <w:gridSpan w:val="7"/>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许昌市生态环境综合行政执法支队</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gridSpan w:val="7"/>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left"/>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预算</w:t>
            </w:r>
            <w:r>
              <w:rPr>
                <w:rFonts w:ascii="宋体" w:eastAsia="宋体" w:hAnsi="宋体" w:cs="宋体" w:hint="eastAsia"/>
                <w:i w:val="0"/>
                <w:iCs w:val="0"/>
                <w:color w:val="000000"/>
                <w:kern w:val="0"/>
                <w:sz w:val="18"/>
                <w:szCs w:val="18"/>
                <w:u w:val="none"/>
                <w:lang w:val="en-US" w:eastAsia="zh-CN" w:bidi="en-AU"/>
              </w:rPr>
              <w:br/>
            </w:r>
            <w:r>
              <w:rPr>
                <w:rFonts w:ascii="宋体" w:eastAsia="宋体" w:hAnsi="宋体" w:cs="宋体" w:hint="eastAsia"/>
                <w:i w:val="0"/>
                <w:iCs w:val="0"/>
                <w:color w:val="000000"/>
                <w:kern w:val="0"/>
                <w:sz w:val="18"/>
                <w:szCs w:val="18"/>
                <w:u w:val="none"/>
                <w:lang w:val="en-US" w:eastAsia="zh-CN" w:bidi="en-AU"/>
              </w:rPr>
              <w:t xml:space="preserve">执行</w:t>
            </w:r>
            <w:r>
              <w:rPr>
                <w:rFonts w:ascii="宋体" w:eastAsia="宋体" w:hAnsi="宋体" w:cs="宋体" w:hint="eastAsia"/>
                <w:i w:val="0"/>
                <w:iCs w:val="0"/>
                <w:color w:val="000000"/>
                <w:kern w:val="0"/>
                <w:sz w:val="18"/>
                <w:szCs w:val="18"/>
                <w:u w:val="none"/>
                <w:lang w:val="en-US" w:eastAsia="zh-CN" w:bidi="en-AU"/>
              </w:rPr>
              <w:br/>
            </w:r>
            <w:r>
              <w:rPr>
                <w:rFonts w:ascii="宋体" w:eastAsia="宋体" w:hAnsi="宋体" w:cs="宋体" w:hint="eastAsia"/>
                <w:i w:val="0"/>
                <w:iCs w:val="0"/>
                <w:color w:val="000000"/>
                <w:kern w:val="0"/>
                <w:sz w:val="18"/>
                <w:szCs w:val="18"/>
                <w:u w:val="none"/>
                <w:lang w:val="en-US" w:eastAsia="zh-CN" w:bidi="en-AU"/>
              </w:rPr>
              <w:t xml:space="preserve">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预算执行率</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部门预算总额</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537.02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2030.43</w:t>
            </w: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c0db61fd-38f0-4c1d-a61c-a40ab317a7ef"/>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1517.76</w:t>
            </w:r>
          </w:p>
        </w:tc>
        <w:tc>
          <w:tcPr>
            <w:tcW w:type="auto" w:w="0"/>
            <w:vMerge w:val="restart"/>
            <w:tcBorders>
              <w:top w:val="single" w:sz="4" w:space="0" w:color="000000"/>
              <w:left w:val="single" w:sz="4" w:space="0" w:color="000000"/>
              <w:bottom w:val="nil"/>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c0db61fd-38f0-4c1d-a61c-a40ab317a7ef"/>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74.75%</w:t>
            </w:r>
          </w:p>
        </w:tc>
        <w:tc>
          <w:tcPr>
            <w:tcW w:type="auto" w:w="0"/>
            <w:vMerge w:val="restart"/>
            <w:tcBorders>
              <w:top w:val="single" w:sz="4" w:space="0" w:color="000000"/>
              <w:left w:val="single" w:sz="4" w:space="0" w:color="000000"/>
              <w:bottom w:val="nil"/>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7.5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资金来源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政府预算资金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537.02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2030.43</w:t>
            </w: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c0db61fd-38f0-4c1d-a61c-a40ab317a7ef"/>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1517.76</w:t>
            </w:r>
          </w:p>
        </w:tc>
        <w:tc>
          <w:tcPr>
            <w:vMerge/>
            <w:tcBorders>
              <w:top w:val="single" w:sz="4" w:space="0" w:color="000000"/>
              <w:left w:val="single" w:sz="4" w:space="0" w:color="000000"/>
              <w:bottom w:val="nil"/>
              <w:right w:val="single" w:sz="4" w:space="0" w:color="000000"/>
            </w:tcBorders>
            <w:noWrap w:val="1"/>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c0db61fd-38f0-4c1d-a61c-a40ab317a7ef"/>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74.75%</w:t>
            </w:r>
          </w:p>
        </w:tc>
        <w:tc>
          <w:tcPr>
            <w:vMerge/>
            <w:tcBorders>
              <w:top w:val="single" w:sz="4" w:space="0" w:color="000000"/>
              <w:left w:val="single" w:sz="4" w:space="0" w:color="000000"/>
              <w:bottom w:val="nil"/>
              <w:right w:val="single" w:sz="4" w:space="0" w:color="000000"/>
            </w:tcBorders>
            <w:noWrap w:val="1"/>
            <w:vAlign w:val="center"/>
          </w:tcPr>
          <w:p>
            <w:pPr>
              <w:pStyle w:val="Normal_c0db61fd-38f0-4c1d-a61c-a40ab317a7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 </w:t>
            </w:r>
            <w:r>
              <w:rPr>
                <w:rFonts w:ascii="宋体" w:eastAsia="宋体" w:hAnsi="宋体" w:cs="宋体" w:hint="eastAsia"/>
                <w:i w:val="0"/>
                <w:iCs w:val="0"/>
                <w:color w:val="000000"/>
                <w:kern w:val="0"/>
                <w:sz w:val="18"/>
                <w:szCs w:val="18"/>
                <w:u w:val="none"/>
                <w:lang w:val="en-US" w:eastAsia="zh-CN" w:bidi="en-AU"/>
              </w:rPr>
              <w:t xml:space="preserve"> </w:t>
            </w:r>
            <w:r>
              <w:rPr>
                <w:rFonts w:ascii="宋体" w:eastAsia="宋体" w:hAnsi="宋体" w:cs="宋体" w:hint="eastAsia"/>
                <w:i w:val="0"/>
                <w:iCs w:val="0"/>
                <w:color w:val="000000"/>
                <w:kern w:val="0"/>
                <w:sz w:val="18"/>
                <w:szCs w:val="18"/>
                <w:u w:val="none"/>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c0db61fd-38f0-4c1d-a61c-a40ab317a7ef"/>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1"/>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c0db61fd-38f0-4c1d-a61c-a40ab317a7ef"/>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1"/>
            <w:vAlign w:val="center"/>
          </w:tcPr>
          <w:p>
            <w:pPr>
              <w:pStyle w:val="Normal_c0db61fd-38f0-4c1d-a61c-a40ab317a7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c0db61fd-38f0-4c1d-a61c-a40ab317a7ef"/>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1"/>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c0db61fd-38f0-4c1d-a61c-a40ab317a7ef"/>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1"/>
            <w:vAlign w:val="center"/>
          </w:tcPr>
          <w:p>
            <w:pPr>
              <w:pStyle w:val="Normal_c0db61fd-38f0-4c1d-a61c-a40ab317a7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年度</w:t>
            </w:r>
            <w:r>
              <w:rPr>
                <w:rFonts w:ascii="宋体" w:eastAsia="宋体" w:hAnsi="宋体" w:cs="宋体" w:hint="eastAsia"/>
                <w:i w:val="0"/>
                <w:iCs w:val="0"/>
                <w:color w:val="000000"/>
                <w:kern w:val="0"/>
                <w:sz w:val="18"/>
                <w:szCs w:val="18"/>
                <w:u w:val="none"/>
                <w:lang w:val="en-US" w:eastAsia="zh-CN" w:bidi="en-AU"/>
              </w:rPr>
              <w:br/>
            </w:r>
            <w:r>
              <w:rPr>
                <w:rFonts w:ascii="宋体" w:eastAsia="宋体" w:hAnsi="宋体" w:cs="宋体" w:hint="eastAsia"/>
                <w:i w:val="0"/>
                <w:iCs w:val="0"/>
                <w:color w:val="000000"/>
                <w:kern w:val="0"/>
                <w:sz w:val="18"/>
                <w:szCs w:val="18"/>
                <w:u w:val="none"/>
                <w:lang w:val="en-US" w:eastAsia="zh-CN" w:bidi="en-AU"/>
              </w:rPr>
              <w:t xml:space="preserve">履职</w:t>
            </w:r>
            <w:r>
              <w:rPr>
                <w:rFonts w:ascii="宋体" w:eastAsia="宋体" w:hAnsi="宋体" w:cs="宋体" w:hint="eastAsia"/>
                <w:i w:val="0"/>
                <w:iCs w:val="0"/>
                <w:color w:val="000000"/>
                <w:kern w:val="0"/>
                <w:sz w:val="18"/>
                <w:szCs w:val="18"/>
                <w:u w:val="none"/>
                <w:lang w:val="en-US" w:eastAsia="zh-CN" w:bidi="en-AU"/>
              </w:rPr>
              <w:br/>
            </w:r>
            <w:r>
              <w:rPr>
                <w:rFonts w:ascii="宋体" w:eastAsia="宋体" w:hAnsi="宋体" w:cs="宋体" w:hint="eastAsia"/>
                <w:i w:val="0"/>
                <w:iCs w:val="0"/>
                <w:color w:val="000000"/>
                <w:kern w:val="0"/>
                <w:sz w:val="18"/>
                <w:szCs w:val="18"/>
                <w:u w:val="none"/>
                <w:lang w:val="en-US" w:eastAsia="zh-CN" w:bidi="en-AU"/>
              </w:rPr>
              <w:t xml:space="preserve">目标</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预期目标</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目标名称</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主要内</w:t>
            </w:r>
            <w:r>
              <w:rPr>
                <w:rFonts w:ascii="宋体" w:eastAsia="宋体" w:hAnsi="宋体" w:cs="宋体" w:hint="eastAsia"/>
                <w:i w:val="0"/>
                <w:iCs w:val="0"/>
                <w:color w:val="000000"/>
                <w:kern w:val="0"/>
                <w:sz w:val="18"/>
                <w:szCs w:val="18"/>
                <w:u w:val="none"/>
                <w:lang w:val="en-US" w:eastAsia="zh-CN" w:bidi="en-AU"/>
              </w:rPr>
              <w:t xml:space="preserve">容</w:t>
            </w:r>
            <w:r>
              <w:rPr>
                <w:rFonts w:ascii="宋体" w:eastAsia="宋体" w:hAnsi="宋体" w:cs="宋体" w:hint="eastAsia"/>
                <w:i w:val="0"/>
                <w:iCs w:val="0"/>
                <w:color w:val="000000"/>
                <w:kern w:val="0"/>
                <w:sz w:val="18"/>
                <w:szCs w:val="18"/>
                <w:u w:val="none"/>
                <w:lang w:val="en-US" w:eastAsia="zh-CN" w:bidi="en-AU"/>
              </w:rPr>
              <w:t xml:space="preserve"> </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目标完成情况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持续打好污染防治攻坚战</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完成双随机执法检查和全市异地交叉执法活动。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bottom"/>
          </w:tcPr>
          <w:p>
            <w:pPr>
              <w:pStyle w:val="Normal_c0db61fd-38f0-4c1d-a61c-a40ab317a7ef"/>
              <w:keepNext w:val="0"/>
              <w:keepLines w:val="0"/>
              <w:widowControl/>
              <w:suppressLineNumbers w:val="0"/>
              <w:jc w:val="left"/>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每季度按要求完成双随机并录入系统，全市异地交叉执法成效显著。</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持续助推经济高质量发展</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帮扶企业，不断优化营商环境</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          </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bottom"/>
          </w:tcPr>
          <w:p>
            <w:pPr>
              <w:pStyle w:val="Normal_c0db61fd-38f0-4c1d-a61c-a40ab317a7ef"/>
              <w:keepNext w:val="0"/>
              <w:keepLines w:val="0"/>
              <w:widowControl/>
              <w:suppressLineNumbers w:val="0"/>
              <w:jc w:val="left"/>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全年不间断对企业进行帮扶，持续优化营商环境，助力企业高质量发展。</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6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提升基础能力建设</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完善工作机制，强化执法监管能力，强化队伍素质能力，打造环保铁军。</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bottom"/>
          </w:tcPr>
          <w:p>
            <w:pPr>
              <w:pStyle w:val="Normal_c0db61fd-38f0-4c1d-a61c-a40ab317a7ef"/>
              <w:keepNext w:val="0"/>
              <w:keepLines w:val="0"/>
              <w:widowControl/>
              <w:suppressLineNumbers w:val="0"/>
              <w:jc w:val="left"/>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202</w:t>
            </w:r>
            <w:r>
              <w:rPr>
                <w:rFonts w:ascii="宋体" w:eastAsia="宋体" w:hAnsi="宋体" w:cs="宋体" w:hint="eastAsia"/>
                <w:i w:val="0"/>
                <w:iCs w:val="0"/>
                <w:color w:val="000000"/>
                <w:kern w:val="0"/>
                <w:sz w:val="18"/>
                <w:szCs w:val="18"/>
                <w:u w:val="none"/>
                <w:lang w:val="en-US" w:eastAsia="zh-CN" w:bidi="en-AU"/>
              </w:rPr>
              <w:t xml:space="preserve">3</w:t>
            </w:r>
            <w:r>
              <w:rPr>
                <w:rFonts w:ascii="宋体" w:eastAsia="宋体" w:hAnsi="宋体" w:cs="宋体" w:hint="eastAsia"/>
                <w:i w:val="0"/>
                <w:iCs w:val="0"/>
                <w:color w:val="000000"/>
                <w:kern w:val="0"/>
                <w:sz w:val="18"/>
                <w:szCs w:val="18"/>
                <w:u w:val="none"/>
                <w:lang w:val="en-US" w:eastAsia="zh-CN" w:bidi="en-AU"/>
              </w:rPr>
              <w:t xml:space="preserve">年许昌市生态环境综合执法支队作风明显好转，素质能力持续提升。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年度</w:t>
            </w:r>
            <w:r>
              <w:rPr>
                <w:rFonts w:ascii="宋体" w:eastAsia="宋体" w:hAnsi="宋体" w:cs="宋体" w:hint="eastAsia"/>
                <w:i w:val="0"/>
                <w:iCs w:val="0"/>
                <w:color w:val="000000"/>
                <w:kern w:val="0"/>
                <w:sz w:val="18"/>
                <w:szCs w:val="18"/>
                <w:u w:val="none"/>
                <w:lang w:val="en-US" w:eastAsia="zh-CN" w:bidi="en-AU"/>
              </w:rPr>
              <w:br/>
            </w:r>
            <w:r>
              <w:rPr>
                <w:rFonts w:ascii="宋体" w:eastAsia="宋体" w:hAnsi="宋体" w:cs="宋体" w:hint="eastAsia"/>
                <w:i w:val="0"/>
                <w:iCs w:val="0"/>
                <w:color w:val="000000"/>
                <w:kern w:val="0"/>
                <w:sz w:val="18"/>
                <w:szCs w:val="18"/>
                <w:u w:val="none"/>
                <w:lang w:val="en-US" w:eastAsia="zh-CN" w:bidi="en-AU"/>
              </w:rPr>
              <w:t xml:space="preserve">主要</w:t>
            </w:r>
            <w:r>
              <w:rPr>
                <w:rFonts w:ascii="宋体" w:eastAsia="宋体" w:hAnsi="宋体" w:cs="宋体" w:hint="eastAsia"/>
                <w:i w:val="0"/>
                <w:iCs w:val="0"/>
                <w:color w:val="000000"/>
                <w:kern w:val="0"/>
                <w:sz w:val="18"/>
                <w:szCs w:val="18"/>
                <w:u w:val="none"/>
                <w:lang w:val="en-US" w:eastAsia="zh-CN" w:bidi="en-AU"/>
              </w:rPr>
              <w:br/>
            </w:r>
            <w:r>
              <w:rPr>
                <w:rFonts w:ascii="宋体" w:eastAsia="宋体" w:hAnsi="宋体" w:cs="宋体" w:hint="eastAsia"/>
                <w:i w:val="0"/>
                <w:iCs w:val="0"/>
                <w:color w:val="000000"/>
                <w:kern w:val="0"/>
                <w:sz w:val="18"/>
                <w:szCs w:val="18"/>
                <w:u w:val="none"/>
                <w:lang w:val="en-US" w:eastAsia="zh-CN" w:bidi="en-AU"/>
              </w:rPr>
              <w:t xml:space="preserve">任务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主要内</w:t>
            </w:r>
            <w:r>
              <w:rPr>
                <w:rFonts w:ascii="宋体" w:eastAsia="宋体" w:hAnsi="宋体" w:cs="宋体" w:hint="eastAsia"/>
                <w:i w:val="0"/>
                <w:iCs w:val="0"/>
                <w:color w:val="000000"/>
                <w:kern w:val="0"/>
                <w:sz w:val="18"/>
                <w:szCs w:val="18"/>
                <w:u w:val="none"/>
                <w:lang w:val="en-US" w:eastAsia="zh-CN" w:bidi="en-AU"/>
              </w:rPr>
              <w:t xml:space="preserve">容</w:t>
            </w:r>
            <w:r>
              <w:rPr>
                <w:rFonts w:ascii="宋体" w:eastAsia="宋体" w:hAnsi="宋体" w:cs="宋体" w:hint="eastAsia"/>
                <w:i w:val="0"/>
                <w:iCs w:val="0"/>
                <w:color w:val="000000"/>
                <w:kern w:val="0"/>
                <w:sz w:val="18"/>
                <w:szCs w:val="18"/>
                <w:u w:val="none"/>
                <w:lang w:val="en-US" w:eastAsia="zh-CN" w:bidi="en-AU"/>
              </w:rPr>
              <w:t xml:space="preserve"> </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任务完成情况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6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完成信访工作</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加大各类执法检查力度，做好环保类信访查处工作。</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bottom"/>
          </w:tcPr>
          <w:p>
            <w:pPr>
              <w:pStyle w:val="Normal_c0db61fd-38f0-4c1d-a61c-a40ab317a7ef"/>
              <w:keepNext w:val="0"/>
              <w:keepLines w:val="0"/>
              <w:widowControl/>
              <w:suppressLineNumbers w:val="0"/>
              <w:jc w:val="left"/>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202</w:t>
            </w:r>
            <w:r>
              <w:rPr>
                <w:rFonts w:ascii="宋体" w:eastAsia="宋体" w:hAnsi="宋体" w:cs="宋体" w:hint="eastAsia"/>
                <w:i w:val="0"/>
                <w:iCs w:val="0"/>
                <w:color w:val="000000"/>
                <w:kern w:val="0"/>
                <w:sz w:val="18"/>
                <w:szCs w:val="18"/>
                <w:u w:val="none"/>
                <w:lang w:val="en-US" w:eastAsia="zh-CN" w:bidi="en-AU"/>
              </w:rPr>
              <w:t xml:space="preserve">3</w:t>
            </w:r>
            <w:r>
              <w:rPr>
                <w:rFonts w:ascii="宋体" w:eastAsia="宋体" w:hAnsi="宋体" w:cs="宋体" w:hint="eastAsia"/>
                <w:i w:val="0"/>
                <w:iCs w:val="0"/>
                <w:color w:val="000000"/>
                <w:kern w:val="0"/>
                <w:sz w:val="18"/>
                <w:szCs w:val="18"/>
                <w:u w:val="none"/>
                <w:lang w:val="en-US" w:eastAsia="zh-CN" w:bidi="en-AU"/>
              </w:rPr>
              <w:t xml:space="preserve">年度及时处理信访案件，解决信访问题，得到了信访人的肯定。</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2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完成能力提升工作</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组织全市环保执法系统业务培训工作，提高执法能力。</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bottom"/>
          </w:tcPr>
          <w:p>
            <w:pPr>
              <w:pStyle w:val="Normal_c0db61fd-38f0-4c1d-a61c-a40ab317a7ef"/>
              <w:keepNext w:val="0"/>
              <w:keepLines w:val="0"/>
              <w:widowControl/>
              <w:suppressLineNumbers w:val="0"/>
              <w:jc w:val="left"/>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202</w:t>
            </w:r>
            <w:r>
              <w:rPr>
                <w:rFonts w:ascii="宋体" w:eastAsia="宋体" w:hAnsi="宋体" w:cs="宋体" w:hint="eastAsia"/>
                <w:i w:val="0"/>
                <w:iCs w:val="0"/>
                <w:color w:val="000000"/>
                <w:kern w:val="0"/>
                <w:sz w:val="18"/>
                <w:szCs w:val="18"/>
                <w:u w:val="none"/>
                <w:lang w:val="en-US" w:eastAsia="zh-CN" w:bidi="en-AU"/>
              </w:rPr>
              <w:t xml:space="preserve">3</w:t>
            </w:r>
            <w:r>
              <w:rPr>
                <w:rFonts w:ascii="宋体" w:eastAsia="宋体" w:hAnsi="宋体" w:cs="宋体" w:hint="eastAsia"/>
                <w:i w:val="0"/>
                <w:iCs w:val="0"/>
                <w:color w:val="000000"/>
                <w:kern w:val="0"/>
                <w:sz w:val="18"/>
                <w:szCs w:val="18"/>
                <w:u w:val="none"/>
                <w:lang w:val="en-US" w:eastAsia="zh-CN" w:bidi="en-AU"/>
              </w:rPr>
              <w:t xml:space="preserve">年度开展了多种形式的业务培训工作，提升了全体执法人员的业务素质。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noWrap w:val="1"/>
            <w:vAlign w:val="bottom"/>
          </w:tcPr>
          <w:p>
            <w:pPr>
              <w:pStyle w:val="Normal_c0db61fd-38f0-4c1d-a61c-a40ab317a7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二级指标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指标值说明</w:t>
            </w:r>
          </w:p>
        </w:tc>
        <w:tc>
          <w:tcPr>
            <w:tcW w:type="auto" w:w="0"/>
            <w:vMerge w:val="restart"/>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实际完成值</w:t>
            </w:r>
          </w:p>
        </w:tc>
        <w:tc>
          <w:tcPr>
            <w:tcW w:type="auto" w:w="0"/>
            <w:vMerge w:val="restart"/>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82"/>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投入管理指标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30</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设立有有效目标管理机制，保障工作有效落地。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依据充分，工作科学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8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合理明确</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收入预算编制足额，支出预算编制科学，按项目分别编制。</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Style w:val="font31"/>
                <w:lang w:val="en-US" w:eastAsia="zh-CN" w:bidi="en-AU"/>
              </w:rPr>
              <w:t xml:space="preserve">≥</w:t>
            </w:r>
            <w:r>
              <w:rPr>
                <w:rStyle w:val="font01"/>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预算编制完整，提前细化。</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预算调整率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东文宋体" w:eastAsia="东文宋体" w:hAnsi="东文宋体" w:cs="东文宋体"/>
                <w:i w:val="0"/>
                <w:iCs w:val="0"/>
                <w:color w:val="000000"/>
                <w:sz w:val="20"/>
                <w:szCs w:val="20"/>
                <w:u w:val="none"/>
              </w:rPr>
            </w:pPr>
            <w:r>
              <w:rPr>
                <w:rStyle w:val="font21"/>
                <w:lang w:val="en-US" w:eastAsia="zh-CN" w:bidi="en-AU"/>
              </w:rPr>
              <w:t xml:space="preserve">≤</w:t>
            </w:r>
            <w:r>
              <w:rPr>
                <w:rStyle w:val="font11"/>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严格按照财政审核要求及时调整。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276.79%</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原因新增项目，措施提前规划</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结转结余率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严格按照预算执行。</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25.34%</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2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三公经</w:t>
            </w:r>
            <w:r>
              <w:rPr>
                <w:rFonts w:ascii="宋体" w:eastAsia="宋体" w:hAnsi="宋体" w:cs="宋体" w:hint="eastAsia"/>
                <w:i w:val="0"/>
                <w:iCs w:val="0"/>
                <w:color w:val="000000"/>
                <w:kern w:val="0"/>
                <w:sz w:val="18"/>
                <w:szCs w:val="18"/>
                <w:u w:val="none"/>
                <w:lang w:val="en-US" w:eastAsia="zh-CN" w:bidi="en-AU"/>
              </w:rPr>
              <w:t xml:space="preserve">费</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控制率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厉行节约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32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资金使用符合政府采购的程序和流程；符合公务卡结算相关制度和规定。</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3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决算真实性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按照相关编审要求报送；部门决算编报的单位范围和资金范围符合相关要求。</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基本支出和项目支出符合财务规则及相关制度办法。</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lang w:val="en-US" w:eastAsia="zh-CN" w:bidi="en-AU"/>
              </w:rPr>
              <w:t xml:space="preserve">健全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制度管理健全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健全</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严格按照公开规定在网站上予以公开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资产管理规范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1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按要求完成绩效监控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2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按要求完成绩效自评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2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按要求完成部门绩效评价</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5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规范应用评价结果</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25</w:t>
            </w:r>
          </w:p>
        </w:tc>
        <w:tc>
          <w:tcPr>
            <w:tcW w:type="auto" w:w="0"/>
            <w:tcBorders>
              <w:top w:val="single" w:sz="4" w:space="0" w:color="000000"/>
              <w:left w:val="nil"/>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完成执法检查任务率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完成年度执法检查任务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nil"/>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持续助推经济高质量发展</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Style w:val="font31"/>
                <w:lang w:val="en-US" w:eastAsia="zh-CN" w:bidi="en-AU"/>
              </w:rPr>
              <w:t xml:space="preserve">≥</w:t>
            </w:r>
            <w:r>
              <w:rPr>
                <w:rStyle w:val="font01"/>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有序推进</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55"/>
        </w:trPr>
        <w:tc>
          <w:tcPr>
            <w:tcW w:type="auto" w:w="0"/>
            <w:vMerge w:val="restart"/>
            <w:tcBorders>
              <w:top w:val="nil"/>
              <w:left w:val="single" w:sz="4" w:space="0" w:color="000000"/>
              <w:bottom w:val="nil"/>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效益指标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35</w:t>
            </w:r>
          </w:p>
        </w:tc>
        <w:tc>
          <w:tcPr>
            <w:tcW w:type="auto" w:w="0"/>
            <w:tcBorders>
              <w:top w:val="nil"/>
              <w:left w:val="nil"/>
              <w:bottom w:val="nil"/>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Style w:val="font31"/>
                <w:lang w:val="en-US" w:eastAsia="zh-CN" w:bidi="en-AU"/>
              </w:rPr>
              <w:t xml:space="preserve">≥</w:t>
            </w:r>
            <w:r>
              <w:rPr>
                <w:rStyle w:val="font01"/>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助推高质量发展</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0"/>
        </w:trPr>
        <w:tc>
          <w:tcPr>
            <w:vMerge/>
            <w:tcBorders>
              <w:top w:val="nil"/>
              <w:left w:val="single" w:sz="4" w:space="0" w:color="000000"/>
              <w:bottom w:val="nil"/>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nil"/>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社会公众满意度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Style w:val="font31"/>
                <w:lang w:val="en-US" w:eastAsia="zh-CN" w:bidi="en-AU"/>
              </w:rPr>
              <w:t xml:space="preserve">≥</w:t>
            </w:r>
            <w:r>
              <w:rPr>
                <w:rStyle w:val="font01"/>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不断提高群众满意度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c0db61fd-38f0-4c1d-a61c-a40ab317a7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c0db61fd-38f0-4c1d-a61c-a40ab317a7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98"/>
        </w:trPr>
        <w:tc>
          <w:tcPr>
            <w:tcW w:type="auto" w:w="0"/>
            <w:gridSpan w:val="10"/>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pStyle w:val="Normal_c0db61fd-38f0-4c1d-a61c-a40ab317a7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注</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1</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自评采取打分评价的形式，满分</w:t>
            </w:r>
            <w:r>
              <w:rPr>
                <w:rFonts w:ascii="宋体" w:eastAsia="宋体" w:hAnsi="宋体" w:cs="宋体" w:hint="eastAsia"/>
                <w:i w:val="0"/>
                <w:iCs w:val="0"/>
                <w:color w:val="000000"/>
                <w:kern w:val="0"/>
                <w:sz w:val="18"/>
                <w:szCs w:val="18"/>
                <w:u w:val="none"/>
                <w:lang w:val="en-US" w:eastAsia="zh-CN" w:bidi="en-AU"/>
              </w:rPr>
              <w:t xml:space="preserve">为</w:t>
            </w:r>
            <w:r>
              <w:rPr>
                <w:rFonts w:ascii="宋体" w:eastAsia="宋体" w:hAnsi="宋体" w:cs="宋体" w:hint="eastAsia"/>
                <w:i w:val="0"/>
                <w:iCs w:val="0"/>
                <w:color w:val="000000"/>
                <w:kern w:val="0"/>
                <w:sz w:val="18"/>
                <w:szCs w:val="18"/>
                <w:u w:val="none"/>
                <w:lang w:val="en-US" w:eastAsia="zh-CN" w:bidi="en-AU"/>
              </w:rPr>
              <w:t xml:space="preserve">10</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分，各部门（单位）可根据指标的重要程度自主确定各项三级指标的权重分值，各项指标得分加总得出该项目绩效自评的总分。原则上一级指标分值统一设置为：投入管理指</w:t>
            </w:r>
            <w:r>
              <w:rPr>
                <w:rFonts w:ascii="宋体" w:eastAsia="宋体" w:hAnsi="宋体" w:cs="宋体" w:hint="eastAsia"/>
                <w:i w:val="0"/>
                <w:iCs w:val="0"/>
                <w:color w:val="000000"/>
                <w:kern w:val="0"/>
                <w:sz w:val="18"/>
                <w:szCs w:val="18"/>
                <w:u w:val="none"/>
                <w:lang w:val="en-US" w:eastAsia="zh-CN" w:bidi="en-AU"/>
              </w:rPr>
              <w:t xml:space="preserve">标</w:t>
            </w:r>
            <w:r>
              <w:rPr>
                <w:rFonts w:ascii="宋体" w:eastAsia="宋体" w:hAnsi="宋体" w:cs="宋体" w:hint="eastAsia"/>
                <w:i w:val="0"/>
                <w:iCs w:val="0"/>
                <w:color w:val="000000"/>
                <w:kern w:val="0"/>
                <w:sz w:val="18"/>
                <w:szCs w:val="18"/>
                <w:u w:val="none"/>
                <w:lang w:val="en-US" w:eastAsia="zh-CN" w:bidi="en-AU"/>
              </w:rPr>
              <w:t xml:space="preserve">3</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分、产出指</w:t>
            </w:r>
            <w:r>
              <w:rPr>
                <w:rFonts w:ascii="宋体" w:eastAsia="宋体" w:hAnsi="宋体" w:cs="宋体" w:hint="eastAsia"/>
                <w:i w:val="0"/>
                <w:iCs w:val="0"/>
                <w:color w:val="000000"/>
                <w:kern w:val="0"/>
                <w:sz w:val="18"/>
                <w:szCs w:val="18"/>
                <w:u w:val="none"/>
                <w:lang w:val="en-US" w:eastAsia="zh-CN" w:bidi="en-AU"/>
              </w:rPr>
              <w:t xml:space="preserve">标</w:t>
            </w:r>
            <w:r>
              <w:rPr>
                <w:rFonts w:ascii="宋体" w:eastAsia="宋体" w:hAnsi="宋体" w:cs="宋体" w:hint="eastAsia"/>
                <w:i w:val="0"/>
                <w:iCs w:val="0"/>
                <w:color w:val="000000"/>
                <w:kern w:val="0"/>
                <w:sz w:val="18"/>
                <w:szCs w:val="18"/>
                <w:u w:val="none"/>
                <w:lang w:val="en-US" w:eastAsia="zh-CN" w:bidi="en-AU"/>
              </w:rPr>
              <w:t xml:space="preserve">2</w:t>
            </w:r>
            <w:r>
              <w:rPr>
                <w:rFonts w:ascii="宋体" w:eastAsia="宋体" w:hAnsi="宋体" w:cs="宋体" w:hint="eastAsia"/>
                <w:i w:val="0"/>
                <w:iCs w:val="0"/>
                <w:color w:val="000000"/>
                <w:kern w:val="0"/>
                <w:sz w:val="18"/>
                <w:szCs w:val="18"/>
                <w:u w:val="none"/>
                <w:lang w:val="en-US" w:eastAsia="zh-CN" w:bidi="en-AU"/>
              </w:rPr>
              <w:t xml:space="preserve">5</w:t>
            </w:r>
            <w:r>
              <w:rPr>
                <w:rFonts w:ascii="宋体" w:eastAsia="宋体" w:hAnsi="宋体" w:cs="宋体" w:hint="eastAsia"/>
                <w:i w:val="0"/>
                <w:iCs w:val="0"/>
                <w:color w:val="000000"/>
                <w:kern w:val="0"/>
                <w:sz w:val="18"/>
                <w:szCs w:val="18"/>
                <w:u w:val="none"/>
                <w:lang w:val="en-US" w:eastAsia="zh-CN" w:bidi="en-AU"/>
              </w:rPr>
              <w:t xml:space="preserve">分、效益指</w:t>
            </w:r>
            <w:r>
              <w:rPr>
                <w:rFonts w:ascii="宋体" w:eastAsia="宋体" w:hAnsi="宋体" w:cs="宋体" w:hint="eastAsia"/>
                <w:i w:val="0"/>
                <w:iCs w:val="0"/>
                <w:color w:val="000000"/>
                <w:kern w:val="0"/>
                <w:sz w:val="18"/>
                <w:szCs w:val="18"/>
                <w:u w:val="none"/>
                <w:lang w:val="en-US" w:eastAsia="zh-CN" w:bidi="en-AU"/>
              </w:rPr>
              <w:t xml:space="preserve">标</w:t>
            </w:r>
            <w:r>
              <w:rPr>
                <w:rFonts w:ascii="宋体" w:eastAsia="宋体" w:hAnsi="宋体" w:cs="宋体" w:hint="eastAsia"/>
                <w:i w:val="0"/>
                <w:iCs w:val="0"/>
                <w:color w:val="000000"/>
                <w:kern w:val="0"/>
                <w:sz w:val="18"/>
                <w:szCs w:val="18"/>
                <w:u w:val="none"/>
                <w:lang w:val="en-US" w:eastAsia="zh-CN" w:bidi="en-AU"/>
              </w:rPr>
              <w:t xml:space="preserve">3</w:t>
            </w:r>
            <w:r>
              <w:rPr>
                <w:rFonts w:ascii="宋体" w:eastAsia="宋体" w:hAnsi="宋体" w:cs="宋体" w:hint="eastAsia"/>
                <w:i w:val="0"/>
                <w:iCs w:val="0"/>
                <w:color w:val="000000"/>
                <w:kern w:val="0"/>
                <w:sz w:val="18"/>
                <w:szCs w:val="18"/>
                <w:u w:val="none"/>
                <w:lang w:val="en-US" w:eastAsia="zh-CN" w:bidi="en-AU"/>
              </w:rPr>
              <w:t xml:space="preserve">5</w:t>
            </w:r>
            <w:r>
              <w:rPr>
                <w:rFonts w:ascii="宋体" w:eastAsia="宋体" w:hAnsi="宋体" w:cs="宋体" w:hint="eastAsia"/>
                <w:i w:val="0"/>
                <w:iCs w:val="0"/>
                <w:color w:val="000000"/>
                <w:kern w:val="0"/>
                <w:sz w:val="18"/>
                <w:szCs w:val="18"/>
                <w:u w:val="none"/>
                <w:lang w:val="en-US" w:eastAsia="zh-CN" w:bidi="en-AU"/>
              </w:rPr>
              <w:t xml:space="preserve">分、预算执行</w:t>
            </w:r>
            <w:r>
              <w:rPr>
                <w:rFonts w:ascii="宋体" w:eastAsia="宋体" w:hAnsi="宋体" w:cs="宋体" w:hint="eastAsia"/>
                <w:i w:val="0"/>
                <w:iCs w:val="0"/>
                <w:color w:val="000000"/>
                <w:kern w:val="0"/>
                <w:sz w:val="18"/>
                <w:szCs w:val="18"/>
                <w:u w:val="none"/>
                <w:lang w:val="en-US" w:eastAsia="zh-CN" w:bidi="en-AU"/>
              </w:rPr>
              <w:t xml:space="preserve">率</w:t>
            </w:r>
            <w:r>
              <w:rPr>
                <w:rFonts w:ascii="宋体" w:eastAsia="宋体" w:hAnsi="宋体" w:cs="宋体" w:hint="eastAsia"/>
                <w:i w:val="0"/>
                <w:iCs w:val="0"/>
                <w:color w:val="000000"/>
                <w:kern w:val="0"/>
                <w:sz w:val="18"/>
                <w:szCs w:val="18"/>
                <w:u w:val="none"/>
                <w:lang w:val="en-US" w:eastAsia="zh-CN" w:bidi="en-AU"/>
              </w:rPr>
              <w:t xml:space="preserve">1</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分</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2</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偏差原因分析及改进措施：说明偏离目标、不能完成目标的原因及改进措施</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3</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定性指标完成情况分为好、较好、一般、较差四档，在相应档次分别按</w:t>
            </w:r>
            <w:r>
              <w:rPr>
                <w:rFonts w:ascii="宋体" w:eastAsia="宋体" w:hAnsi="宋体" w:cs="宋体" w:hint="eastAsia"/>
                <w:i w:val="0"/>
                <w:iCs w:val="0"/>
                <w:color w:val="000000"/>
                <w:kern w:val="0"/>
                <w:sz w:val="18"/>
                <w:szCs w:val="18"/>
                <w:u w:val="none"/>
                <w:lang w:val="en-US" w:eastAsia="zh-CN" w:bidi="en-AU"/>
              </w:rPr>
              <w:t xml:space="preserve">照</w:t>
            </w:r>
            <w:r>
              <w:rPr>
                <w:rFonts w:ascii="宋体" w:eastAsia="宋体" w:hAnsi="宋体" w:cs="宋体" w:hint="eastAsia"/>
                <w:i w:val="0"/>
                <w:iCs w:val="0"/>
                <w:color w:val="000000"/>
                <w:kern w:val="0"/>
                <w:sz w:val="18"/>
                <w:szCs w:val="18"/>
                <w:u w:val="none"/>
                <w:lang w:val="en-US" w:eastAsia="zh-CN" w:bidi="en-AU"/>
              </w:rPr>
              <w:t xml:space="preserve">10</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-90%</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含</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90%-8</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含</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8</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-6</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含</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6</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％合理确定分值。定量指标完成指标值的，记该指标所赋全部分值；未完成的，按照完成值与指标值的比例计分。</w:t>
            </w:r>
          </w:p>
        </w:tc>
      </w:tr>
    </w:tbl>
    <w:p>
      <w:pPr>
        <w:pStyle w:val="Normal_c0db61fd-38f0-4c1d-a61c-a40ab317a7ef"/>
        <w:sectPr>
          <w:pgSz w:w="16838" w:h="11906" w:orient="landscape"/>
          <w:pgMar w:top="1800" w:right="1440" w:bottom="1800" w:left="1440" w:header="851" w:footer="992" w:gutter="0"/>
          <w:docGrid w:type="lines" w:linePitch="312"/>
        </w:sectPr>
      </w:pPr>
    </w:p>
    <w:p>
      <w:pPr>
        <w:pStyle w:val="Normal_c0db61fd-38f0-4c1d-a61c-a40ab317a7ef"/>
        <w:spacing w:beforeLines="0" w:afterLines="0" w:line="465" w:lineRule="exact"/>
        <w:jc w:val="both"/>
        <w:rPr>
          <w:rFonts w:ascii="宋体" w:hAnsi="宋体" w:hint="eastAsia"/>
          <w:b/>
          <w:sz w:val="40"/>
          <w:szCs w:val="24"/>
        </w:rPr>
      </w:pPr>
    </w:p>
    <w:tbl>
      <w:tblPr>
        <w:tblStyle w:val="NormalTable0"/>
        <w:tblW w:w="5000" w:type="pct"/>
        <w:tblInd w:w="0" w:type="dxa"/>
        <w:tblCellMar>
          <w:top w:w="0" w:type="dxa"/>
          <w:left w:w="0" w:type="dxa"/>
          <w:bottom w:w="0" w:type="dxa"/>
          <w:right w:w="0" w:type="dxa"/>
        </w:tblCellMar>
        <w:tblLook w:val="0000" w:firstRow="0" w:lastRow="0" w:firstColumn="0" w:lastColumn="0" w:noHBand="0" w:noVBand="0"/>
      </w:tblPr>
      <w:tblGrid>
        <w:gridCol w:w="1140"/>
        <w:gridCol w:w="960"/>
        <w:gridCol w:w="2013"/>
        <w:gridCol w:w="1614"/>
        <w:gridCol w:w="2996"/>
        <w:gridCol w:w="2136"/>
        <w:gridCol w:w="190"/>
        <w:gridCol w:w="895"/>
        <w:gridCol w:w="490"/>
        <w:gridCol w:w="490"/>
        <w:gridCol w:w="420"/>
        <w:gridCol w:w="420"/>
        <w:gridCol w:w="1030"/>
        <w:gridCol w:w="1030"/>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566"/>
        </w:trPr>
        <w:tc>
          <w:tcPr>
            <w:tcW w:type="auto" w:w="0"/>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c0db61fd-38f0-4c1d-a61c-a40ab317a7ef"/>
              <w:spacing w:beforeLines="0" w:afterLines="0" w:line="465" w:lineRule="exact"/>
              <w:ind w:left="20"/>
              <w:jc w:val="center"/>
              <w:rPr>
                <w:rFonts w:ascii="宋体" w:hAnsi="宋体" w:hint="eastAsia"/>
                <w:sz w:val="40"/>
                <w:szCs w:val="24"/>
              </w:rPr>
            </w:pPr>
            <w:r>
              <w:rPr>
                <w:rFonts w:ascii="宋体" w:hAnsi="宋体" w:hint="eastAsia"/>
                <w:b/>
                <w:sz w:val="40"/>
                <w:szCs w:val="24"/>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85"/>
        </w:trPr>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项目名称</w:t>
            </w:r>
          </w:p>
        </w:tc>
        <w:tc>
          <w:tcPr>
            <w:tcW w:type="auto" w:w="0"/>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许昌市生态环境综合行政执法支队多因子走航监测车购置及环境执法能力建设项目</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85"/>
        </w:trPr>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主管部门</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许昌市生态环境局</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实施单位</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lang w:val="en-US" w:eastAsia="zh-CN"/>
              </w:rPr>
            </w:pPr>
            <w:r>
              <w:rPr>
                <w:rFonts w:ascii="宋体" w:hAnsi="宋体" w:hint="eastAsia"/>
                <w:sz w:val="18"/>
                <w:szCs w:val="24"/>
              </w:rPr>
              <w:t xml:space="preserve">许昌市生态环境</w:t>
            </w:r>
            <w:r>
              <w:rPr>
                <w:rFonts w:ascii="宋体" w:hAnsi="宋体" w:hint="eastAsia"/>
                <w:sz w:val="18"/>
                <w:szCs w:val="24"/>
                <w:lang w:eastAsia="zh-CN"/>
              </w:rPr>
              <w:t xml:space="preserve">综合行政执法支队</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85"/>
        </w:trPr>
        <w:tc>
          <w:tcPr>
            <w:tcW w:type="auto" w:w="0"/>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项目资金（万元）</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年初预算数</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全年预算数</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全年执行数</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分值</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执行</w:t>
            </w:r>
            <w:r>
              <w:rPr>
                <w:rFonts w:ascii="宋体" w:hAnsi="宋体" w:hint="eastAsia"/>
                <w:sz w:val="18"/>
                <w:szCs w:val="24"/>
              </w:rPr>
              <w:t xml:space="preserve">率</w:t>
            </w:r>
            <w:r>
              <w:rPr>
                <w:rFonts w:ascii="宋体" w:hAnsi="宋体" w:hint="eastAsia"/>
                <w:sz w:val="18"/>
                <w:szCs w:val="24"/>
              </w:rPr>
              <w:t xml:space="preserve"> %</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85"/>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rPr>
                <w:rFonts w:ascii="宋体" w:hAnsi="宋体" w:hint="eastAsia"/>
                <w:sz w:val="18"/>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年度资金总额（万元）：</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lang w:val="en-US"/>
              </w:rPr>
            </w:pPr>
            <w:r>
              <w:rPr>
                <w:rFonts w:ascii="宋体" w:hAnsi="宋体" w:hint="eastAsia"/>
                <w:sz w:val="18"/>
                <w:szCs w:val="24"/>
                <w:lang w:val="en-US"/>
              </w:rPr>
              <w:t xml:space="preserve">600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lang w:val="en-US"/>
              </w:rPr>
            </w:pPr>
            <w:r>
              <w:rPr>
                <w:rFonts w:ascii="宋体" w:hAnsi="宋体" w:hint="eastAsia"/>
                <w:sz w:val="18"/>
                <w:szCs w:val="24"/>
                <w:lang w:val="en-US"/>
              </w:rPr>
              <w:t xml:space="preserve">600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lang w:val="en-US"/>
              </w:rPr>
            </w:pPr>
            <w:r>
              <w:rPr>
                <w:rFonts w:ascii="宋体" w:hAnsi="宋体" w:hint="eastAsia"/>
                <w:sz w:val="18"/>
                <w:szCs w:val="24"/>
                <w:lang w:val="en-US"/>
              </w:rPr>
              <w:t xml:space="preserve">579</w:t>
            </w:r>
          </w:p>
        </w:tc>
        <w:tc>
          <w:tcPr>
            <w:tcW w:type="auto" w:w="0"/>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10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lang w:val="en-US"/>
              </w:rPr>
            </w:pPr>
            <w:r>
              <w:rPr>
                <w:rFonts w:ascii="宋体" w:hAnsi="宋体" w:hint="eastAsia"/>
                <w:sz w:val="18"/>
                <w:szCs w:val="24"/>
                <w:lang w:val="en-US"/>
              </w:rPr>
              <w:t xml:space="preserve">96.5</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9.65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85"/>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rPr>
                <w:rFonts w:ascii="宋体" w:hAnsi="宋体" w:hint="eastAsia"/>
                <w:sz w:val="18"/>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政府性预算资金</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lang w:val="en-US"/>
              </w:rPr>
              <w:t xml:space="preserve">600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lang w:val="en-US"/>
              </w:rPr>
              <w:t xml:space="preserve">600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lang w:val="en-US"/>
              </w:rPr>
              <w:t xml:space="preserve">579</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lang w:val="en-US"/>
              </w:rPr>
              <w:t xml:space="preserve">96.5</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85"/>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rPr>
                <w:rFonts w:ascii="宋体" w:hAnsi="宋体" w:hint="eastAsia"/>
                <w:sz w:val="18"/>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财政专户管理资金</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85"/>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rPr>
                <w:rFonts w:ascii="宋体" w:hAnsi="宋体" w:hint="eastAsia"/>
                <w:sz w:val="18"/>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单位资金</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85"/>
        </w:trPr>
        <w:tc>
          <w:tcPr>
            <w:tcW w:type="auto" w:w="0"/>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资金管理情况</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rPr>
                <w:rFonts w:hint="default"/>
                <w:sz w:val="24"/>
                <w:szCs w:val="24"/>
              </w:rPr>
            </w:pP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 </w:t>
            </w:r>
            <w:r>
              <w:rPr>
                <w:rFonts w:ascii="宋体" w:hAnsi="宋体" w:hint="eastAsia"/>
                <w:sz w:val="18"/>
                <w:szCs w:val="24"/>
              </w:rPr>
              <w:t xml:space="preserve">情况说明</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分值</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得分</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85"/>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rPr>
                <w:rFonts w:ascii="宋体" w:hAnsi="宋体" w:hint="eastAsia"/>
                <w:sz w:val="18"/>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rPr>
                <w:rFonts w:ascii="宋体" w:hAnsi="宋体" w:hint="eastAsia"/>
                <w:sz w:val="18"/>
                <w:szCs w:val="24"/>
              </w:rPr>
            </w:pPr>
            <w:r>
              <w:rPr>
                <w:rFonts w:ascii="宋体" w:hAnsi="宋体" w:hint="eastAsia"/>
                <w:sz w:val="18"/>
                <w:szCs w:val="24"/>
              </w:rPr>
              <w:t xml:space="preserve">安排科学性</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rPr>
                <w:rFonts w:ascii="宋体" w:hAnsi="宋体" w:hint="eastAsia"/>
                <w:sz w:val="18"/>
                <w:szCs w:val="24"/>
              </w:rPr>
            </w:pPr>
            <w:r>
              <w:rPr>
                <w:rFonts w:ascii="宋体" w:hAnsi="宋体" w:hint="eastAsia"/>
                <w:sz w:val="18"/>
                <w:szCs w:val="24"/>
              </w:rPr>
              <w:t xml:space="preserve">科学</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5</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5</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rPr>
                <w:rFonts w:ascii="宋体" w:hAnsi="宋体" w:hint="eastAsia"/>
                <w:sz w:val="18"/>
                <w:szCs w:val="24"/>
              </w:rPr>
            </w:pPr>
            <w:r>
              <w:rPr>
                <w:rFonts w:ascii="宋体" w:hAnsi="宋体" w:hint="eastAsia"/>
                <w:sz w:val="18"/>
                <w:szCs w:val="24"/>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85"/>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rPr>
                <w:rFonts w:ascii="宋体" w:hAnsi="宋体" w:hint="eastAsia"/>
                <w:sz w:val="18"/>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rPr>
                <w:rFonts w:ascii="宋体" w:hAnsi="宋体" w:hint="eastAsia"/>
                <w:sz w:val="18"/>
                <w:szCs w:val="24"/>
              </w:rPr>
            </w:pPr>
            <w:r>
              <w:rPr>
                <w:rFonts w:ascii="宋体" w:hAnsi="宋体" w:hint="eastAsia"/>
                <w:sz w:val="18"/>
                <w:szCs w:val="24"/>
              </w:rPr>
              <w:t xml:space="preserve">拨付合规性</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rPr>
                <w:rFonts w:ascii="宋体" w:hAnsi="宋体" w:hint="eastAsia"/>
                <w:sz w:val="18"/>
                <w:szCs w:val="24"/>
              </w:rPr>
            </w:pPr>
            <w:r>
              <w:rPr>
                <w:rFonts w:ascii="宋体" w:hAnsi="宋体" w:hint="eastAsia"/>
                <w:sz w:val="18"/>
                <w:szCs w:val="24"/>
              </w:rPr>
              <w:t xml:space="preserve">合规</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5</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5</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rPr>
                <w:rFonts w:ascii="宋体" w:hAnsi="宋体" w:hint="eastAsia"/>
                <w:sz w:val="18"/>
                <w:szCs w:val="24"/>
              </w:rPr>
            </w:pPr>
            <w:r>
              <w:rPr>
                <w:rFonts w:ascii="宋体" w:hAnsi="宋体" w:hint="eastAsia"/>
                <w:sz w:val="18"/>
                <w:szCs w:val="24"/>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85"/>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rPr>
                <w:rFonts w:ascii="宋体" w:hAnsi="宋体" w:hint="eastAsia"/>
                <w:sz w:val="18"/>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rPr>
                <w:rFonts w:ascii="宋体" w:hAnsi="宋体" w:hint="eastAsia"/>
                <w:sz w:val="18"/>
                <w:szCs w:val="24"/>
              </w:rPr>
            </w:pPr>
            <w:r>
              <w:rPr>
                <w:rFonts w:ascii="宋体" w:hAnsi="宋体" w:hint="eastAsia"/>
                <w:sz w:val="18"/>
                <w:szCs w:val="24"/>
              </w:rPr>
              <w:t xml:space="preserve">使用规范性</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rPr>
                <w:rFonts w:ascii="宋体" w:hAnsi="宋体" w:hint="eastAsia"/>
                <w:sz w:val="18"/>
                <w:szCs w:val="24"/>
              </w:rPr>
            </w:pPr>
            <w:r>
              <w:rPr>
                <w:rFonts w:ascii="宋体" w:hAnsi="宋体" w:hint="eastAsia"/>
                <w:sz w:val="18"/>
                <w:szCs w:val="24"/>
              </w:rPr>
              <w:t xml:space="preserve">规范</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5</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5</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rPr>
                <w:rFonts w:ascii="宋体" w:hAnsi="宋体" w:hint="eastAsia"/>
                <w:sz w:val="18"/>
                <w:szCs w:val="24"/>
              </w:rPr>
            </w:pPr>
            <w:r>
              <w:rPr>
                <w:rFonts w:ascii="宋体" w:hAnsi="宋体" w:hint="eastAsia"/>
                <w:sz w:val="18"/>
                <w:szCs w:val="24"/>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50"/>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rPr>
                <w:rFonts w:ascii="宋体" w:hAnsi="宋体" w:hint="eastAsia"/>
                <w:sz w:val="18"/>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rPr>
                <w:rFonts w:ascii="宋体" w:hAnsi="宋体" w:hint="eastAsia"/>
                <w:sz w:val="18"/>
                <w:szCs w:val="24"/>
              </w:rPr>
            </w:pPr>
            <w:r>
              <w:rPr>
                <w:rFonts w:ascii="宋体" w:hAnsi="宋体" w:hint="eastAsia"/>
                <w:sz w:val="18"/>
                <w:szCs w:val="24"/>
              </w:rPr>
              <w:t xml:space="preserve">预算绩效管理情况</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rPr>
                <w:rFonts w:ascii="宋体" w:hAnsi="宋体" w:hint="eastAsia"/>
                <w:sz w:val="18"/>
                <w:szCs w:val="24"/>
              </w:rPr>
            </w:pPr>
            <w:r>
              <w:rPr>
                <w:rFonts w:ascii="宋体" w:hAnsi="宋体" w:hint="eastAsia"/>
                <w:sz w:val="18"/>
                <w:szCs w:val="24"/>
              </w:rPr>
              <w:t xml:space="preserve">制定有项目事前绩效评估报告及绩效表，预算绩效设定科学合理。</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5</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5</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rPr>
                <w:rFonts w:ascii="宋体" w:hAnsi="宋体" w:hint="eastAsia"/>
                <w:sz w:val="18"/>
                <w:szCs w:val="24"/>
              </w:rPr>
            </w:pPr>
            <w:r>
              <w:rPr>
                <w:rFonts w:ascii="宋体" w:hAnsi="宋体" w:hint="eastAsia"/>
                <w:sz w:val="18"/>
                <w:szCs w:val="24"/>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85"/>
        </w:trPr>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年度总体目标</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预期目标</w:t>
            </w:r>
          </w:p>
        </w:tc>
        <w:tc>
          <w:tcPr>
            <w:tcW w:type="auto" w:w="0"/>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855"/>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rPr>
                <w:rFonts w:ascii="宋体" w:hAnsi="宋体" w:hint="eastAsia"/>
                <w:sz w:val="18"/>
                <w:szCs w:val="24"/>
              </w:rPr>
            </w:pP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通过</w:t>
            </w:r>
            <w:r>
              <w:rPr>
                <w:rFonts w:ascii="宋体" w:hAnsi="宋体" w:hint="eastAsia"/>
                <w:sz w:val="18"/>
                <w:szCs w:val="24"/>
                <w:lang w:eastAsia="zh-CN"/>
              </w:rPr>
              <w:t xml:space="preserve">购置多因子走航监测车</w:t>
            </w:r>
            <w:r>
              <w:rPr>
                <w:rFonts w:ascii="宋体" w:hAnsi="宋体" w:hint="eastAsia"/>
                <w:sz w:val="18"/>
                <w:szCs w:val="24"/>
              </w:rPr>
              <w:t xml:space="preserve">，提高环境精细化管控能力，促进许昌市空气质量提升。</w:t>
            </w:r>
          </w:p>
        </w:tc>
        <w:tc>
          <w:tcPr>
            <w:tcW w:type="auto" w:w="0"/>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lang w:eastAsia="zh-CN"/>
              </w:rPr>
            </w:pPr>
            <w:r>
              <w:rPr>
                <w:rFonts w:ascii="宋体" w:hAnsi="宋体" w:hint="eastAsia"/>
                <w:sz w:val="18"/>
                <w:szCs w:val="24"/>
                <w:lang w:eastAsia="zh-CN"/>
              </w:rPr>
              <w:t xml:space="preserve">完成车辆购置并应用，提高了环境精细化管控能力，</w:t>
            </w:r>
            <w:r>
              <w:rPr>
                <w:rFonts w:ascii="宋体" w:hAnsi="宋体" w:hint="eastAsia"/>
                <w:sz w:val="18"/>
                <w:szCs w:val="24"/>
              </w:rPr>
              <w:t xml:space="preserve">促进许昌市空气质量提升。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85"/>
        </w:trPr>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绩效指标</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一级指标</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二级指标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三级指标</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年度指标值</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实际完成值</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分值</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得分</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偏差</w:t>
            </w:r>
            <w:r>
              <w:rPr>
                <w:rFonts w:ascii="宋体" w:hAnsi="宋体" w:hint="eastAsia"/>
                <w:sz w:val="18"/>
                <w:szCs w:val="24"/>
              </w:rPr>
              <w:t xml:space="preserve">度</w:t>
            </w:r>
            <w:r>
              <w:rPr>
                <w:rFonts w:ascii="宋体" w:hAnsi="宋体" w:hint="eastAsia"/>
                <w:sz w:val="18"/>
                <w:szCs w:val="24"/>
              </w:rPr>
              <w:t xml:space="preserve"> %</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560"/>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rPr>
                <w:rFonts w:ascii="宋体" w:hAnsi="宋体" w:hint="eastAsia"/>
                <w:sz w:val="18"/>
                <w:szCs w:val="24"/>
              </w:rPr>
            </w:pP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成本指标</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rPr>
                <w:rFonts w:ascii="宋体" w:hAnsi="宋体" w:hint="eastAsia"/>
                <w:sz w:val="18"/>
                <w:szCs w:val="24"/>
              </w:rPr>
            </w:pPr>
            <w:r>
              <w:rPr>
                <w:rFonts w:ascii="宋体" w:hAnsi="宋体" w:hint="eastAsia"/>
                <w:sz w:val="18"/>
                <w:szCs w:val="24"/>
              </w:rPr>
              <w:t xml:space="preserve">经济成本指标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项目预算金额</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w:t>
            </w:r>
            <w:r>
              <w:rPr>
                <w:rFonts w:ascii="宋体" w:hAnsi="宋体" w:hint="eastAsia"/>
                <w:sz w:val="18"/>
                <w:szCs w:val="24"/>
                <w:lang w:val="en-US"/>
              </w:rPr>
              <w:t xml:space="preserve">600</w:t>
            </w:r>
            <w:r>
              <w:rPr>
                <w:rFonts w:ascii="宋体" w:hAnsi="宋体" w:hint="eastAsia"/>
                <w:sz w:val="18"/>
                <w:szCs w:val="24"/>
              </w:rPr>
              <w:t xml:space="preserve">万元</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lang w:val="en-US" w:eastAsia="zh-CN"/>
              </w:rPr>
              <w:t xml:space="preserve">579</w:t>
            </w:r>
            <w:r>
              <w:rPr>
                <w:rFonts w:ascii="宋体" w:hAnsi="宋体" w:hint="eastAsia"/>
                <w:sz w:val="18"/>
                <w:szCs w:val="24"/>
              </w:rPr>
              <w:t xml:space="preserve">万元</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10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9.65</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lang w:val="en-US" w:eastAsia="zh-CN"/>
              </w:rPr>
              <w:t xml:space="preserve">0.35</w:t>
            </w:r>
            <w:r>
              <w:rPr>
                <w:rFonts w:ascii="宋体" w:hAnsi="宋体" w:hint="eastAsia"/>
                <w:sz w:val="18"/>
                <w:szCs w:val="24"/>
              </w:rPr>
              <w:t xml:space="preserve">%</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rPr>
                <w:rFonts w:hint="default"/>
                <w:sz w:val="24"/>
                <w:szCs w:val="24"/>
                <w:lang w:val="en-US" w:eastAsia="zh-CN"/>
              </w:rPr>
            </w:pPr>
            <w:r>
              <w:rPr>
                <w:rFonts w:ascii="宋体" w:hAnsi="宋体" w:cs="Times New Roman" w:hint="eastAsia"/>
                <w:sz w:val="18"/>
                <w:szCs w:val="24"/>
                <w:lang w:eastAsia="zh-CN"/>
              </w:rPr>
              <w:t xml:space="preserve">实际中标价</w:t>
            </w:r>
            <w:r>
              <w:rPr>
                <w:rFonts w:ascii="宋体" w:hAnsi="宋体" w:cs="Times New Roman" w:hint="eastAsia"/>
                <w:sz w:val="18"/>
                <w:szCs w:val="24"/>
                <w:lang w:val="en-US" w:eastAsia="zh-CN"/>
              </w:rPr>
              <w:t xml:space="preserve">57</w:t>
            </w:r>
            <w:r>
              <w:rPr>
                <w:rFonts w:ascii="宋体" w:hAnsi="宋体" w:cs="Times New Roman" w:hint="eastAsia"/>
                <w:sz w:val="18"/>
                <w:szCs w:val="24"/>
                <w:lang w:val="en-US" w:eastAsia="zh-CN"/>
              </w:rPr>
              <w:t xml:space="preserve">9</w:t>
            </w:r>
            <w:r>
              <w:rPr>
                <w:rFonts w:ascii="宋体" w:hAnsi="宋体" w:cs="Times New Roman" w:hint="eastAsia"/>
                <w:sz w:val="18"/>
                <w:szCs w:val="24"/>
                <w:lang w:val="en-US" w:eastAsia="zh-CN"/>
              </w:rPr>
              <w:t xml:space="preserve">万，已采购完成。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50"/>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rPr>
                <w:rFonts w:hint="default"/>
                <w:sz w:val="24"/>
                <w:szCs w:val="24"/>
              </w:rPr>
            </w:pPr>
          </w:p>
        </w:tc>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产出指标</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数量指标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购买硬件设备数量</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lang w:val="en-US" w:eastAsia="zh-CN"/>
              </w:rPr>
              <w:t xml:space="preserve">1</w:t>
            </w:r>
            <w:r>
              <w:rPr>
                <w:rFonts w:ascii="宋体" w:hAnsi="宋体" w:hint="eastAsia"/>
                <w:sz w:val="18"/>
                <w:szCs w:val="24"/>
              </w:rPr>
              <w:t xml:space="preserve">项</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lang w:val="en-US" w:eastAsia="zh-CN"/>
              </w:rPr>
              <w:t xml:space="preserve">1</w:t>
            </w:r>
            <w:r>
              <w:rPr>
                <w:rFonts w:ascii="宋体" w:hAnsi="宋体" w:hint="eastAsia"/>
                <w:sz w:val="18"/>
                <w:szCs w:val="24"/>
              </w:rPr>
              <w:t xml:space="preserve">项</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10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10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85"/>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rPr>
                <w:rFonts w:hint="default"/>
                <w:sz w:val="24"/>
                <w:szCs w:val="24"/>
              </w:rPr>
            </w:pP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质量指标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系统功能</w:t>
            </w:r>
            <w:r>
              <w:rPr>
                <w:rFonts w:ascii="宋体" w:hAnsi="宋体" w:hint="eastAsia"/>
                <w:sz w:val="18"/>
                <w:szCs w:val="24"/>
                <w:lang w:eastAsia="zh-CN"/>
              </w:rPr>
              <w:t xml:space="preserve">、性能</w:t>
            </w:r>
            <w:r>
              <w:rPr>
                <w:rFonts w:ascii="宋体" w:hAnsi="宋体" w:hint="eastAsia"/>
                <w:sz w:val="18"/>
                <w:szCs w:val="24"/>
              </w:rPr>
              <w:t xml:space="preserve">合格率</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100%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100%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10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10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85"/>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rPr>
                <w:rFonts w:hint="default"/>
                <w:sz w:val="24"/>
                <w:szCs w:val="24"/>
              </w:rPr>
            </w:pP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时效指标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项目完成时限</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按时完成</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100%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10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10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50"/>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rPr>
                <w:rFonts w:hint="default"/>
                <w:sz w:val="24"/>
                <w:szCs w:val="24"/>
              </w:rPr>
            </w:pPr>
          </w:p>
        </w:tc>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效益指标</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经济效益指标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助推全市经济高质量发展程度</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提高</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100%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7</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7</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50"/>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rPr>
                <w:rFonts w:hint="default"/>
                <w:sz w:val="24"/>
                <w:szCs w:val="24"/>
              </w:rPr>
            </w:pPr>
          </w:p>
        </w:tc>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社会效益指标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生态环境监管精准化参</w:t>
            </w:r>
            <w:r>
              <w:rPr>
                <w:rFonts w:ascii="宋体" w:hAnsi="宋体" w:hint="eastAsia"/>
                <w:sz w:val="18"/>
                <w:szCs w:val="24"/>
                <w:lang w:eastAsia="zh-CN"/>
              </w:rPr>
              <w:t xml:space="preserve">与</w:t>
            </w:r>
            <w:r>
              <w:rPr>
                <w:rFonts w:ascii="宋体" w:hAnsi="宋体" w:hint="eastAsia"/>
                <w:sz w:val="18"/>
                <w:szCs w:val="24"/>
              </w:rPr>
              <w:t xml:space="preserve">程度</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提升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100%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5</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5</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605"/>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环境治理体系和治理能力现代化程度</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提升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100%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5</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5</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85"/>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rPr>
                <w:rFonts w:hint="default"/>
                <w:sz w:val="24"/>
                <w:szCs w:val="24"/>
              </w:rPr>
            </w:pP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生态效益指标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生态环境改善程度</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提升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100%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8</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8</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50"/>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rPr>
                <w:rFonts w:hint="default"/>
                <w:sz w:val="24"/>
                <w:szCs w:val="24"/>
              </w:rPr>
            </w:pP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满意度指标</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服务对象满意度指标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群众满意度</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w:t>
            </w:r>
            <w:r>
              <w:rPr>
                <w:rFonts w:ascii="宋体" w:hAnsi="宋体" w:hint="eastAsia"/>
                <w:sz w:val="18"/>
                <w:szCs w:val="24"/>
              </w:rPr>
              <w:t xml:space="preserve">90%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91.05%</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5</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5</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85"/>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rPr>
                <w:rFonts w:hint="default"/>
                <w:sz w:val="24"/>
                <w:szCs w:val="24"/>
              </w:rPr>
            </w:pPr>
          </w:p>
        </w:tc>
        <w:tc>
          <w:tcPr>
            <w:tcW w:type="auto" w:w="0"/>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总分</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rPr>
            </w:pPr>
            <w:r>
              <w:rPr>
                <w:rFonts w:ascii="宋体" w:hAnsi="宋体" w:hint="eastAsia"/>
                <w:sz w:val="18"/>
                <w:szCs w:val="24"/>
              </w:rPr>
              <w:t xml:space="preserve">100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99.3</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0db61fd-38f0-4c1d-a61c-a40ab317a7ef"/>
              <w:spacing w:beforeLines="0" w:afterLines="0"/>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85"/>
        </w:trPr>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0db61fd-38f0-4c1d-a61c-a40ab317a7ef"/>
              <w:spacing w:beforeLines="0" w:afterLines="0"/>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0db61fd-38f0-4c1d-a61c-a40ab317a7ef"/>
              <w:spacing w:beforeLines="0" w:afterLines="0"/>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0db61fd-38f0-4c1d-a61c-a40ab317a7ef"/>
              <w:spacing w:beforeLines="0" w:afterLines="0"/>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0db61fd-38f0-4c1d-a61c-a40ab317a7ef"/>
              <w:spacing w:beforeLines="0" w:afterLines="0"/>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0db61fd-38f0-4c1d-a61c-a40ab317a7ef"/>
              <w:spacing w:beforeLines="0" w:afterLines="0"/>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0db61fd-38f0-4c1d-a61c-a40ab317a7ef"/>
              <w:spacing w:beforeLines="0" w:afterLines="0"/>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0db61fd-38f0-4c1d-a61c-a40ab317a7ef"/>
              <w:spacing w:beforeLines="0" w:afterLines="0"/>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0db61fd-38f0-4c1d-a61c-a40ab317a7ef"/>
              <w:spacing w:beforeLines="0" w:afterLines="0"/>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0db61fd-38f0-4c1d-a61c-a40ab317a7ef"/>
              <w:spacing w:beforeLines="0" w:afterLines="0"/>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0db61fd-38f0-4c1d-a61c-a40ab317a7ef"/>
              <w:spacing w:beforeLines="0" w:afterLines="0"/>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0db61fd-38f0-4c1d-a61c-a40ab317a7ef"/>
              <w:spacing w:beforeLines="0" w:afterLines="0"/>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0db61fd-38f0-4c1d-a61c-a40ab317a7ef"/>
              <w:spacing w:beforeLines="0" w:afterLines="0"/>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0db61fd-38f0-4c1d-a61c-a40ab317a7ef"/>
              <w:spacing w:beforeLines="0" w:afterLines="0"/>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0db61fd-38f0-4c1d-a61c-a40ab317a7ef"/>
              <w:spacing w:beforeLines="0" w:afterLines="0"/>
              <w:rPr>
                <w:rFonts w:hint="default"/>
                <w:sz w:val="24"/>
                <w:szCs w:val="24"/>
              </w:rPr>
            </w:pPr>
          </w:p>
        </w:tc>
      </w:tr>
    </w:tbl>
    <w:p>
      <w:pPr>
        <w:pStyle w:val="Normal_c0db61fd-38f0-4c1d-a61c-a40ab317a7ef"/>
        <w:spacing w:beforeLines="0" w:afterLines="0"/>
        <w:rPr>
          <w:rFonts w:hint="default"/>
          <w:sz w:val="24"/>
          <w:szCs w:val="24"/>
        </w:rPr>
      </w:pPr>
    </w:p>
    <w:p>
      <w:pPr>
        <w:pStyle w:val="Normal_c0db61fd-38f0-4c1d-a61c-a40ab317a7ef"/>
        <w:sectPr>
          <w:type w:val="nextPage"/>
          <w:pgSz w:w="16838" w:h="11906" w:orient="landscape"/>
          <w:pgMar w:top="1800" w:right="1440" w:bottom="1800" w:left="1440" w:header="720" w:footer="720" w:gutter="0"/>
          <w:lnNumType w:countBy="0" w:start="0" w:distance="360" w:restart="newPage"/>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9"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392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c0db61fd-38f0-4c1d-a61c-a40ab317a7ef">
    <w:name w:val="Normal_c0db61fd-38f0-4c1d-a61c-a40ab317a7ef"/>
    <w:qFormat/>
    <w:pPr>
      <w:widowControl w:val="0"/>
      <w:jc w:val="both"/>
    </w:pPr>
    <w:rPr>
      <w:rFonts w:ascii="Calibri" w:eastAsia="宋体" w:hAnsi="Calibri" w:cs="Times New Roman"/>
      <w:kern w:val="2"/>
      <w:sz w:val="21"/>
      <w:szCs w:val="24"/>
      <w:lang w:val="en-US" w:eastAsia="zh-CN" w:bidi="ar-SA"/>
    </w:rPr>
  </w:style>
  <w:style w:type="character" w:styleId="DefaultParagraphFont0">
    <w:name w:val="默认段落字体"/>
    <w:next w:val="DefaultParagraphFont"/>
    <w:semiHidden/>
    <w:rPr/>
  </w:style>
  <w:style w:type="character" w:styleId="font31">
    <w:name w:val="font31"/>
    <w:basedOn w:val="DefaultParagraphFont0"/>
    <w:next w:val="Footer"/>
    <w:rPr>
      <w:rStyle w:val="DefaultParagraphFont"/>
      <w:rFonts w:ascii="宋体" w:eastAsia="宋体" w:hAnsi="宋体" w:cs="宋体" w:hint="eastAsia"/>
      <w:i w:val="0"/>
      <w:iCs w:val="0"/>
      <w:color w:val="000000"/>
      <w:sz w:val="20"/>
      <w:szCs w:val="20"/>
      <w:u w:val="none"/>
    </w:rPr>
  </w:style>
  <w:style w:type="character" w:styleId="font01">
    <w:name w:val="font01"/>
    <w:basedOn w:val="DefaultParagraphFont0"/>
    <w:next w:val="Header"/>
    <w:rPr>
      <w:rStyle w:val="DefaultParagraphFont"/>
      <w:rFonts w:ascii="黑体" w:eastAsia="黑体" w:hAnsi="宋体" w:cs="黑体" w:hint="eastAsia"/>
      <w:i w:val="0"/>
      <w:iCs w:val="0"/>
      <w:color w:val="000000"/>
      <w:sz w:val="20"/>
      <w:szCs w:val="20"/>
      <w:u w:val="none"/>
    </w:rPr>
  </w:style>
  <w:style w:type="character" w:styleId="font21">
    <w:name w:val="font21"/>
    <w:basedOn w:val="DefaultParagraphFont0"/>
    <w:next w:val="15"/>
    <w:rPr>
      <w:rStyle w:val="DefaultParagraphFont"/>
      <w:rFonts w:ascii="东文宋体" w:eastAsia="东文宋体" w:hAnsi="东文宋体" w:cs="东文宋体" w:hint="default"/>
      <w:i w:val="0"/>
      <w:iCs w:val="0"/>
      <w:color w:val="000000"/>
      <w:sz w:val="20"/>
      <w:szCs w:val="20"/>
      <w:u w:val="none"/>
    </w:rPr>
  </w:style>
  <w:style w:type="character" w:styleId="font11">
    <w:name w:val="font11"/>
    <w:basedOn w:val="DefaultParagraphFont0"/>
    <w:next w:val="16"/>
    <w:rPr>
      <w:rStyle w:val="DefaultParagraphFont"/>
      <w:rFonts w:ascii="黑体" w:eastAsia="黑体" w:hAnsi="宋体" w:cs="黑体" w:hint="eastAsia"/>
      <w:i w:val="0"/>
      <w:iCs w:val="0"/>
      <w:color w:val="000000"/>
      <w:sz w:val="20"/>
      <w:szCs w:val="20"/>
      <w:u w:val="none"/>
    </w:rPr>
  </w:style>
  <w:style w:type="table" w:styleId="NormalTable0">
    <w:name w:val="普通表格"/>
    <w:next w:val="NormalTable"/>
    <w:semiHidden/>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2024-10-10T01:24:14Z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