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许昌市特殊教育学校</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许昌市特殊教育学校</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许昌市特殊教育学校概况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1、全面贯彻执行党和国家的教育方针、政策和法规，实施特殊教育，促进特殊教育发展。</w:t>
        <w:br/>
        <w:t xml:space="preserve">    2、负责依法制定学校章程，并按照章程自主管理。</w:t>
        <w:br/>
        <w:t xml:space="preserve">    3、负责制定学校教育发展规划，并抓好组织实施和落实工作。</w:t>
        <w:br/>
        <w:t xml:space="preserve">    4、负责依据国家教育主管部门有关教学计划、课程设置等方面的规定，决定和实施本校的教学计划，组织教学评比、集体备课，对学生进行统一考核、考试等。</w:t>
        <w:br/>
        <w:t xml:space="preserve">    5、负责科学管理、合理使用学校的设施和经费，并积极筹措资金，改善办学条件。</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许昌市特殊教育学校</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办公室、教务科、总务科、安保科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许昌市特殊教育学校</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许昌市特殊教育学校</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1,365.44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8.55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1,140.01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158.39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41.18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75.54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1,365.44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1,423.68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58.24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1,423.68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1,423.68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1,365.44</w:t>
            </w:r>
          </w:p>
        </w:tc>
        <w:tc>
          <w:tcPr>
            <w:tcW w:w="1440" w:type="dxa"/>
            <w:tcBorders/>
            <w:vAlign w:val="center"/>
          </w:tcPr>
          <w:p>
            <w:pPr>
              <w:jc w:val="right"/>
            </w:pPr>
            <w:r>
              <w:rPr>
                <w:rFonts w:ascii="宋体" w:eastAsia="宋体" w:hAnsi="宋体" w:cs="宋体"/>
                <w:b/>
                <w:i w:val="0"/>
                <w:color w:val="000000"/>
                <w:sz w:val="17"/>
              </w:rPr>
              <w:t xml:space="preserve">1,365.44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8.55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1,081.78</w:t>
            </w:r>
          </w:p>
        </w:tc>
        <w:tc>
          <w:tcPr>
            <w:tcW w:w="1440" w:type="dxa"/>
            <w:tcBorders/>
            <w:vAlign w:val="center"/>
          </w:tcPr>
          <w:p>
            <w:pPr>
              <w:jc w:val="right"/>
            </w:pPr>
            <w:r>
              <w:rPr>
                <w:rFonts w:ascii="宋体" w:eastAsia="宋体" w:hAnsi="宋体" w:cs="宋体"/>
                <w:b w:val="0"/>
                <w:i w:val="0"/>
                <w:color w:val="000000"/>
                <w:sz w:val="17"/>
              </w:rPr>
              <w:t xml:space="preserve">1,081.78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40.35</w:t>
            </w:r>
          </w:p>
        </w:tc>
        <w:tc>
          <w:tcPr>
            <w:tcW w:w="1440" w:type="dxa"/>
            <w:tcBorders/>
            <w:vAlign w:val="center"/>
          </w:tcPr>
          <w:p>
            <w:pPr>
              <w:jc w:val="right"/>
            </w:pPr>
            <w:r>
              <w:rPr>
                <w:rFonts w:ascii="宋体" w:eastAsia="宋体" w:hAnsi="宋体" w:cs="宋体"/>
                <w:b w:val="0"/>
                <w:i w:val="0"/>
                <w:color w:val="000000"/>
                <w:sz w:val="17"/>
              </w:rPr>
              <w:t xml:space="preserve">40.35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40.35</w:t>
            </w:r>
          </w:p>
        </w:tc>
        <w:tc>
          <w:tcPr>
            <w:tcW w:w="1440" w:type="dxa"/>
            <w:tcBorders/>
            <w:vAlign w:val="center"/>
          </w:tcPr>
          <w:p>
            <w:pPr>
              <w:jc w:val="right"/>
            </w:pPr>
            <w:r>
              <w:rPr>
                <w:rFonts w:ascii="宋体" w:eastAsia="宋体" w:hAnsi="宋体" w:cs="宋体"/>
                <w:b w:val="0"/>
                <w:i w:val="0"/>
                <w:color w:val="000000"/>
                <w:sz w:val="17"/>
              </w:rPr>
              <w:t xml:space="preserve">40.35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特殊教育</w:t>
            </w:r>
          </w:p>
        </w:tc>
        <w:tc>
          <w:tcPr>
            <w:tcW w:w="1440" w:type="dxa"/>
            <w:tcBorders/>
            <w:vAlign w:val="center"/>
          </w:tcPr>
          <w:p>
            <w:pPr>
              <w:jc w:val="right"/>
            </w:pPr>
            <w:r>
              <w:rPr>
                <w:rFonts w:ascii="宋体" w:eastAsia="宋体" w:hAnsi="宋体" w:cs="宋体"/>
                <w:b w:val="0"/>
                <w:i w:val="0"/>
                <w:color w:val="000000"/>
                <w:sz w:val="17"/>
              </w:rPr>
              <w:t xml:space="preserve">1,041.43</w:t>
            </w:r>
          </w:p>
        </w:tc>
        <w:tc>
          <w:tcPr>
            <w:tcW w:w="1440" w:type="dxa"/>
            <w:tcBorders/>
            <w:vAlign w:val="center"/>
          </w:tcPr>
          <w:p>
            <w:pPr>
              <w:jc w:val="right"/>
            </w:pPr>
            <w:r>
              <w:rPr>
                <w:rFonts w:ascii="宋体" w:eastAsia="宋体" w:hAnsi="宋体" w:cs="宋体"/>
                <w:b w:val="0"/>
                <w:i w:val="0"/>
                <w:color w:val="000000"/>
                <w:sz w:val="17"/>
              </w:rPr>
              <w:t xml:space="preserve">1,041.43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特殊学校教育</w:t>
            </w:r>
          </w:p>
        </w:tc>
        <w:tc>
          <w:tcPr>
            <w:tcW w:w="1440" w:type="dxa"/>
            <w:tcBorders/>
            <w:vAlign w:val="center"/>
          </w:tcPr>
          <w:p>
            <w:pPr>
              <w:jc w:val="right"/>
            </w:pPr>
            <w:r>
              <w:rPr>
                <w:rFonts w:ascii="宋体" w:eastAsia="宋体" w:hAnsi="宋体" w:cs="宋体"/>
                <w:b w:val="0"/>
                <w:i w:val="0"/>
                <w:color w:val="000000"/>
                <w:sz w:val="17"/>
              </w:rPr>
              <w:t xml:space="preserve">980.81</w:t>
            </w:r>
          </w:p>
        </w:tc>
        <w:tc>
          <w:tcPr>
            <w:tcW w:w="1440" w:type="dxa"/>
            <w:tcBorders/>
            <w:vAlign w:val="center"/>
          </w:tcPr>
          <w:p>
            <w:pPr>
              <w:jc w:val="right"/>
            </w:pPr>
            <w:r>
              <w:rPr>
                <w:rFonts w:ascii="宋体" w:eastAsia="宋体" w:hAnsi="宋体" w:cs="宋体"/>
                <w:b w:val="0"/>
                <w:i w:val="0"/>
                <w:color w:val="000000"/>
                <w:sz w:val="17"/>
              </w:rPr>
              <w:t xml:space="preserve">980.81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其他特殊教育支出</w:t>
            </w:r>
          </w:p>
        </w:tc>
        <w:tc>
          <w:tcPr>
            <w:tcW w:w="1440" w:type="dxa"/>
            <w:tcBorders/>
            <w:vAlign w:val="center"/>
          </w:tcPr>
          <w:p>
            <w:pPr>
              <w:jc w:val="right"/>
            </w:pPr>
            <w:r>
              <w:rPr>
                <w:rFonts w:ascii="宋体" w:eastAsia="宋体" w:hAnsi="宋体" w:cs="宋体"/>
                <w:b w:val="0"/>
                <w:i w:val="0"/>
                <w:color w:val="000000"/>
                <w:sz w:val="17"/>
              </w:rPr>
              <w:t xml:space="preserve">60.61</w:t>
            </w:r>
          </w:p>
        </w:tc>
        <w:tc>
          <w:tcPr>
            <w:tcW w:w="1440" w:type="dxa"/>
            <w:tcBorders/>
            <w:vAlign w:val="center"/>
          </w:tcPr>
          <w:p>
            <w:pPr>
              <w:jc w:val="right"/>
            </w:pPr>
            <w:r>
              <w:rPr>
                <w:rFonts w:ascii="宋体" w:eastAsia="宋体" w:hAnsi="宋体" w:cs="宋体"/>
                <w:b w:val="0"/>
                <w:i w:val="0"/>
                <w:color w:val="000000"/>
                <w:sz w:val="17"/>
              </w:rPr>
              <w:t xml:space="preserve">60.61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158.39</w:t>
            </w:r>
          </w:p>
        </w:tc>
        <w:tc>
          <w:tcPr>
            <w:tcW w:w="1440" w:type="dxa"/>
            <w:tcBorders/>
            <w:vAlign w:val="center"/>
          </w:tcPr>
          <w:p>
            <w:pPr>
              <w:jc w:val="right"/>
            </w:pPr>
            <w:r>
              <w:rPr>
                <w:rFonts w:ascii="宋体" w:eastAsia="宋体" w:hAnsi="宋体" w:cs="宋体"/>
                <w:b w:val="0"/>
                <w:i w:val="0"/>
                <w:color w:val="000000"/>
                <w:sz w:val="17"/>
              </w:rPr>
              <w:t xml:space="preserve">158.39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139.48</w:t>
            </w:r>
          </w:p>
        </w:tc>
        <w:tc>
          <w:tcPr>
            <w:tcW w:w="1440" w:type="dxa"/>
            <w:tcBorders/>
            <w:vAlign w:val="center"/>
          </w:tcPr>
          <w:p>
            <w:pPr>
              <w:jc w:val="right"/>
            </w:pPr>
            <w:r>
              <w:rPr>
                <w:rFonts w:ascii="宋体" w:eastAsia="宋体" w:hAnsi="宋体" w:cs="宋体"/>
                <w:b w:val="0"/>
                <w:i w:val="0"/>
                <w:color w:val="000000"/>
                <w:sz w:val="17"/>
              </w:rPr>
              <w:t xml:space="preserve">139.48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53.66</w:t>
            </w:r>
          </w:p>
        </w:tc>
        <w:tc>
          <w:tcPr>
            <w:tcW w:w="1440" w:type="dxa"/>
            <w:tcBorders/>
            <w:vAlign w:val="center"/>
          </w:tcPr>
          <w:p>
            <w:pPr>
              <w:jc w:val="right"/>
            </w:pPr>
            <w:r>
              <w:rPr>
                <w:rFonts w:ascii="宋体" w:eastAsia="宋体" w:hAnsi="宋体" w:cs="宋体"/>
                <w:b w:val="0"/>
                <w:i w:val="0"/>
                <w:color w:val="000000"/>
                <w:sz w:val="17"/>
              </w:rPr>
              <w:t xml:space="preserve">53.66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85.82</w:t>
            </w:r>
          </w:p>
        </w:tc>
        <w:tc>
          <w:tcPr>
            <w:tcW w:w="1440" w:type="dxa"/>
            <w:tcBorders/>
            <w:vAlign w:val="center"/>
          </w:tcPr>
          <w:p>
            <w:pPr>
              <w:jc w:val="right"/>
            </w:pPr>
            <w:r>
              <w:rPr>
                <w:rFonts w:ascii="宋体" w:eastAsia="宋体" w:hAnsi="宋体" w:cs="宋体"/>
                <w:b w:val="0"/>
                <w:i w:val="0"/>
                <w:color w:val="000000"/>
                <w:sz w:val="17"/>
              </w:rPr>
              <w:t xml:space="preserve">85.82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18.91</w:t>
            </w:r>
          </w:p>
        </w:tc>
        <w:tc>
          <w:tcPr>
            <w:tcW w:w="1440" w:type="dxa"/>
            <w:tcBorders/>
            <w:vAlign w:val="center"/>
          </w:tcPr>
          <w:p>
            <w:pPr>
              <w:jc w:val="right"/>
            </w:pPr>
            <w:r>
              <w:rPr>
                <w:rFonts w:ascii="宋体" w:eastAsia="宋体" w:hAnsi="宋体" w:cs="宋体"/>
                <w:b w:val="0"/>
                <w:i w:val="0"/>
                <w:color w:val="000000"/>
                <w:sz w:val="17"/>
              </w:rPr>
              <w:t xml:space="preserve">18.91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18.91</w:t>
            </w:r>
          </w:p>
        </w:tc>
        <w:tc>
          <w:tcPr>
            <w:tcW w:w="1440" w:type="dxa"/>
            <w:tcBorders/>
            <w:vAlign w:val="center"/>
          </w:tcPr>
          <w:p>
            <w:pPr>
              <w:jc w:val="right"/>
            </w:pPr>
            <w:r>
              <w:rPr>
                <w:rFonts w:ascii="宋体" w:eastAsia="宋体" w:hAnsi="宋体" w:cs="宋体"/>
                <w:b w:val="0"/>
                <w:i w:val="0"/>
                <w:color w:val="000000"/>
                <w:sz w:val="17"/>
              </w:rPr>
              <w:t xml:space="preserve">18.91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41.18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75.54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1,423.68</w:t>
            </w:r>
          </w:p>
        </w:tc>
        <w:tc>
          <w:tcPr>
            <w:tcW w:w="1600" w:type="dxa"/>
            <w:tcBorders/>
            <w:vAlign w:val="center"/>
          </w:tcPr>
          <w:p>
            <w:pPr>
              <w:jc w:val="right"/>
            </w:pPr>
            <w:r>
              <w:rPr>
                <w:rFonts w:ascii="宋体" w:eastAsia="宋体" w:hAnsi="宋体" w:cs="宋体"/>
                <w:b/>
                <w:i w:val="0"/>
                <w:color w:val="000000"/>
                <w:sz w:val="19"/>
              </w:rPr>
              <w:t xml:space="preserve">1,289.64</w:t>
            </w:r>
          </w:p>
        </w:tc>
        <w:tc>
          <w:tcPr>
            <w:tcW w:w="1600" w:type="dxa"/>
            <w:tcBorders/>
            <w:vAlign w:val="center"/>
          </w:tcPr>
          <w:p>
            <w:pPr>
              <w:jc w:val="right"/>
            </w:pPr>
            <w:r>
              <w:rPr>
                <w:rFonts w:ascii="宋体" w:eastAsia="宋体" w:hAnsi="宋体" w:cs="宋体"/>
                <w:b/>
                <w:i w:val="0"/>
                <w:color w:val="000000"/>
                <w:sz w:val="19"/>
              </w:rPr>
              <w:t xml:space="preserve">134.04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8.55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1,140.01</w:t>
            </w:r>
          </w:p>
        </w:tc>
        <w:tc>
          <w:tcPr>
            <w:tcW w:w="1600" w:type="dxa"/>
            <w:tcBorders/>
            <w:vAlign w:val="center"/>
          </w:tcPr>
          <w:p>
            <w:pPr>
              <w:jc w:val="right"/>
            </w:pPr>
            <w:r>
              <w:rPr>
                <w:rFonts w:ascii="宋体" w:eastAsia="宋体" w:hAnsi="宋体" w:cs="宋体"/>
                <w:b w:val="0"/>
                <w:i w:val="0"/>
                <w:color w:val="000000"/>
                <w:sz w:val="19"/>
              </w:rPr>
              <w:t xml:space="preserve">1,005.98</w:t>
            </w:r>
          </w:p>
        </w:tc>
        <w:tc>
          <w:tcPr>
            <w:tcW w:w="1600" w:type="dxa"/>
            <w:tcBorders/>
            <w:vAlign w:val="center"/>
          </w:tcPr>
          <w:p>
            <w:pPr>
              <w:jc w:val="right"/>
            </w:pPr>
            <w:r>
              <w:rPr>
                <w:rFonts w:ascii="宋体" w:eastAsia="宋体" w:hAnsi="宋体" w:cs="宋体"/>
                <w:b w:val="0"/>
                <w:i w:val="0"/>
                <w:color w:val="000000"/>
                <w:sz w:val="19"/>
              </w:rPr>
              <w:t xml:space="preserve">134.04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98.59</w:t>
            </w:r>
          </w:p>
        </w:tc>
        <w:tc>
          <w:tcPr>
            <w:tcW w:w="1600" w:type="dxa"/>
            <w:tcBorders/>
            <w:vAlign w:val="center"/>
          </w:tcPr>
          <w:p>
            <w:pPr>
              <w:jc w:val="right"/>
            </w:pPr>
            <w:r>
              <w:rPr>
                <w:rFonts w:ascii="宋体" w:eastAsia="宋体" w:hAnsi="宋体" w:cs="宋体"/>
                <w:b w:val="0"/>
                <w:i w:val="0"/>
                <w:color w:val="000000"/>
                <w:sz w:val="19"/>
              </w:rPr>
              <w:t xml:space="preserve">86.59</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98.59</w:t>
            </w:r>
          </w:p>
        </w:tc>
        <w:tc>
          <w:tcPr>
            <w:tcW w:w="1600" w:type="dxa"/>
            <w:tcBorders/>
            <w:vAlign w:val="center"/>
          </w:tcPr>
          <w:p>
            <w:pPr>
              <w:jc w:val="right"/>
            </w:pPr>
            <w:r>
              <w:rPr>
                <w:rFonts w:ascii="宋体" w:eastAsia="宋体" w:hAnsi="宋体" w:cs="宋体"/>
                <w:b w:val="0"/>
                <w:i w:val="0"/>
                <w:color w:val="000000"/>
                <w:sz w:val="19"/>
              </w:rPr>
              <w:t xml:space="preserve">86.59</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特殊教育</w:t>
            </w:r>
          </w:p>
        </w:tc>
        <w:tc>
          <w:tcPr>
            <w:tcW w:w="1600" w:type="dxa"/>
            <w:tcBorders/>
            <w:vAlign w:val="center"/>
          </w:tcPr>
          <w:p>
            <w:pPr>
              <w:jc w:val="right"/>
            </w:pPr>
            <w:r>
              <w:rPr>
                <w:rFonts w:ascii="宋体" w:eastAsia="宋体" w:hAnsi="宋体" w:cs="宋体"/>
                <w:b w:val="0"/>
                <w:i w:val="0"/>
                <w:color w:val="000000"/>
                <w:sz w:val="19"/>
              </w:rPr>
              <w:t xml:space="preserve">1,041.43</w:t>
            </w:r>
          </w:p>
        </w:tc>
        <w:tc>
          <w:tcPr>
            <w:tcW w:w="1600" w:type="dxa"/>
            <w:tcBorders/>
            <w:vAlign w:val="center"/>
          </w:tcPr>
          <w:p>
            <w:pPr>
              <w:jc w:val="right"/>
            </w:pPr>
            <w:r>
              <w:rPr>
                <w:rFonts w:ascii="宋体" w:eastAsia="宋体" w:hAnsi="宋体" w:cs="宋体"/>
                <w:b w:val="0"/>
                <w:i w:val="0"/>
                <w:color w:val="000000"/>
                <w:sz w:val="19"/>
              </w:rPr>
              <w:t xml:space="preserve">919.39</w:t>
            </w:r>
          </w:p>
        </w:tc>
        <w:tc>
          <w:tcPr>
            <w:tcW w:w="1600" w:type="dxa"/>
            <w:tcBorders/>
            <w:vAlign w:val="center"/>
          </w:tcPr>
          <w:p>
            <w:pPr>
              <w:jc w:val="right"/>
            </w:pPr>
            <w:r>
              <w:rPr>
                <w:rFonts w:ascii="宋体" w:eastAsia="宋体" w:hAnsi="宋体" w:cs="宋体"/>
                <w:b w:val="0"/>
                <w:i w:val="0"/>
                <w:color w:val="000000"/>
                <w:sz w:val="19"/>
              </w:rPr>
              <w:t xml:space="preserve">122.04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特殊学校教育</w:t>
            </w:r>
          </w:p>
        </w:tc>
        <w:tc>
          <w:tcPr>
            <w:tcW w:w="1600" w:type="dxa"/>
            <w:tcBorders/>
            <w:vAlign w:val="center"/>
          </w:tcPr>
          <w:p>
            <w:pPr>
              <w:jc w:val="right"/>
            </w:pPr>
            <w:r>
              <w:rPr>
                <w:rFonts w:ascii="宋体" w:eastAsia="宋体" w:hAnsi="宋体" w:cs="宋体"/>
                <w:b w:val="0"/>
                <w:i w:val="0"/>
                <w:color w:val="000000"/>
                <w:sz w:val="19"/>
              </w:rPr>
              <w:t xml:space="preserve">980.81</w:t>
            </w:r>
          </w:p>
        </w:tc>
        <w:tc>
          <w:tcPr>
            <w:tcW w:w="1600" w:type="dxa"/>
            <w:tcBorders/>
            <w:vAlign w:val="center"/>
          </w:tcPr>
          <w:p>
            <w:pPr>
              <w:jc w:val="right"/>
            </w:pPr>
            <w:r>
              <w:rPr>
                <w:rFonts w:ascii="宋体" w:eastAsia="宋体" w:hAnsi="宋体" w:cs="宋体"/>
                <w:b w:val="0"/>
                <w:i w:val="0"/>
                <w:color w:val="000000"/>
                <w:sz w:val="19"/>
              </w:rPr>
              <w:t xml:space="preserve">918.55</w:t>
            </w:r>
          </w:p>
        </w:tc>
        <w:tc>
          <w:tcPr>
            <w:tcW w:w="1600" w:type="dxa"/>
            <w:tcBorders/>
            <w:vAlign w:val="center"/>
          </w:tcPr>
          <w:p>
            <w:pPr>
              <w:jc w:val="right"/>
            </w:pPr>
            <w:r>
              <w:rPr>
                <w:rFonts w:ascii="宋体" w:eastAsia="宋体" w:hAnsi="宋体" w:cs="宋体"/>
                <w:b w:val="0"/>
                <w:i w:val="0"/>
                <w:color w:val="000000"/>
                <w:sz w:val="19"/>
              </w:rPr>
              <w:t xml:space="preserve">62.27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其他特殊教育支出</w:t>
            </w:r>
          </w:p>
        </w:tc>
        <w:tc>
          <w:tcPr>
            <w:tcW w:w="1600" w:type="dxa"/>
            <w:tcBorders/>
            <w:vAlign w:val="center"/>
          </w:tcPr>
          <w:p>
            <w:pPr>
              <w:jc w:val="right"/>
            </w:pPr>
            <w:r>
              <w:rPr>
                <w:rFonts w:ascii="宋体" w:eastAsia="宋体" w:hAnsi="宋体" w:cs="宋体"/>
                <w:b w:val="0"/>
                <w:i w:val="0"/>
                <w:color w:val="000000"/>
                <w:sz w:val="19"/>
              </w:rPr>
              <w:t xml:space="preserve">60.61</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59.77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158.39</w:t>
            </w:r>
          </w:p>
        </w:tc>
        <w:tc>
          <w:tcPr>
            <w:tcW w:w="1600" w:type="dxa"/>
            <w:tcBorders/>
            <w:vAlign w:val="center"/>
          </w:tcPr>
          <w:p>
            <w:pPr>
              <w:jc w:val="right"/>
            </w:pPr>
            <w:r>
              <w:rPr>
                <w:rFonts w:ascii="宋体" w:eastAsia="宋体" w:hAnsi="宋体" w:cs="宋体"/>
                <w:b w:val="0"/>
                <w:i w:val="0"/>
                <w:color w:val="000000"/>
                <w:sz w:val="19"/>
              </w:rPr>
              <w:t xml:space="preserve">158.39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139.48</w:t>
            </w:r>
          </w:p>
        </w:tc>
        <w:tc>
          <w:tcPr>
            <w:tcW w:w="1600" w:type="dxa"/>
            <w:tcBorders/>
            <w:vAlign w:val="center"/>
          </w:tcPr>
          <w:p>
            <w:pPr>
              <w:jc w:val="right"/>
            </w:pPr>
            <w:r>
              <w:rPr>
                <w:rFonts w:ascii="宋体" w:eastAsia="宋体" w:hAnsi="宋体" w:cs="宋体"/>
                <w:b w:val="0"/>
                <w:i w:val="0"/>
                <w:color w:val="000000"/>
                <w:sz w:val="19"/>
              </w:rPr>
              <w:t xml:space="preserve">139.48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53.66</w:t>
            </w:r>
          </w:p>
        </w:tc>
        <w:tc>
          <w:tcPr>
            <w:tcW w:w="1600" w:type="dxa"/>
            <w:tcBorders/>
            <w:vAlign w:val="center"/>
          </w:tcPr>
          <w:p>
            <w:pPr>
              <w:jc w:val="right"/>
            </w:pPr>
            <w:r>
              <w:rPr>
                <w:rFonts w:ascii="宋体" w:eastAsia="宋体" w:hAnsi="宋体" w:cs="宋体"/>
                <w:b w:val="0"/>
                <w:i w:val="0"/>
                <w:color w:val="000000"/>
                <w:sz w:val="19"/>
              </w:rPr>
              <w:t xml:space="preserve">53.66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85.82</w:t>
            </w:r>
          </w:p>
        </w:tc>
        <w:tc>
          <w:tcPr>
            <w:tcW w:w="1600" w:type="dxa"/>
            <w:tcBorders/>
            <w:vAlign w:val="center"/>
          </w:tcPr>
          <w:p>
            <w:pPr>
              <w:jc w:val="right"/>
            </w:pPr>
            <w:r>
              <w:rPr>
                <w:rFonts w:ascii="宋体" w:eastAsia="宋体" w:hAnsi="宋体" w:cs="宋体"/>
                <w:b w:val="0"/>
                <w:i w:val="0"/>
                <w:color w:val="000000"/>
                <w:sz w:val="19"/>
              </w:rPr>
              <w:t xml:space="preserve">85.82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18.91</w:t>
            </w:r>
          </w:p>
        </w:tc>
        <w:tc>
          <w:tcPr>
            <w:tcW w:w="1600" w:type="dxa"/>
            <w:tcBorders/>
            <w:vAlign w:val="center"/>
          </w:tcPr>
          <w:p>
            <w:pPr>
              <w:jc w:val="right"/>
            </w:pPr>
            <w:r>
              <w:rPr>
                <w:rFonts w:ascii="宋体" w:eastAsia="宋体" w:hAnsi="宋体" w:cs="宋体"/>
                <w:b w:val="0"/>
                <w:i w:val="0"/>
                <w:color w:val="000000"/>
                <w:sz w:val="19"/>
              </w:rPr>
              <w:t xml:space="preserve">18.91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18.91</w:t>
            </w:r>
          </w:p>
        </w:tc>
        <w:tc>
          <w:tcPr>
            <w:tcW w:w="1600" w:type="dxa"/>
            <w:tcBorders/>
            <w:vAlign w:val="center"/>
          </w:tcPr>
          <w:p>
            <w:pPr>
              <w:jc w:val="right"/>
            </w:pPr>
            <w:r>
              <w:rPr>
                <w:rFonts w:ascii="宋体" w:eastAsia="宋体" w:hAnsi="宋体" w:cs="宋体"/>
                <w:b w:val="0"/>
                <w:i w:val="0"/>
                <w:color w:val="000000"/>
                <w:sz w:val="19"/>
              </w:rPr>
              <w:t xml:space="preserve">18.91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41.18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75.54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1,365.44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8.55</w:t>
            </w:r>
          </w:p>
        </w:tc>
        <w:tc>
          <w:tcPr>
            <w:tcW w:w="1420" w:type="dxa"/>
            <w:tcBorders/>
            <w:vAlign w:val="center"/>
          </w:tcPr>
          <w:p>
            <w:pPr>
              <w:jc w:val="right"/>
            </w:pPr>
            <w:r>
              <w:rPr>
                <w:rFonts w:ascii="宋体" w:eastAsia="宋体" w:hAnsi="宋体" w:cs="宋体"/>
                <w:b w:val="0"/>
                <w:i w:val="0"/>
                <w:color w:val="000000"/>
                <w:sz w:val="18"/>
              </w:rPr>
              <w:t xml:space="preserve">8.55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1,140.01</w:t>
            </w:r>
          </w:p>
        </w:tc>
        <w:tc>
          <w:tcPr>
            <w:tcW w:w="1420" w:type="dxa"/>
            <w:tcBorders/>
            <w:vAlign w:val="center"/>
          </w:tcPr>
          <w:p>
            <w:pPr>
              <w:jc w:val="right"/>
            </w:pPr>
            <w:r>
              <w:rPr>
                <w:rFonts w:ascii="宋体" w:eastAsia="宋体" w:hAnsi="宋体" w:cs="宋体"/>
                <w:b w:val="0"/>
                <w:i w:val="0"/>
                <w:color w:val="000000"/>
                <w:sz w:val="18"/>
              </w:rPr>
              <w:t xml:space="preserve">1,140.01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158.39</w:t>
            </w:r>
          </w:p>
        </w:tc>
        <w:tc>
          <w:tcPr>
            <w:tcW w:w="1420" w:type="dxa"/>
            <w:tcBorders/>
            <w:vAlign w:val="center"/>
          </w:tcPr>
          <w:p>
            <w:pPr>
              <w:jc w:val="right"/>
            </w:pPr>
            <w:r>
              <w:rPr>
                <w:rFonts w:ascii="宋体" w:eastAsia="宋体" w:hAnsi="宋体" w:cs="宋体"/>
                <w:b w:val="0"/>
                <w:i w:val="0"/>
                <w:color w:val="000000"/>
                <w:sz w:val="18"/>
              </w:rPr>
              <w:t xml:space="preserve">158.39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41.18</w:t>
            </w:r>
          </w:p>
        </w:tc>
        <w:tc>
          <w:tcPr>
            <w:tcW w:w="1420" w:type="dxa"/>
            <w:tcBorders/>
            <w:vAlign w:val="center"/>
          </w:tcPr>
          <w:p>
            <w:pPr>
              <w:jc w:val="right"/>
            </w:pPr>
            <w:r>
              <w:rPr>
                <w:rFonts w:ascii="宋体" w:eastAsia="宋体" w:hAnsi="宋体" w:cs="宋体"/>
                <w:b w:val="0"/>
                <w:i w:val="0"/>
                <w:color w:val="000000"/>
                <w:sz w:val="18"/>
              </w:rPr>
              <w:t xml:space="preserve">41.18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75.54</w:t>
            </w:r>
          </w:p>
        </w:tc>
        <w:tc>
          <w:tcPr>
            <w:tcW w:w="1420" w:type="dxa"/>
            <w:tcBorders/>
            <w:vAlign w:val="center"/>
          </w:tcPr>
          <w:p>
            <w:pPr>
              <w:jc w:val="right"/>
            </w:pPr>
            <w:r>
              <w:rPr>
                <w:rFonts w:ascii="宋体" w:eastAsia="宋体" w:hAnsi="宋体" w:cs="宋体"/>
                <w:b w:val="0"/>
                <w:i w:val="0"/>
                <w:color w:val="000000"/>
                <w:sz w:val="18"/>
              </w:rPr>
              <w:t xml:space="preserve">75.54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1,365.44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1,423.68</w:t>
            </w:r>
          </w:p>
        </w:tc>
        <w:tc>
          <w:tcPr>
            <w:tcW w:w="1420" w:type="dxa"/>
            <w:tcBorders/>
            <w:vAlign w:val="center"/>
          </w:tcPr>
          <w:p>
            <w:pPr>
              <w:jc w:val="right"/>
            </w:pPr>
            <w:r>
              <w:rPr>
                <w:rFonts w:ascii="宋体" w:eastAsia="宋体" w:hAnsi="宋体" w:cs="宋体"/>
                <w:b w:val="0"/>
                <w:i w:val="0"/>
                <w:color w:val="000000"/>
                <w:sz w:val="18"/>
              </w:rPr>
              <w:t xml:space="preserve">1,423.68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58.24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58.24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1,423.68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1,423.68</w:t>
            </w:r>
          </w:p>
        </w:tc>
        <w:tc>
          <w:tcPr>
            <w:tcW w:w="1420" w:type="dxa"/>
            <w:tcBorders/>
            <w:vAlign w:val="center"/>
          </w:tcPr>
          <w:p>
            <w:pPr>
              <w:jc w:val="right"/>
            </w:pPr>
            <w:r>
              <w:rPr>
                <w:rFonts w:ascii="宋体" w:eastAsia="宋体" w:hAnsi="宋体" w:cs="宋体"/>
                <w:b w:val="0"/>
                <w:i w:val="0"/>
                <w:color w:val="000000"/>
                <w:sz w:val="18"/>
              </w:rPr>
              <w:t xml:space="preserve">1,423.68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1,423.68</w:t>
            </w:r>
          </w:p>
        </w:tc>
        <w:tc>
          <w:tcPr>
            <w:tcW w:w="2700" w:type="dxa"/>
            <w:tcBorders/>
            <w:vAlign w:val="center"/>
          </w:tcPr>
          <w:p>
            <w:pPr>
              <w:jc w:val="right"/>
            </w:pPr>
            <w:r>
              <w:rPr>
                <w:rFonts w:ascii="宋体" w:eastAsia="宋体" w:hAnsi="宋体" w:cs="宋体"/>
                <w:b/>
                <w:i w:val="0"/>
                <w:color w:val="000000"/>
                <w:sz w:val="25"/>
              </w:rPr>
              <w:t xml:space="preserve">1,289.64</w:t>
            </w:r>
          </w:p>
        </w:tc>
        <w:tc>
          <w:tcPr>
            <w:tcW w:w="2658" w:type="dxa"/>
            <w:tcBorders/>
            <w:vAlign w:val="center"/>
          </w:tcPr>
          <w:p>
            <w:pPr>
              <w:jc w:val="right"/>
            </w:pPr>
            <w:r>
              <w:rPr>
                <w:rFonts w:ascii="宋体" w:eastAsia="宋体" w:hAnsi="宋体" w:cs="宋体"/>
                <w:b/>
                <w:i w:val="0"/>
                <w:color w:val="000000"/>
                <w:sz w:val="25"/>
              </w:rPr>
              <w:t xml:space="preserve">134.04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700" w:type="dxa"/>
            <w:tcBorders/>
            <w:vAlign w:val="center"/>
          </w:tcPr>
          <w:p>
            <w:pPr>
              <w:jc w:val="right"/>
            </w:pPr>
            <w:r>
              <w:rPr>
                <w:rFonts w:ascii="宋体" w:eastAsia="宋体" w:hAnsi="宋体" w:cs="宋体"/>
                <w:b w:val="0"/>
                <w:i w:val="0"/>
                <w:color w:val="000000"/>
                <w:sz w:val="25"/>
              </w:rPr>
              <w:t xml:space="preserve">8.55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1,140.01</w:t>
            </w:r>
          </w:p>
        </w:tc>
        <w:tc>
          <w:tcPr>
            <w:tcW w:w="2700" w:type="dxa"/>
            <w:tcBorders/>
            <w:vAlign w:val="center"/>
          </w:tcPr>
          <w:p>
            <w:pPr>
              <w:jc w:val="right"/>
            </w:pPr>
            <w:r>
              <w:rPr>
                <w:rFonts w:ascii="宋体" w:eastAsia="宋体" w:hAnsi="宋体" w:cs="宋体"/>
                <w:b w:val="0"/>
                <w:i w:val="0"/>
                <w:color w:val="000000"/>
                <w:sz w:val="25"/>
              </w:rPr>
              <w:t xml:space="preserve">1,005.98</w:t>
            </w:r>
          </w:p>
        </w:tc>
        <w:tc>
          <w:tcPr>
            <w:tcW w:w="2658" w:type="dxa"/>
            <w:tcBorders/>
            <w:vAlign w:val="center"/>
          </w:tcPr>
          <w:p>
            <w:pPr>
              <w:jc w:val="right"/>
            </w:pPr>
            <w:r>
              <w:rPr>
                <w:rFonts w:ascii="宋体" w:eastAsia="宋体" w:hAnsi="宋体" w:cs="宋体"/>
                <w:b w:val="0"/>
                <w:i w:val="0"/>
                <w:color w:val="000000"/>
                <w:sz w:val="25"/>
              </w:rPr>
              <w:t xml:space="preserve">134.04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98.59</w:t>
            </w:r>
          </w:p>
        </w:tc>
        <w:tc>
          <w:tcPr>
            <w:tcW w:w="2700" w:type="dxa"/>
            <w:tcBorders/>
            <w:vAlign w:val="center"/>
          </w:tcPr>
          <w:p>
            <w:pPr>
              <w:jc w:val="right"/>
            </w:pPr>
            <w:r>
              <w:rPr>
                <w:rFonts w:ascii="宋体" w:eastAsia="宋体" w:hAnsi="宋体" w:cs="宋体"/>
                <w:b w:val="0"/>
                <w:i w:val="0"/>
                <w:color w:val="000000"/>
                <w:sz w:val="25"/>
              </w:rPr>
              <w:t xml:space="preserve">86.59</w:t>
            </w:r>
          </w:p>
        </w:tc>
        <w:tc>
          <w:tcPr>
            <w:tcW w:w="2658" w:type="dxa"/>
            <w:tcBorders/>
            <w:vAlign w:val="center"/>
          </w:tcPr>
          <w:p>
            <w:pPr>
              <w:jc w:val="right"/>
            </w:pPr>
            <w:r>
              <w:rPr>
                <w:rFonts w:ascii="宋体" w:eastAsia="宋体" w:hAnsi="宋体" w:cs="宋体"/>
                <w:b w:val="0"/>
                <w:i w:val="0"/>
                <w:color w:val="000000"/>
                <w:sz w:val="25"/>
              </w:rPr>
              <w:t xml:space="preserve">12.00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98.59</w:t>
            </w:r>
          </w:p>
        </w:tc>
        <w:tc>
          <w:tcPr>
            <w:tcW w:w="2700" w:type="dxa"/>
            <w:tcBorders/>
            <w:vAlign w:val="center"/>
          </w:tcPr>
          <w:p>
            <w:pPr>
              <w:jc w:val="right"/>
            </w:pPr>
            <w:r>
              <w:rPr>
                <w:rFonts w:ascii="宋体" w:eastAsia="宋体" w:hAnsi="宋体" w:cs="宋体"/>
                <w:b w:val="0"/>
                <w:i w:val="0"/>
                <w:color w:val="000000"/>
                <w:sz w:val="25"/>
              </w:rPr>
              <w:t xml:space="preserve">86.59</w:t>
            </w:r>
          </w:p>
        </w:tc>
        <w:tc>
          <w:tcPr>
            <w:tcW w:w="2658" w:type="dxa"/>
            <w:tcBorders/>
            <w:vAlign w:val="center"/>
          </w:tcPr>
          <w:p>
            <w:pPr>
              <w:jc w:val="right"/>
            </w:pPr>
            <w:r>
              <w:rPr>
                <w:rFonts w:ascii="宋体" w:eastAsia="宋体" w:hAnsi="宋体" w:cs="宋体"/>
                <w:b w:val="0"/>
                <w:i w:val="0"/>
                <w:color w:val="000000"/>
                <w:sz w:val="25"/>
              </w:rPr>
              <w:t xml:space="preserve">12.00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特殊教育</w:t>
            </w:r>
          </w:p>
        </w:tc>
        <w:tc>
          <w:tcPr>
            <w:tcW w:w="2700" w:type="dxa"/>
            <w:tcBorders/>
            <w:vAlign w:val="center"/>
          </w:tcPr>
          <w:p>
            <w:pPr>
              <w:jc w:val="right"/>
            </w:pPr>
            <w:r>
              <w:rPr>
                <w:rFonts w:ascii="宋体" w:eastAsia="宋体" w:hAnsi="宋体" w:cs="宋体"/>
                <w:b w:val="0"/>
                <w:i w:val="0"/>
                <w:color w:val="000000"/>
                <w:sz w:val="25"/>
              </w:rPr>
              <w:t xml:space="preserve">1,041.43</w:t>
            </w:r>
          </w:p>
        </w:tc>
        <w:tc>
          <w:tcPr>
            <w:tcW w:w="2700" w:type="dxa"/>
            <w:tcBorders/>
            <w:vAlign w:val="center"/>
          </w:tcPr>
          <w:p>
            <w:pPr>
              <w:jc w:val="right"/>
            </w:pPr>
            <w:r>
              <w:rPr>
                <w:rFonts w:ascii="宋体" w:eastAsia="宋体" w:hAnsi="宋体" w:cs="宋体"/>
                <w:b w:val="0"/>
                <w:i w:val="0"/>
                <w:color w:val="000000"/>
                <w:sz w:val="25"/>
              </w:rPr>
              <w:t xml:space="preserve">919.39</w:t>
            </w:r>
          </w:p>
        </w:tc>
        <w:tc>
          <w:tcPr>
            <w:tcW w:w="2658" w:type="dxa"/>
            <w:tcBorders/>
            <w:vAlign w:val="center"/>
          </w:tcPr>
          <w:p>
            <w:pPr>
              <w:jc w:val="right"/>
            </w:pPr>
            <w:r>
              <w:rPr>
                <w:rFonts w:ascii="宋体" w:eastAsia="宋体" w:hAnsi="宋体" w:cs="宋体"/>
                <w:b w:val="0"/>
                <w:i w:val="0"/>
                <w:color w:val="000000"/>
                <w:sz w:val="25"/>
              </w:rPr>
              <w:t xml:space="preserve">122.04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特殊学校教育</w:t>
            </w:r>
          </w:p>
        </w:tc>
        <w:tc>
          <w:tcPr>
            <w:tcW w:w="2700" w:type="dxa"/>
            <w:tcBorders/>
            <w:vAlign w:val="center"/>
          </w:tcPr>
          <w:p>
            <w:pPr>
              <w:jc w:val="right"/>
            </w:pPr>
            <w:r>
              <w:rPr>
                <w:rFonts w:ascii="宋体" w:eastAsia="宋体" w:hAnsi="宋体" w:cs="宋体"/>
                <w:b w:val="0"/>
                <w:i w:val="0"/>
                <w:color w:val="000000"/>
                <w:sz w:val="25"/>
              </w:rPr>
              <w:t xml:space="preserve">980.81</w:t>
            </w:r>
          </w:p>
        </w:tc>
        <w:tc>
          <w:tcPr>
            <w:tcW w:w="2700" w:type="dxa"/>
            <w:tcBorders/>
            <w:vAlign w:val="center"/>
          </w:tcPr>
          <w:p>
            <w:pPr>
              <w:jc w:val="right"/>
            </w:pPr>
            <w:r>
              <w:rPr>
                <w:rFonts w:ascii="宋体" w:eastAsia="宋体" w:hAnsi="宋体" w:cs="宋体"/>
                <w:b w:val="0"/>
                <w:i w:val="0"/>
                <w:color w:val="000000"/>
                <w:sz w:val="25"/>
              </w:rPr>
              <w:t xml:space="preserve">918.55</w:t>
            </w:r>
          </w:p>
        </w:tc>
        <w:tc>
          <w:tcPr>
            <w:tcW w:w="2658" w:type="dxa"/>
            <w:tcBorders/>
            <w:vAlign w:val="center"/>
          </w:tcPr>
          <w:p>
            <w:pPr>
              <w:jc w:val="right"/>
            </w:pPr>
            <w:r>
              <w:rPr>
                <w:rFonts w:ascii="宋体" w:eastAsia="宋体" w:hAnsi="宋体" w:cs="宋体"/>
                <w:b w:val="0"/>
                <w:i w:val="0"/>
                <w:color w:val="000000"/>
                <w:sz w:val="25"/>
              </w:rPr>
              <w:t xml:space="preserve">62.27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其他特殊教育支出</w:t>
            </w:r>
          </w:p>
        </w:tc>
        <w:tc>
          <w:tcPr>
            <w:tcW w:w="2700" w:type="dxa"/>
            <w:tcBorders/>
            <w:vAlign w:val="center"/>
          </w:tcPr>
          <w:p>
            <w:pPr>
              <w:jc w:val="right"/>
            </w:pPr>
            <w:r>
              <w:rPr>
                <w:rFonts w:ascii="宋体" w:eastAsia="宋体" w:hAnsi="宋体" w:cs="宋体"/>
                <w:b w:val="0"/>
                <w:i w:val="0"/>
                <w:color w:val="000000"/>
                <w:sz w:val="25"/>
              </w:rPr>
              <w:t xml:space="preserve">60.61</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59.77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158.39</w:t>
            </w:r>
          </w:p>
        </w:tc>
        <w:tc>
          <w:tcPr>
            <w:tcW w:w="2700" w:type="dxa"/>
            <w:tcBorders/>
            <w:vAlign w:val="center"/>
          </w:tcPr>
          <w:p>
            <w:pPr>
              <w:jc w:val="right"/>
            </w:pPr>
            <w:r>
              <w:rPr>
                <w:rFonts w:ascii="宋体" w:eastAsia="宋体" w:hAnsi="宋体" w:cs="宋体"/>
                <w:b w:val="0"/>
                <w:i w:val="0"/>
                <w:color w:val="000000"/>
                <w:sz w:val="25"/>
              </w:rPr>
              <w:t xml:space="preserve">158.39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139.48</w:t>
            </w:r>
          </w:p>
        </w:tc>
        <w:tc>
          <w:tcPr>
            <w:tcW w:w="2700" w:type="dxa"/>
            <w:tcBorders/>
            <w:vAlign w:val="center"/>
          </w:tcPr>
          <w:p>
            <w:pPr>
              <w:jc w:val="right"/>
            </w:pPr>
            <w:r>
              <w:rPr>
                <w:rFonts w:ascii="宋体" w:eastAsia="宋体" w:hAnsi="宋体" w:cs="宋体"/>
                <w:b w:val="0"/>
                <w:i w:val="0"/>
                <w:color w:val="000000"/>
                <w:sz w:val="25"/>
              </w:rPr>
              <w:t xml:space="preserve">139.48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53.66</w:t>
            </w:r>
          </w:p>
        </w:tc>
        <w:tc>
          <w:tcPr>
            <w:tcW w:w="2700" w:type="dxa"/>
            <w:tcBorders/>
            <w:vAlign w:val="center"/>
          </w:tcPr>
          <w:p>
            <w:pPr>
              <w:jc w:val="right"/>
            </w:pPr>
            <w:r>
              <w:rPr>
                <w:rFonts w:ascii="宋体" w:eastAsia="宋体" w:hAnsi="宋体" w:cs="宋体"/>
                <w:b w:val="0"/>
                <w:i w:val="0"/>
                <w:color w:val="000000"/>
                <w:sz w:val="25"/>
              </w:rPr>
              <w:t xml:space="preserve">53.66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85.82</w:t>
            </w:r>
          </w:p>
        </w:tc>
        <w:tc>
          <w:tcPr>
            <w:tcW w:w="2700" w:type="dxa"/>
            <w:tcBorders/>
            <w:vAlign w:val="center"/>
          </w:tcPr>
          <w:p>
            <w:pPr>
              <w:jc w:val="right"/>
            </w:pPr>
            <w:r>
              <w:rPr>
                <w:rFonts w:ascii="宋体" w:eastAsia="宋体" w:hAnsi="宋体" w:cs="宋体"/>
                <w:b w:val="0"/>
                <w:i w:val="0"/>
                <w:color w:val="000000"/>
                <w:sz w:val="25"/>
              </w:rPr>
              <w:t xml:space="preserve">85.82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18.91</w:t>
            </w:r>
          </w:p>
        </w:tc>
        <w:tc>
          <w:tcPr>
            <w:tcW w:w="2700" w:type="dxa"/>
            <w:tcBorders/>
            <w:vAlign w:val="center"/>
          </w:tcPr>
          <w:p>
            <w:pPr>
              <w:jc w:val="right"/>
            </w:pPr>
            <w:r>
              <w:rPr>
                <w:rFonts w:ascii="宋体" w:eastAsia="宋体" w:hAnsi="宋体" w:cs="宋体"/>
                <w:b w:val="0"/>
                <w:i w:val="0"/>
                <w:color w:val="000000"/>
                <w:sz w:val="25"/>
              </w:rPr>
              <w:t xml:space="preserve">18.91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18.91</w:t>
            </w:r>
          </w:p>
        </w:tc>
        <w:tc>
          <w:tcPr>
            <w:tcW w:w="2700" w:type="dxa"/>
            <w:tcBorders/>
            <w:vAlign w:val="center"/>
          </w:tcPr>
          <w:p>
            <w:pPr>
              <w:jc w:val="right"/>
            </w:pPr>
            <w:r>
              <w:rPr>
                <w:rFonts w:ascii="宋体" w:eastAsia="宋体" w:hAnsi="宋体" w:cs="宋体"/>
                <w:b w:val="0"/>
                <w:i w:val="0"/>
                <w:color w:val="000000"/>
                <w:sz w:val="25"/>
              </w:rPr>
              <w:t xml:space="preserve">18.91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700" w:type="dxa"/>
            <w:tcBorders/>
            <w:vAlign w:val="center"/>
          </w:tcPr>
          <w:p>
            <w:pPr>
              <w:jc w:val="right"/>
            </w:pPr>
            <w:r>
              <w:rPr>
                <w:rFonts w:ascii="宋体" w:eastAsia="宋体" w:hAnsi="宋体" w:cs="宋体"/>
                <w:b w:val="0"/>
                <w:i w:val="0"/>
                <w:color w:val="000000"/>
                <w:sz w:val="25"/>
              </w:rPr>
              <w:t xml:space="preserve">41.18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700" w:type="dxa"/>
            <w:tcBorders/>
            <w:vAlign w:val="center"/>
          </w:tcPr>
          <w:p>
            <w:pPr>
              <w:jc w:val="right"/>
            </w:pPr>
            <w:r>
              <w:rPr>
                <w:rFonts w:ascii="宋体" w:eastAsia="宋体" w:hAnsi="宋体" w:cs="宋体"/>
                <w:b w:val="0"/>
                <w:i w:val="0"/>
                <w:color w:val="000000"/>
                <w:sz w:val="25"/>
              </w:rPr>
              <w:t xml:space="preserve">75.54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1,178.88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33.94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379.35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175.83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273.85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133.46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85.82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41.18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11.65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3.49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75.54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2.18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76.83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54.02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18.91</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11.91</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2.08</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8.55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7.29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0.77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1,255.70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33.94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单位：许昌市特殊教育学校</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1423.68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增加77.98万元，增长5.79%</w:t>
      </w:r>
      <w:r>
        <w:rPr>
          <w:rFonts w:ascii="仿宋" w:eastAsia="仿宋" w:hAnsi="仿宋" w:cs="仿宋" w:hint="eastAsia"/>
          <w:kern w:val="0"/>
          <w:sz w:val="32"/>
          <w:szCs w:val="32"/>
          <w:lang w:val="en-US" w:eastAsia="zh-CN"/>
        </w:rPr>
        <w:t xml:space="preserve">。主要原因是教育教学投入增加。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1365.44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财政拨款收入1365.44万元，占100.00%；上级补助收入0.00万元，占0.00%；事业收入0.00万元，占0.00%；经营收入0.00万元，占0.00%；附属单位上缴收入0.00万元，占0.00%；其他收入0.00万元，占0.00%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1423.68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基本支出1289.64万元，占90.58%；项目支出134.04万元，占9.42%；上缴上级支出0.00万元，占0.00%；经营支出0.00万元，占0.00%；对附属单位补助支出0.00万元，占0.00%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1423.68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增加77.98万元，增长5.79%</w:t>
      </w:r>
      <w:r>
        <w:rPr>
          <w:rFonts w:ascii="仿宋" w:eastAsia="仿宋" w:hAnsi="仿宋" w:cs="仿宋" w:hint="eastAsia"/>
          <w:kern w:val="0"/>
          <w:sz w:val="32"/>
          <w:szCs w:val="32"/>
          <w:lang w:val="en-US" w:eastAsia="zh-CN"/>
        </w:rPr>
        <w:t xml:space="preserve">。主要原因是教育教学投入增加。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1423.68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增加77.98万元，增长5.79%</w:t>
      </w:r>
      <w:r>
        <w:rPr>
          <w:rFonts w:ascii="仿宋" w:eastAsia="仿宋" w:hAnsi="仿宋" w:cs="仿宋" w:hint="eastAsia"/>
          <w:kern w:val="0"/>
          <w:sz w:val="32"/>
          <w:szCs w:val="32"/>
          <w:lang w:val="en-US" w:eastAsia="zh-CN"/>
        </w:rPr>
        <w:t xml:space="preserve">。主要原因是教育教学投入增加。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1423.68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一般公共服务支出（类）8.55万元，占0.60%；教育支出（类）1140.01万元，占80.07%；社会保障和就业支出（类）158.39万元，占11.13%；卫生健康支出（类）41.18万元，占2.89%；住房保障支出（类）75.54万元，占5.31%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1446.57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1423.68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98.42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年初预算数为8.55万元，决算数8.55万元,完成年初预算的100.00%，决算数与年初预算数不存在差异。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2.教育支出（类）普通教育（款）其他普通教育支出（项）</w:t>
      </w:r>
      <w:r>
        <w:rPr>
          <w:rFonts w:ascii="仿宋" w:eastAsia="仿宋" w:hAnsi="仿宋" w:cs="仿宋" w:hint="default"/>
          <w:kern w:val="2"/>
          <w:sz w:val="32"/>
          <w:szCs w:val="32"/>
          <w:lang w:val="en-US" w:eastAsia="zh-CN"/>
        </w:rPr>
        <w:t xml:space="preserve">年初预算数为91.98万元，决算数98.59万元,完成年初预算的107.19%，决算数与年初预算数存在差异的主要原因是部分支出用上年结余资金。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3.教育支出（类）特殊教育（款）特殊学校教育（项）</w:t>
      </w:r>
      <w:r>
        <w:rPr>
          <w:rFonts w:ascii="仿宋" w:eastAsia="仿宋" w:hAnsi="仿宋" w:cs="仿宋" w:hint="default"/>
          <w:kern w:val="2"/>
          <w:sz w:val="32"/>
          <w:szCs w:val="32"/>
          <w:lang w:val="en-US" w:eastAsia="zh-CN"/>
        </w:rPr>
        <w:t xml:space="preserve">年初预算数为1028.28万元，决算数980.81万元,完成年初预算的95.38%，决算数与年初预算数存在差异的主要原因是部分支出用上年结余资金。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4.教育支出（类）特殊教育（款）其他特殊教育支出（项）</w:t>
      </w:r>
      <w:r>
        <w:rPr>
          <w:rFonts w:ascii="仿宋" w:eastAsia="仿宋" w:hAnsi="仿宋" w:cs="仿宋" w:hint="default"/>
          <w:kern w:val="2"/>
          <w:sz w:val="32"/>
          <w:szCs w:val="32"/>
          <w:lang w:val="en-US" w:eastAsia="zh-CN"/>
        </w:rPr>
        <w:t xml:space="preserve">年初预算数为60.00万元，决算数60.61万元,完成年初预算的101.02%，决算数与年初预算数存在差异的主要原因是部分支出用上年结余资金。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年初预算数为52.32万元，决算数53.66万元,完成年初预算的102.56%，决算数与年初预算数存在差异的主要原因是人员经费增资。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年初预算数为85.82万元，决算数85.82万元,完成年初预算的100.00%，决算数与年初预算数不存在差异。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2"/>
          <w:sz w:val="32"/>
          <w:szCs w:val="32"/>
          <w:lang w:val="en-US" w:eastAsia="zh-CN"/>
        </w:rPr>
        <w:t xml:space="preserve">年初预算数为0.00万元，决算数18.91万元,决算数与年初预算数存在差异的主要原因是本年在职人员去世，死亡抚恤金及丧葬补助费。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年初预算数为41.18万元，决算数41.18万元,完成年初预算的100.00%，决算数与年初预算数不存在差异。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年初预算数为78.44万元，决算数75.54万元,完成年初预算的96.30%，决算数与年初预算数存在差异的主要原因是本年度在职人员去世调减人员预算。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1289.64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其中：人员经费1255.70万元，主要包括：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公用经费33.94万元，主要包括：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，完成预算的77.00%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,完成预算的77.00%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，完成预算的77.00%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决算数与预算数存在差异的主要原因是贯彻落实上级过紧日子要求，厉行节约，压减支出。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主要用于公车运行、维修及保险费用。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57.26</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57.26</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1423.68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我单位整体绩效目标自评结果良好，严格按照预算批复开展活动，预期工作目标均圆满完成。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基于项目预期目标的实现程度，我单位对2023年度单位预算项目支出（含单位参与分配的转移支付项目）开展绩效自评，涉及项目4个，项目金额226.1万元。其中：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（1）项目名称：改善特殊教育办学条件补助资金（结转上级资金）60万，自评得分为99.96分，等级为“优”，绩效目标自评结果为优，严格按照预算批复开展活动，预期工作目标已完成。</w:t>
        <w:br/>
        <w:t xml:space="preserve">    （2）项目名称:2023年特殊教育补助资金（上级提前下达）100万，自评得分为60分，等级为“差”，项目未实施，结转至2024年。</w:t>
        <w:br/>
        <w:t xml:space="preserve">    （3）项目名称:2023年城乡义务教育公用经费省级资金-特教（上级提前下达）11万，自评得分为70分，等级为“良”。资金未使用，结转到2024年。</w:t>
        <w:br/>
        <w:t xml:space="preserve">    （4）项目名称:2023年城乡义务教育公用经费中央资金-特教（上级提前下达）55.1万，自评得分为96.94分，等级为“优”，绩效目标自评结果为优，严格按照预算批复开展活动，预期工作目标已完成。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项目绩效目标自评结果良好，在项目实施中遵守有关规定和程序办理，整体执行效果较好，但由于部分项目经费拨付较晚，项目未能正常实施，根据本次自评工作发现的问题，加强项目前期谋划，提高项目绩效工作目标的完成。。</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794"/>
        <w:gridCol w:w="920"/>
        <w:gridCol w:w="706"/>
        <w:gridCol w:w="580"/>
        <w:gridCol w:w="1588"/>
        <w:gridCol w:w="982"/>
        <w:gridCol w:w="1273"/>
        <w:gridCol w:w="567"/>
        <w:gridCol w:w="529"/>
        <w:gridCol w:w="693"/>
        <w:gridCol w:w="706"/>
        <w:gridCol w:w="567"/>
      </w:tblGrid>
      <w:tr>
        <w:trPr>
          <w:trHeight w:hRule="exact" w:val="410"/>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单位整体支出自评表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300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9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许昌市特殊教育学校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部门整体支出情况</w:t>
            </w: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1446.57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1446.57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200"/>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w:t>
            </w: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77"/>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实施对残疾孩子义务教育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年度主要任务</w:t>
            </w: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449"/>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1.加强师德建设；</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2.严格教学管理；</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3.促进改革发展；</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4.改善办学条件。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1.加强教师师德监督与考核；</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2.遵循特殊教育规律和特殊儿童学习特点，落实课程方案；</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3推进许昌市特殊教育资源中心建设；</w:t>
            </w:r>
          </w:p>
          <w:p>
            <w:pPr>
              <w:snapToGrid w:val="0"/>
              <w:spacing w:before="0" w:beforeAutospacing="0" w:after="0" w:afterAutospacing="0" w:line="240" w:lineRule="auto"/>
              <w:jc w:val="left"/>
              <w:rPr/>
            </w:pPr>
            <w:r>
              <w:rPr>
                <w:rFonts w:ascii="SimSun" w:eastAsia="SimSun" w:hAnsi="SimSun" w:cs="SimSun"/>
                <w:b w:val="0"/>
                <w:i w:val="0"/>
                <w:color w:val="000000"/>
                <w:sz w:val="11"/>
              </w:rPr>
              <w:t xml:space="preserve">4.合理利用2023年财政资金，改善学校办学条件。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1423.68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整体绩效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教育教育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师生满意度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00"/>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0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pStyle w:val="Normal_ee32e3ed-7662-401c-89b1-3c4316fcb627"/>
        <w:widowControl w:val="0"/>
        <w:spacing w:line="0" w:lineRule="atLeast"/>
        <w:contextualSpacing w:val="0"/>
        <w:rPr>
          <w:rFonts w:ascii="Times New Roman" w:eastAsia="Times New Roman" w:hAnsi="Times New Roman" w:cs="Times New Roman"/>
          <w:sz w:val="2"/>
        </w:rPr>
      </w:pPr>
    </w:p>
    <w:tbl>
      <w:tblPr>
        <w:tblW w:w="14869" w:type="dxa"/>
        <w:tblLayout w:type="fixed"/>
        <w:tblCellMar>
          <w:top w:w="0" w:type="dxa"/>
          <w:left w:w="0" w:type="dxa"/>
          <w:bottom w:w="0" w:type="dxa"/>
          <w:right w:w="0" w:type="dxa"/>
        </w:tblCellMar>
        <w:tblLook w:firstRow="0" w:lastRow="0" w:firstColumn="0" w:lastColumn="0" w:noHBand="1" w:noVBand="1"/>
      </w:tblPr>
      <w:tblGrid>
        <w:gridCol w:w="854"/>
        <w:gridCol w:w="989"/>
        <w:gridCol w:w="1159"/>
        <w:gridCol w:w="1079"/>
        <w:gridCol w:w="929"/>
        <w:gridCol w:w="1634"/>
        <w:gridCol w:w="1079"/>
        <w:gridCol w:w="929"/>
        <w:gridCol w:w="1079"/>
        <w:gridCol w:w="1079"/>
        <w:gridCol w:w="944"/>
        <w:gridCol w:w="944"/>
        <w:gridCol w:w="1079"/>
        <w:gridCol w:w="1079"/>
      </w:tblGrid>
      <w:tr>
        <w:tblPrEx>
          <w:tblW w:w="14869" w:type="dxa"/>
          <w:tblBorders/>
          <w:shd w:val="clear" w:color="auto" w:fill="auto"/>
          <w:tblLayout w:type="fixed"/>
          <w:tblCellMar>
            <w:top w:w="0" w:type="dxa"/>
            <w:left w:w="0" w:type="dxa"/>
            <w:bottom w:w="0" w:type="dxa"/>
            <w:right w:w="0" w:type="dxa"/>
          </w:tblCellMar>
        </w:tblPrEx>
        <w:trPr>
          <w:trHeight w:hRule="exact" w:val="566"/>
        </w:trPr>
        <w:tc>
          <w:tcPr>
            <w:tcW w:w="14856"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465" w:lineRule="exact"/>
              <w:ind w:left="20" w:right="0" w:firstLine="0"/>
              <w:contextualSpacing w:val="0"/>
              <w:jc w:val="center"/>
              <w:rPr>
                <w:rFonts w:ascii="SimSun" w:eastAsia="SimSun" w:hAnsi="SimSun" w:cs="SimSun"/>
                <w:b w:val="0"/>
                <w:color w:val="000000"/>
                <w:sz w:val="40"/>
              </w:rPr>
            </w:pPr>
            <w:r>
              <w:rPr>
                <w:rFonts w:ascii="SimSun" w:eastAsia="SimSun" w:hAnsi="SimSun" w:cs="SimSun"/>
                <w:b/>
                <w:color w:val="000000"/>
                <w:sz w:val="40"/>
              </w:rPr>
              <w:t xml:space="preserve">项目单位自评表</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改善特殊教育办学条件补助资金（结转上级资金）</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许昌市特殊教育学校</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全年执行数</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执行率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59.77</w:t>
            </w:r>
          </w:p>
        </w:tc>
        <w:tc>
          <w:tcPr>
            <w:tcW w:w="944" w:type="dxa"/>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99.62</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9.96</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59.77</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99.62</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 情况说明</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存在问题和改进措施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科学</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合规</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规范</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已实施绩效管理</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实际完成情况</w:t>
            </w:r>
          </w:p>
        </w:tc>
      </w:tr>
      <w:tr>
        <w:tblPrEx>
          <w:tblW w:w="14869" w:type="dxa"/>
          <w:tblBorders/>
          <w:shd w:val="clear" w:color="auto" w:fill="auto"/>
          <w:tblLayout w:type="fixed"/>
          <w:tblCellMar>
            <w:top w:w="0" w:type="dxa"/>
            <w:left w:w="0" w:type="dxa"/>
            <w:bottom w:w="0" w:type="dxa"/>
            <w:right w:w="0" w:type="dxa"/>
          </w:tblCellMar>
        </w:tblPrEx>
        <w:trPr>
          <w:trHeight w:hRule="exact" w:val="85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完成本年度改善特殊教育办学条件1、资源中心 2、录播教室 3、功能室 4、安防系统等4项项目建设</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已完成</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绩效指标</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一级指标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三级指标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偏差度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偏差原因分析及改进措施</w:t>
            </w: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成本指标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改善特殊教育办学条件(结转上级资金）</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60万元</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59.77万元</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产出指标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完成改善特殊教育办学条件项目数量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4项</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4项</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项目建设质量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合格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按照合同约定的时间付款时间</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≤6月</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6月</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效益指标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高特殊教育学校办学水平</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提高</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满意度指标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特殊教育学校师生满意度</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≥95%</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779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总分</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99.96</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8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15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63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566"/>
        </w:trPr>
        <w:tc>
          <w:tcPr>
            <w:tcW w:w="14856"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465" w:lineRule="exact"/>
              <w:ind w:left="20" w:right="0" w:firstLine="0"/>
              <w:contextualSpacing w:val="0"/>
              <w:jc w:val="center"/>
              <w:rPr>
                <w:rFonts w:ascii="SimSun" w:eastAsia="SimSun" w:hAnsi="SimSun" w:cs="SimSun"/>
                <w:b w:val="0"/>
                <w:color w:val="000000"/>
                <w:sz w:val="40"/>
              </w:rPr>
            </w:pPr>
            <w:r>
              <w:rPr>
                <w:rFonts w:ascii="SimSun" w:eastAsia="SimSun" w:hAnsi="SimSun" w:cs="SimSun"/>
                <w:b/>
                <w:color w:val="000000"/>
                <w:sz w:val="40"/>
              </w:rPr>
              <w:t xml:space="preserve">项目单位自评表</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2023年特殊教育补助资金（上级提前下达）</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许昌市特殊教育学校</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全年执行数</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执行率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 情况说明</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存在问题和改进措施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科学</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合规</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规范</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已实施绩效管理</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实际完成情况</w:t>
            </w:r>
          </w:p>
        </w:tc>
      </w:tr>
      <w:tr>
        <w:tblPrEx>
          <w:tblW w:w="14869" w:type="dxa"/>
          <w:tblBorders/>
          <w:shd w:val="clear" w:color="auto" w:fill="auto"/>
          <w:tblLayout w:type="fixed"/>
          <w:tblCellMar>
            <w:top w:w="0" w:type="dxa"/>
            <w:left w:w="0" w:type="dxa"/>
            <w:bottom w:w="0" w:type="dxa"/>
            <w:right w:w="0" w:type="dxa"/>
          </w:tblCellMar>
        </w:tblPrEx>
        <w:trPr>
          <w:trHeight w:hRule="exact" w:val="85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完成2023年度特殊教育工作，并根据特殊教育需要配置各类功能教室，提高特殊教育教学保障能力</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项目未实施结转至2024年</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绩效指标</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一级指标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三级指标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偏差度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偏差原因分析及改进措施</w:t>
            </w: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成本指标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2023年特殊教育补助资金经费</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100万元</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0万元</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产出指标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服务学生数量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特殊教育设施配备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提升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项目未实施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完成设施配置时限</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≤12月</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24月</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项目未实施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效益指标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特殊教育教学条件保障</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有效保障</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满意度指标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学生、家长满意度</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779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总分</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8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15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63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566"/>
        </w:trPr>
        <w:tc>
          <w:tcPr>
            <w:tcW w:w="14856"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465" w:lineRule="exact"/>
              <w:ind w:left="20" w:right="0" w:firstLine="0"/>
              <w:contextualSpacing w:val="0"/>
              <w:jc w:val="center"/>
              <w:rPr>
                <w:rFonts w:ascii="SimSun" w:eastAsia="SimSun" w:hAnsi="SimSun" w:cs="SimSun"/>
                <w:b w:val="0"/>
                <w:color w:val="000000"/>
                <w:sz w:val="40"/>
              </w:rPr>
            </w:pPr>
            <w:r>
              <w:rPr>
                <w:rFonts w:ascii="SimSun" w:eastAsia="SimSun" w:hAnsi="SimSun" w:cs="SimSun"/>
                <w:b/>
                <w:color w:val="000000"/>
                <w:sz w:val="40"/>
              </w:rPr>
              <w:t xml:space="preserve">项目单位自评表</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2023年城乡义务教育公用经费省级资金-特教（上级提前下达）</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许昌市特殊教育学校</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全年执行数</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执行率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11</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11</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11</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11</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 情况说明</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存在问题和改进措施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科学</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合规</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规范</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已实施绩效管理</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实际完成情况</w:t>
            </w:r>
          </w:p>
        </w:tc>
      </w:tr>
      <w:tr>
        <w:tblPrEx>
          <w:tblW w:w="14869" w:type="dxa"/>
          <w:tblBorders/>
          <w:shd w:val="clear" w:color="auto" w:fill="auto"/>
          <w:tblLayout w:type="fixed"/>
          <w:tblCellMar>
            <w:top w:w="0" w:type="dxa"/>
            <w:left w:w="0" w:type="dxa"/>
            <w:bottom w:w="0" w:type="dxa"/>
            <w:right w:w="0" w:type="dxa"/>
          </w:tblCellMar>
        </w:tblPrEx>
        <w:trPr>
          <w:trHeight w:hRule="exact" w:val="85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及时完成2023年度特殊教育学校日常经费拨付，保障各项工作顺利开展</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资金未使用，结转到2024年</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绩效指标</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一级指标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三级指标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偏差度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偏差原因分析及改进措施</w:t>
            </w: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成本指标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2023年城乡义务教育公用经费省级资金数额</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11万元</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0万元</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产出指标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服务学生数量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规范生均经费的使用</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规范使用</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及时完成每月各项经费报销</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按月报销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资金未使用，结转到2024年</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效益指标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特殊教育办学质量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稳步提升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满意度指标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师生、家长满意度</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779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总分</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70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8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15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63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566"/>
        </w:trPr>
        <w:tc>
          <w:tcPr>
            <w:tcW w:w="14856" w:type="dxa"/>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465" w:lineRule="exact"/>
              <w:ind w:left="20" w:right="0" w:firstLine="0"/>
              <w:contextualSpacing w:val="0"/>
              <w:jc w:val="center"/>
              <w:rPr>
                <w:rFonts w:ascii="SimSun" w:eastAsia="SimSun" w:hAnsi="SimSun" w:cs="SimSun"/>
                <w:b w:val="0"/>
                <w:color w:val="000000"/>
                <w:sz w:val="40"/>
              </w:rPr>
            </w:pPr>
            <w:r>
              <w:rPr>
                <w:rFonts w:ascii="SimSun" w:eastAsia="SimSun" w:hAnsi="SimSun" w:cs="SimSun"/>
                <w:b/>
                <w:color w:val="000000"/>
                <w:sz w:val="40"/>
              </w:rPr>
              <w:t xml:space="preserve">项目单位自评表</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项目名称</w:t>
            </w:r>
          </w:p>
        </w:tc>
        <w:tc>
          <w:tcPr>
            <w:tcW w:w="13013"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2023年城乡义务教育公用经费中央资金-特教（上级提前下达）</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主管部门</w:t>
            </w:r>
          </w:p>
        </w:tc>
        <w:tc>
          <w:tcPr>
            <w:tcW w:w="48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许昌市教育局</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实施单位</w:t>
            </w:r>
          </w:p>
        </w:tc>
        <w:tc>
          <w:tcPr>
            <w:tcW w:w="620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许昌市特殊教育学校</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项目资金（万元）</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年初预算数</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全年预算数</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全年执行数</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执行率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年度资金总额（万元）：</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55.1</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55.1</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38.21</w:t>
            </w:r>
          </w:p>
        </w:tc>
        <w:tc>
          <w:tcPr>
            <w:tcW w:w="944" w:type="dxa"/>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69.35</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6.93</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政府性预算资金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55.1</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55.1</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38.21</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69.35</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财政专户管理资金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单位资金</w:t>
            </w:r>
          </w:p>
        </w:tc>
        <w:tc>
          <w:tcPr>
            <w:tcW w:w="25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c>
          <w:tcPr>
            <w:tcW w:w="94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资金管理情况</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 情况说明</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存在问题和改进措施</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安排科学性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科学</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拨付合规性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合规</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使用规范性</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规范</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预算绩效管理情况</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已实施绩效管理</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512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年度总体目标</w:t>
            </w: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预期目标</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实际完成情况</w:t>
            </w:r>
          </w:p>
        </w:tc>
      </w:tr>
      <w:tr>
        <w:tblPrEx>
          <w:tblW w:w="14869" w:type="dxa"/>
          <w:tblBorders/>
          <w:shd w:val="clear" w:color="auto" w:fill="auto"/>
          <w:tblLayout w:type="fixed"/>
          <w:tblCellMar>
            <w:top w:w="0" w:type="dxa"/>
            <w:left w:w="0" w:type="dxa"/>
            <w:bottom w:w="0" w:type="dxa"/>
            <w:right w:w="0" w:type="dxa"/>
          </w:tblCellMar>
        </w:tblPrEx>
        <w:trPr>
          <w:trHeight w:hRule="exact" w:val="85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579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及时完成2023年度特殊教育学校各项日常经费拨付，保障各项教学工作正常开展</w:t>
            </w:r>
          </w:p>
        </w:tc>
        <w:tc>
          <w:tcPr>
            <w:tcW w:w="821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已完成</w:t>
            </w: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绩效指标</w:t>
            </w: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一级指标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二级指标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三级指标</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年度指标值</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实际完成值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分值</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得分</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偏差度 %</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偏差原因分析及改进措施</w:t>
            </w: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SimSun" w:eastAsia="SimSun" w:hAnsi="SimSun" w:cs="SimSun"/>
                <w:color w:val="000000"/>
                <w:sz w:val="18"/>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成本指标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经济成本指标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2023年城乡义务教育公用经费中央资金数额</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55.1万元</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38.21万元</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left"/>
              <w:rPr>
                <w:rFonts w:ascii="SimSun" w:eastAsia="SimSun" w:hAnsi="SimSun" w:cs="SimSun"/>
                <w:color w:val="000000"/>
                <w:sz w:val="18"/>
              </w:rPr>
            </w:pPr>
            <w:r>
              <w:rPr>
                <w:rFonts w:ascii="SimSun" w:eastAsia="SimSun" w:hAnsi="SimSun" w:cs="SimSun"/>
                <w:color w:val="000000"/>
                <w:sz w:val="18"/>
              </w:rPr>
              <w:t xml:space="preserve">社会成本指标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生态环境成本指标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产出指标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数量指标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服务的学生数量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150人</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质量指标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规范生均经费支出范围</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规范使用</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时效指标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及时完成每月各项费用拨付</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按月支付</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效益指标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经济效益指标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社会效益指标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特殊教育办学质量</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稳步提升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25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生态效益指标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450"/>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满意度指标</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服务对象满意度指标</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师生、家长满意度</w:t>
            </w:r>
          </w:p>
        </w:tc>
        <w:tc>
          <w:tcPr>
            <w:tcW w:w="16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≥90%</w:t>
            </w: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5</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0.00%</w:t>
            </w: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contextualSpacing w:val="0"/>
              <w:rPr>
                <w:rFonts w:ascii="Times New Roman" w:eastAsia="Times New Roman" w:hAnsi="Times New Roman" w:cs="Times New Roman"/>
                <w:sz w:val="24"/>
              </w:rPr>
            </w:pPr>
          </w:p>
        </w:tc>
        <w:tc>
          <w:tcPr>
            <w:tcW w:w="779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总分</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100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spacing w:line="225" w:lineRule="exact"/>
              <w:ind w:left="20" w:right="0" w:firstLine="0"/>
              <w:contextualSpacing w:val="0"/>
              <w:jc w:val="center"/>
              <w:rPr>
                <w:rFonts w:ascii="SimSun" w:eastAsia="SimSun" w:hAnsi="SimSun" w:cs="SimSun"/>
                <w:color w:val="000000"/>
                <w:sz w:val="18"/>
              </w:rPr>
            </w:pPr>
            <w:r>
              <w:rPr>
                <w:rFonts w:ascii="SimSun" w:eastAsia="SimSun" w:hAnsi="SimSun" w:cs="SimSun"/>
                <w:color w:val="000000"/>
                <w:sz w:val="18"/>
              </w:rPr>
              <w:t xml:space="preserve">96.94</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c>
          <w:tcPr>
            <w:tcW w:w="215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ee32e3ed-7662-401c-89b1-3c4316fcb627"/>
              <w:widowControl w:val="0"/>
              <w:ind w:left="0" w:right="0" w:firstLine="0"/>
              <w:contextualSpacing w:val="0"/>
              <w:jc w:val="center"/>
              <w:rPr>
                <w:rFonts w:ascii="Times New Roman" w:eastAsia="Times New Roman" w:hAnsi="Times New Roman" w:cs="Times New Roman"/>
                <w:sz w:val="24"/>
              </w:rPr>
            </w:pPr>
          </w:p>
        </w:tc>
      </w:tr>
      <w:tr>
        <w:tblPrEx>
          <w:tblW w:w="14869" w:type="dxa"/>
          <w:tblBorders/>
          <w:shd w:val="clear" w:color="auto" w:fill="auto"/>
          <w:tblLayout w:type="fixed"/>
          <w:tblCellMar>
            <w:top w:w="0" w:type="dxa"/>
            <w:left w:w="0" w:type="dxa"/>
            <w:bottom w:w="0" w:type="dxa"/>
            <w:right w:w="0" w:type="dxa"/>
          </w:tblCellMar>
        </w:tblPrEx>
        <w:trPr>
          <w:trHeight w:hRule="exact" w:val="285"/>
        </w:trPr>
        <w:tc>
          <w:tcPr>
            <w:tcW w:w="85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8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15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63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2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944"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c>
          <w:tcPr>
            <w:tcW w:w="1079" w:type="dxa"/>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ee32e3ed-7662-401c-89b1-3c4316fcb627"/>
              <w:widowControl w:val="0"/>
              <w:ind w:left="0" w:right="0" w:firstLine="0"/>
              <w:contextualSpacing w:val="0"/>
              <w:rPr>
                <w:rFonts w:ascii="Times New Roman" w:eastAsia="Times New Roman" w:hAnsi="Times New Roman" w:cs="Times New Roman"/>
                <w:sz w:val="24"/>
              </w:rPr>
            </w:pPr>
          </w:p>
        </w:tc>
      </w:tr>
    </w:tbl>
    <w:p>
      <w:pPr>
        <w:sectPr>
          <w:type w:val="nextPage"/>
          <w:pgSz w:w="20409" w:h="85039"/>
          <w:pgMar w:top="388" w:right="1080" w:bottom="388" w:left="1080" w:header="720" w:footer="720" w:gutter="0"/>
          <w:pgBorders/>
          <w:cols w:sep="0" w:equalWidth="1"/>
          <w:vAlign w:val="top"/>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4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ee32e3ed-7662-401c-89b1-3c4316fcb627">
    <w:name w:val="Normal_ee32e3ed-7662-401c-89b1-3c4316fcb627"/>
    <w:qFormat/>
    <w:pPr>
      <w:widowControl/>
      <w:ind w:left="0" w:right="0" w:firstLine="0"/>
      <w:contextualSpacing w:val="0"/>
      <w:jc w:val="left"/>
    </w:pPr>
    <w:rPr>
      <w:rFonts w:ascii="Arial" w:eastAsia="Arial" w:hAnsi="Arial" w:cs="Arial"/>
      <w:color w:val="000000"/>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