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许昌市烈士陵园管理处单位决算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许昌市烈士陵园管理处概况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许昌市烈士陵园管理处概况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烈士纪念设施建设、保护、管理；烈士资料收集、编写、陈列；烈士文物、遗物保管；组织开展烈士公祭活动，并免费为社会各界开展国防教育、德育教育和爱国主义教育提供服务。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许昌市烈士陵园管理处内设机构6个,包括：办公室、业务科、财务科、培训中心、人事科及后勤科。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从决算单位构成看，许昌市烈士陵园管理处单位决算包括：本级决算（1个）。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许昌市烈士陵园管理处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280.40</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0.65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1,229.43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280.40</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1,239.64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959.25</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1,239.64</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1,239.64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280.40</w:t>
            </w:r>
          </w:p>
        </w:tc>
        <w:tc>
          <w:tcPr>
            <w:tcW w:w="1440" w:type="dxa"/>
            <w:vAlign w:val="center"/>
          </w:tcPr>
          <w:p>
            <w:pPr>
              <w:jc w:val="right"/>
            </w:pPr>
            <w:r>
              <w:rPr>
                <w:rFonts w:ascii="宋体" w:hAnsi="宋体" w:eastAsia="宋体" w:cs="宋体"/>
                <w:b/>
                <w:i w:val="0"/>
                <w:color w:val="000000"/>
                <w:sz w:val="17"/>
              </w:rPr>
              <w:t>280.40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270.18</w:t>
            </w:r>
          </w:p>
        </w:tc>
        <w:tc>
          <w:tcPr>
            <w:tcW w:w="1440" w:type="dxa"/>
            <w:vAlign w:val="center"/>
          </w:tcPr>
          <w:p>
            <w:pPr>
              <w:jc w:val="right"/>
            </w:pPr>
            <w:r>
              <w:rPr>
                <w:rFonts w:ascii="宋体" w:hAnsi="宋体" w:eastAsia="宋体" w:cs="宋体"/>
                <w:b w:val="0"/>
                <w:i w:val="0"/>
                <w:color w:val="000000"/>
                <w:sz w:val="17"/>
              </w:rPr>
              <w:t>270.18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21.34</w:t>
            </w:r>
          </w:p>
        </w:tc>
        <w:tc>
          <w:tcPr>
            <w:tcW w:w="1440" w:type="dxa"/>
            <w:vAlign w:val="center"/>
          </w:tcPr>
          <w:p>
            <w:pPr>
              <w:jc w:val="right"/>
            </w:pPr>
            <w:r>
              <w:rPr>
                <w:rFonts w:ascii="宋体" w:hAnsi="宋体" w:eastAsia="宋体" w:cs="宋体"/>
                <w:b w:val="0"/>
                <w:i w:val="0"/>
                <w:color w:val="000000"/>
                <w:sz w:val="17"/>
              </w:rPr>
              <w:t>21.34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14.64</w:t>
            </w:r>
          </w:p>
        </w:tc>
        <w:tc>
          <w:tcPr>
            <w:tcW w:w="1440" w:type="dxa"/>
            <w:vAlign w:val="center"/>
          </w:tcPr>
          <w:p>
            <w:pPr>
              <w:jc w:val="right"/>
            </w:pPr>
            <w:r>
              <w:rPr>
                <w:rFonts w:ascii="宋体" w:hAnsi="宋体" w:eastAsia="宋体" w:cs="宋体"/>
                <w:b w:val="0"/>
                <w:i w:val="0"/>
                <w:color w:val="000000"/>
                <w:sz w:val="17"/>
              </w:rPr>
              <w:t>14.64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6.70</w:t>
            </w:r>
          </w:p>
        </w:tc>
        <w:tc>
          <w:tcPr>
            <w:tcW w:w="1440" w:type="dxa"/>
            <w:vAlign w:val="center"/>
          </w:tcPr>
          <w:p>
            <w:pPr>
              <w:jc w:val="right"/>
            </w:pPr>
            <w:r>
              <w:rPr>
                <w:rFonts w:ascii="宋体" w:hAnsi="宋体" w:eastAsia="宋体" w:cs="宋体"/>
                <w:b w:val="0"/>
                <w:i w:val="0"/>
                <w:color w:val="000000"/>
                <w:sz w:val="17"/>
              </w:rPr>
              <w:t>6.70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2080808</w:t>
            </w:r>
          </w:p>
        </w:tc>
        <w:tc>
          <w:tcPr>
            <w:tcW w:w="3140" w:type="dxa"/>
            <w:vAlign w:val="center"/>
          </w:tcPr>
          <w:p>
            <w:pPr>
              <w:jc w:val="left"/>
            </w:pPr>
            <w:r>
              <w:rPr>
                <w:rFonts w:ascii="宋体" w:hAnsi="宋体" w:eastAsia="宋体" w:cs="宋体"/>
                <w:b w:val="0"/>
                <w:i w:val="0"/>
                <w:color w:val="000000"/>
                <w:sz w:val="17"/>
              </w:rPr>
              <w:t>烈士纪念设施管理维护</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w:t>
            </w:r>
          </w:p>
        </w:tc>
        <w:tc>
          <w:tcPr>
            <w:tcW w:w="3140" w:type="dxa"/>
            <w:vAlign w:val="center"/>
          </w:tcPr>
          <w:p>
            <w:pPr>
              <w:jc w:val="left"/>
            </w:pPr>
            <w:r>
              <w:rPr>
                <w:rFonts w:ascii="宋体" w:hAnsi="宋体" w:eastAsia="宋体" w:cs="宋体"/>
                <w:b w:val="0"/>
                <w:i w:val="0"/>
                <w:color w:val="000000"/>
                <w:sz w:val="17"/>
              </w:rPr>
              <w:t>退役军人管理事务</w:t>
            </w:r>
          </w:p>
        </w:tc>
        <w:tc>
          <w:tcPr>
            <w:tcW w:w="1440" w:type="dxa"/>
            <w:vAlign w:val="center"/>
          </w:tcPr>
          <w:p>
            <w:pPr>
              <w:jc w:val="right"/>
            </w:pPr>
            <w:r>
              <w:rPr>
                <w:rFonts w:ascii="宋体" w:hAnsi="宋体" w:eastAsia="宋体" w:cs="宋体"/>
                <w:b w:val="0"/>
                <w:i w:val="0"/>
                <w:color w:val="000000"/>
                <w:sz w:val="17"/>
              </w:rPr>
              <w:t>198.84</w:t>
            </w:r>
          </w:p>
        </w:tc>
        <w:tc>
          <w:tcPr>
            <w:tcW w:w="1440" w:type="dxa"/>
            <w:vAlign w:val="center"/>
          </w:tcPr>
          <w:p>
            <w:pPr>
              <w:jc w:val="right"/>
            </w:pPr>
            <w:r>
              <w:rPr>
                <w:rFonts w:ascii="宋体" w:hAnsi="宋体" w:eastAsia="宋体" w:cs="宋体"/>
                <w:b w:val="0"/>
                <w:i w:val="0"/>
                <w:color w:val="000000"/>
                <w:sz w:val="17"/>
              </w:rPr>
              <w:t>198.84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198.84</w:t>
            </w:r>
          </w:p>
        </w:tc>
        <w:tc>
          <w:tcPr>
            <w:tcW w:w="1440" w:type="dxa"/>
            <w:vAlign w:val="center"/>
          </w:tcPr>
          <w:p>
            <w:pPr>
              <w:jc w:val="right"/>
            </w:pPr>
            <w:r>
              <w:rPr>
                <w:rFonts w:ascii="宋体" w:hAnsi="宋体" w:eastAsia="宋体" w:cs="宋体"/>
                <w:b w:val="0"/>
                <w:i w:val="0"/>
                <w:color w:val="000000"/>
                <w:sz w:val="17"/>
              </w:rPr>
              <w:t>198.84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3.32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6.24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1,239.64</w:t>
            </w:r>
          </w:p>
        </w:tc>
        <w:tc>
          <w:tcPr>
            <w:tcW w:w="1600" w:type="dxa"/>
            <w:vAlign w:val="center"/>
          </w:tcPr>
          <w:p>
            <w:pPr>
              <w:jc w:val="right"/>
            </w:pPr>
            <w:r>
              <w:rPr>
                <w:rFonts w:ascii="宋体" w:hAnsi="宋体" w:eastAsia="宋体" w:cs="宋体"/>
                <w:b/>
                <w:i w:val="0"/>
                <w:color w:val="000000"/>
                <w:sz w:val="19"/>
              </w:rPr>
              <w:t>168.40</w:t>
            </w:r>
          </w:p>
        </w:tc>
        <w:tc>
          <w:tcPr>
            <w:tcW w:w="1600" w:type="dxa"/>
            <w:vAlign w:val="center"/>
          </w:tcPr>
          <w:p>
            <w:pPr>
              <w:jc w:val="right"/>
            </w:pPr>
            <w:r>
              <w:rPr>
                <w:rFonts w:ascii="宋体" w:hAnsi="宋体" w:eastAsia="宋体" w:cs="宋体"/>
                <w:b/>
                <w:i w:val="0"/>
                <w:color w:val="000000"/>
                <w:sz w:val="19"/>
              </w:rPr>
              <w:t>1,071.25</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1,229.43</w:t>
            </w:r>
          </w:p>
        </w:tc>
        <w:tc>
          <w:tcPr>
            <w:tcW w:w="1600" w:type="dxa"/>
            <w:vAlign w:val="center"/>
          </w:tcPr>
          <w:p>
            <w:pPr>
              <w:jc w:val="right"/>
            </w:pPr>
            <w:r>
              <w:rPr>
                <w:rFonts w:ascii="宋体" w:hAnsi="宋体" w:eastAsia="宋体" w:cs="宋体"/>
                <w:b w:val="0"/>
                <w:i w:val="0"/>
                <w:color w:val="000000"/>
                <w:sz w:val="19"/>
              </w:rPr>
              <w:t>158.18</w:t>
            </w:r>
          </w:p>
        </w:tc>
        <w:tc>
          <w:tcPr>
            <w:tcW w:w="1600" w:type="dxa"/>
            <w:vAlign w:val="center"/>
          </w:tcPr>
          <w:p>
            <w:pPr>
              <w:jc w:val="right"/>
            </w:pPr>
            <w:r>
              <w:rPr>
                <w:rFonts w:ascii="宋体" w:hAnsi="宋体" w:eastAsia="宋体" w:cs="宋体"/>
                <w:b w:val="0"/>
                <w:i w:val="0"/>
                <w:color w:val="000000"/>
                <w:sz w:val="19"/>
              </w:rPr>
              <w:t>1,071.25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21.34</w:t>
            </w:r>
          </w:p>
        </w:tc>
        <w:tc>
          <w:tcPr>
            <w:tcW w:w="1600" w:type="dxa"/>
            <w:vAlign w:val="center"/>
          </w:tcPr>
          <w:p>
            <w:pPr>
              <w:jc w:val="right"/>
            </w:pPr>
            <w:r>
              <w:rPr>
                <w:rFonts w:ascii="宋体" w:hAnsi="宋体" w:eastAsia="宋体" w:cs="宋体"/>
                <w:b w:val="0"/>
                <w:i w:val="0"/>
                <w:color w:val="000000"/>
                <w:sz w:val="19"/>
              </w:rPr>
              <w:t>21.34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14.64</w:t>
            </w:r>
          </w:p>
        </w:tc>
        <w:tc>
          <w:tcPr>
            <w:tcW w:w="1600" w:type="dxa"/>
            <w:vAlign w:val="center"/>
          </w:tcPr>
          <w:p>
            <w:pPr>
              <w:jc w:val="right"/>
            </w:pPr>
            <w:r>
              <w:rPr>
                <w:rFonts w:ascii="宋体" w:hAnsi="宋体" w:eastAsia="宋体" w:cs="宋体"/>
                <w:b w:val="0"/>
                <w:i w:val="0"/>
                <w:color w:val="000000"/>
                <w:sz w:val="19"/>
              </w:rPr>
              <w:t>14.64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6.70</w:t>
            </w:r>
          </w:p>
        </w:tc>
        <w:tc>
          <w:tcPr>
            <w:tcW w:w="1600" w:type="dxa"/>
            <w:vAlign w:val="center"/>
          </w:tcPr>
          <w:p>
            <w:pPr>
              <w:jc w:val="right"/>
            </w:pPr>
            <w:r>
              <w:rPr>
                <w:rFonts w:ascii="宋体" w:hAnsi="宋体" w:eastAsia="宋体" w:cs="宋体"/>
                <w:b w:val="0"/>
                <w:i w:val="0"/>
                <w:color w:val="000000"/>
                <w:sz w:val="19"/>
              </w:rPr>
              <w:t>6.70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2080808</w:t>
            </w:r>
          </w:p>
        </w:tc>
        <w:tc>
          <w:tcPr>
            <w:tcW w:w="3480" w:type="dxa"/>
            <w:vAlign w:val="center"/>
          </w:tcPr>
          <w:p>
            <w:pPr>
              <w:jc w:val="left"/>
            </w:pPr>
            <w:r>
              <w:rPr>
                <w:rFonts w:ascii="宋体" w:hAnsi="宋体" w:eastAsia="宋体" w:cs="宋体"/>
                <w:b w:val="0"/>
                <w:i w:val="0"/>
                <w:color w:val="000000"/>
                <w:sz w:val="19"/>
              </w:rPr>
              <w:t>烈士纪念设施管理维护</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w:t>
            </w:r>
          </w:p>
        </w:tc>
        <w:tc>
          <w:tcPr>
            <w:tcW w:w="3480" w:type="dxa"/>
            <w:vAlign w:val="center"/>
          </w:tcPr>
          <w:p>
            <w:pPr>
              <w:jc w:val="left"/>
            </w:pPr>
            <w:r>
              <w:rPr>
                <w:rFonts w:ascii="宋体" w:hAnsi="宋体" w:eastAsia="宋体" w:cs="宋体"/>
                <w:b w:val="0"/>
                <w:i w:val="0"/>
                <w:color w:val="000000"/>
                <w:sz w:val="19"/>
              </w:rPr>
              <w:t>退役军人管理事务</w:t>
            </w:r>
          </w:p>
        </w:tc>
        <w:tc>
          <w:tcPr>
            <w:tcW w:w="1600" w:type="dxa"/>
            <w:vAlign w:val="center"/>
          </w:tcPr>
          <w:p>
            <w:pPr>
              <w:jc w:val="right"/>
            </w:pPr>
            <w:r>
              <w:rPr>
                <w:rFonts w:ascii="宋体" w:hAnsi="宋体" w:eastAsia="宋体" w:cs="宋体"/>
                <w:b w:val="0"/>
                <w:i w:val="0"/>
                <w:color w:val="000000"/>
                <w:sz w:val="19"/>
              </w:rPr>
              <w:t>1,158.09</w:t>
            </w:r>
          </w:p>
        </w:tc>
        <w:tc>
          <w:tcPr>
            <w:tcW w:w="1600" w:type="dxa"/>
            <w:vAlign w:val="center"/>
          </w:tcPr>
          <w:p>
            <w:pPr>
              <w:jc w:val="right"/>
            </w:pPr>
            <w:r>
              <w:rPr>
                <w:rFonts w:ascii="宋体" w:hAnsi="宋体" w:eastAsia="宋体" w:cs="宋体"/>
                <w:b w:val="0"/>
                <w:i w:val="0"/>
                <w:color w:val="000000"/>
                <w:sz w:val="19"/>
              </w:rPr>
              <w:t>136.84</w:t>
            </w:r>
          </w:p>
        </w:tc>
        <w:tc>
          <w:tcPr>
            <w:tcW w:w="1600" w:type="dxa"/>
            <w:vAlign w:val="center"/>
          </w:tcPr>
          <w:p>
            <w:pPr>
              <w:jc w:val="right"/>
            </w:pPr>
            <w:r>
              <w:rPr>
                <w:rFonts w:ascii="宋体" w:hAnsi="宋体" w:eastAsia="宋体" w:cs="宋体"/>
                <w:b w:val="0"/>
                <w:i w:val="0"/>
                <w:color w:val="000000"/>
                <w:sz w:val="19"/>
              </w:rPr>
              <w:t>1,021.25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1,158.09</w:t>
            </w:r>
          </w:p>
        </w:tc>
        <w:tc>
          <w:tcPr>
            <w:tcW w:w="1600" w:type="dxa"/>
            <w:vAlign w:val="center"/>
          </w:tcPr>
          <w:p>
            <w:pPr>
              <w:jc w:val="right"/>
            </w:pPr>
            <w:r>
              <w:rPr>
                <w:rFonts w:ascii="宋体" w:hAnsi="宋体" w:eastAsia="宋体" w:cs="宋体"/>
                <w:b w:val="0"/>
                <w:i w:val="0"/>
                <w:color w:val="000000"/>
                <w:sz w:val="19"/>
              </w:rPr>
              <w:t>136.84</w:t>
            </w:r>
          </w:p>
        </w:tc>
        <w:tc>
          <w:tcPr>
            <w:tcW w:w="1600" w:type="dxa"/>
            <w:vAlign w:val="center"/>
          </w:tcPr>
          <w:p>
            <w:pPr>
              <w:jc w:val="right"/>
            </w:pPr>
            <w:r>
              <w:rPr>
                <w:rFonts w:ascii="宋体" w:hAnsi="宋体" w:eastAsia="宋体" w:cs="宋体"/>
                <w:b w:val="0"/>
                <w:i w:val="0"/>
                <w:color w:val="000000"/>
                <w:sz w:val="19"/>
              </w:rPr>
              <w:t>1,021.25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3.32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6.24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280.40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0.65</w:t>
            </w:r>
          </w:p>
        </w:tc>
        <w:tc>
          <w:tcPr>
            <w:tcW w:w="1420" w:type="dxa"/>
            <w:vAlign w:val="center"/>
          </w:tcPr>
          <w:p>
            <w:pPr>
              <w:jc w:val="right"/>
            </w:pPr>
            <w:r>
              <w:rPr>
                <w:rFonts w:ascii="宋体" w:hAnsi="宋体" w:eastAsia="宋体" w:cs="宋体"/>
                <w:b w:val="0"/>
                <w:i w:val="0"/>
                <w:color w:val="000000"/>
                <w:sz w:val="18"/>
              </w:rPr>
              <w:t>0.65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1,229.43</w:t>
            </w:r>
          </w:p>
        </w:tc>
        <w:tc>
          <w:tcPr>
            <w:tcW w:w="1420" w:type="dxa"/>
            <w:vAlign w:val="center"/>
          </w:tcPr>
          <w:p>
            <w:pPr>
              <w:jc w:val="right"/>
            </w:pPr>
            <w:r>
              <w:rPr>
                <w:rFonts w:ascii="宋体" w:hAnsi="宋体" w:eastAsia="宋体" w:cs="宋体"/>
                <w:b w:val="0"/>
                <w:i w:val="0"/>
                <w:color w:val="000000"/>
                <w:sz w:val="18"/>
              </w:rPr>
              <w:t>1,229.43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3.32</w:t>
            </w:r>
          </w:p>
        </w:tc>
        <w:tc>
          <w:tcPr>
            <w:tcW w:w="1420" w:type="dxa"/>
            <w:vAlign w:val="center"/>
          </w:tcPr>
          <w:p>
            <w:pPr>
              <w:jc w:val="right"/>
            </w:pPr>
            <w:r>
              <w:rPr>
                <w:rFonts w:ascii="宋体" w:hAnsi="宋体" w:eastAsia="宋体" w:cs="宋体"/>
                <w:b w:val="0"/>
                <w:i w:val="0"/>
                <w:color w:val="000000"/>
                <w:sz w:val="18"/>
              </w:rPr>
              <w:t>3.32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6.24</w:t>
            </w:r>
          </w:p>
        </w:tc>
        <w:tc>
          <w:tcPr>
            <w:tcW w:w="1420" w:type="dxa"/>
            <w:vAlign w:val="center"/>
          </w:tcPr>
          <w:p>
            <w:pPr>
              <w:jc w:val="right"/>
            </w:pPr>
            <w:r>
              <w:rPr>
                <w:rFonts w:ascii="宋体" w:hAnsi="宋体" w:eastAsia="宋体" w:cs="宋体"/>
                <w:b w:val="0"/>
                <w:i w:val="0"/>
                <w:color w:val="000000"/>
                <w:sz w:val="18"/>
              </w:rPr>
              <w:t>6.24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280.40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1,239.64</w:t>
            </w:r>
          </w:p>
        </w:tc>
        <w:tc>
          <w:tcPr>
            <w:tcW w:w="1420" w:type="dxa"/>
            <w:vAlign w:val="center"/>
          </w:tcPr>
          <w:p>
            <w:pPr>
              <w:jc w:val="right"/>
            </w:pPr>
            <w:r>
              <w:rPr>
                <w:rFonts w:ascii="宋体" w:hAnsi="宋体" w:eastAsia="宋体" w:cs="宋体"/>
                <w:b w:val="0"/>
                <w:i w:val="0"/>
                <w:color w:val="000000"/>
                <w:sz w:val="18"/>
              </w:rPr>
              <w:t>1,239.64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959.25</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959.25</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1,239.64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1,239.64</w:t>
            </w:r>
          </w:p>
        </w:tc>
        <w:tc>
          <w:tcPr>
            <w:tcW w:w="1420" w:type="dxa"/>
            <w:vAlign w:val="center"/>
          </w:tcPr>
          <w:p>
            <w:pPr>
              <w:jc w:val="right"/>
            </w:pPr>
            <w:r>
              <w:rPr>
                <w:rFonts w:ascii="宋体" w:hAnsi="宋体" w:eastAsia="宋体" w:cs="宋体"/>
                <w:b w:val="0"/>
                <w:i w:val="0"/>
                <w:color w:val="000000"/>
                <w:sz w:val="18"/>
              </w:rPr>
              <w:t>1,239.64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1,239.64</w:t>
            </w:r>
          </w:p>
        </w:tc>
        <w:tc>
          <w:tcPr>
            <w:tcW w:w="2700" w:type="dxa"/>
            <w:vAlign w:val="center"/>
          </w:tcPr>
          <w:p>
            <w:pPr>
              <w:jc w:val="right"/>
            </w:pPr>
            <w:r>
              <w:rPr>
                <w:rFonts w:ascii="宋体" w:hAnsi="宋体" w:eastAsia="宋体" w:cs="宋体"/>
                <w:b/>
                <w:i w:val="0"/>
                <w:color w:val="000000"/>
                <w:sz w:val="25"/>
              </w:rPr>
              <w:t>168.40</w:t>
            </w:r>
          </w:p>
        </w:tc>
        <w:tc>
          <w:tcPr>
            <w:tcW w:w="2658" w:type="dxa"/>
            <w:vAlign w:val="center"/>
          </w:tcPr>
          <w:p>
            <w:pPr>
              <w:jc w:val="right"/>
            </w:pPr>
            <w:r>
              <w:rPr>
                <w:rFonts w:ascii="宋体" w:hAnsi="宋体" w:eastAsia="宋体" w:cs="宋体"/>
                <w:b/>
                <w:i w:val="0"/>
                <w:color w:val="000000"/>
                <w:sz w:val="25"/>
              </w:rPr>
              <w:t>1,071.25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0.65</w:t>
            </w:r>
          </w:p>
        </w:tc>
        <w:tc>
          <w:tcPr>
            <w:tcW w:w="2700" w:type="dxa"/>
            <w:vAlign w:val="center"/>
          </w:tcPr>
          <w:p>
            <w:pPr>
              <w:jc w:val="right"/>
            </w:pPr>
            <w:r>
              <w:rPr>
                <w:rFonts w:ascii="宋体" w:hAnsi="宋体" w:eastAsia="宋体" w:cs="宋体"/>
                <w:b w:val="0"/>
                <w:i w:val="0"/>
                <w:color w:val="000000"/>
                <w:sz w:val="25"/>
              </w:rPr>
              <w:t>0.65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1,229.43</w:t>
            </w:r>
          </w:p>
        </w:tc>
        <w:tc>
          <w:tcPr>
            <w:tcW w:w="2700" w:type="dxa"/>
            <w:vAlign w:val="center"/>
          </w:tcPr>
          <w:p>
            <w:pPr>
              <w:jc w:val="right"/>
            </w:pPr>
            <w:r>
              <w:rPr>
                <w:rFonts w:ascii="宋体" w:hAnsi="宋体" w:eastAsia="宋体" w:cs="宋体"/>
                <w:b w:val="0"/>
                <w:i w:val="0"/>
                <w:color w:val="000000"/>
                <w:sz w:val="25"/>
              </w:rPr>
              <w:t>158.18</w:t>
            </w:r>
          </w:p>
        </w:tc>
        <w:tc>
          <w:tcPr>
            <w:tcW w:w="2658" w:type="dxa"/>
            <w:vAlign w:val="center"/>
          </w:tcPr>
          <w:p>
            <w:pPr>
              <w:jc w:val="right"/>
            </w:pPr>
            <w:r>
              <w:rPr>
                <w:rFonts w:ascii="宋体" w:hAnsi="宋体" w:eastAsia="宋体" w:cs="宋体"/>
                <w:b w:val="0"/>
                <w:i w:val="0"/>
                <w:color w:val="000000"/>
                <w:sz w:val="25"/>
              </w:rPr>
              <w:t>1,071.25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21.34</w:t>
            </w:r>
          </w:p>
        </w:tc>
        <w:tc>
          <w:tcPr>
            <w:tcW w:w="2700" w:type="dxa"/>
            <w:vAlign w:val="center"/>
          </w:tcPr>
          <w:p>
            <w:pPr>
              <w:jc w:val="right"/>
            </w:pPr>
            <w:r>
              <w:rPr>
                <w:rFonts w:ascii="宋体" w:hAnsi="宋体" w:eastAsia="宋体" w:cs="宋体"/>
                <w:b w:val="0"/>
                <w:i w:val="0"/>
                <w:color w:val="000000"/>
                <w:sz w:val="25"/>
              </w:rPr>
              <w:t>21.34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14.64</w:t>
            </w:r>
          </w:p>
        </w:tc>
        <w:tc>
          <w:tcPr>
            <w:tcW w:w="2700" w:type="dxa"/>
            <w:vAlign w:val="center"/>
          </w:tcPr>
          <w:p>
            <w:pPr>
              <w:jc w:val="right"/>
            </w:pPr>
            <w:r>
              <w:rPr>
                <w:rFonts w:ascii="宋体" w:hAnsi="宋体" w:eastAsia="宋体" w:cs="宋体"/>
                <w:b w:val="0"/>
                <w:i w:val="0"/>
                <w:color w:val="000000"/>
                <w:sz w:val="25"/>
              </w:rPr>
              <w:t>14.64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6.70</w:t>
            </w:r>
          </w:p>
        </w:tc>
        <w:tc>
          <w:tcPr>
            <w:tcW w:w="2700" w:type="dxa"/>
            <w:vAlign w:val="center"/>
          </w:tcPr>
          <w:p>
            <w:pPr>
              <w:jc w:val="right"/>
            </w:pPr>
            <w:r>
              <w:rPr>
                <w:rFonts w:ascii="宋体" w:hAnsi="宋体" w:eastAsia="宋体" w:cs="宋体"/>
                <w:b w:val="0"/>
                <w:i w:val="0"/>
                <w:color w:val="000000"/>
                <w:sz w:val="25"/>
              </w:rPr>
              <w:t>6.70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50.00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2080808</w:t>
            </w:r>
          </w:p>
        </w:tc>
        <w:tc>
          <w:tcPr>
            <w:tcW w:w="4700" w:type="dxa"/>
            <w:vAlign w:val="center"/>
          </w:tcPr>
          <w:p>
            <w:pPr>
              <w:jc w:val="left"/>
            </w:pPr>
            <w:r>
              <w:rPr>
                <w:rFonts w:ascii="宋体" w:hAnsi="宋体" w:eastAsia="宋体" w:cs="宋体"/>
                <w:b w:val="0"/>
                <w:i w:val="0"/>
                <w:color w:val="000000"/>
                <w:sz w:val="25"/>
              </w:rPr>
              <w:t>烈士纪念设施管理维护</w:t>
            </w:r>
          </w:p>
        </w:tc>
        <w:tc>
          <w:tcPr>
            <w:tcW w:w="2700" w:type="dxa"/>
            <w:vAlign w:val="center"/>
          </w:tcPr>
          <w:p>
            <w:pPr>
              <w:jc w:val="right"/>
            </w:pPr>
            <w:r>
              <w:rPr>
                <w:rFonts w:ascii="宋体" w:hAnsi="宋体" w:eastAsia="宋体" w:cs="宋体"/>
                <w:b w:val="0"/>
                <w:i w:val="0"/>
                <w:color w:val="000000"/>
                <w:sz w:val="25"/>
              </w:rPr>
              <w:t>50.00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w:t>
            </w:r>
          </w:p>
        </w:tc>
        <w:tc>
          <w:tcPr>
            <w:tcW w:w="4700" w:type="dxa"/>
            <w:vAlign w:val="center"/>
          </w:tcPr>
          <w:p>
            <w:pPr>
              <w:jc w:val="left"/>
            </w:pPr>
            <w:r>
              <w:rPr>
                <w:rFonts w:ascii="宋体" w:hAnsi="宋体" w:eastAsia="宋体" w:cs="宋体"/>
                <w:b w:val="0"/>
                <w:i w:val="0"/>
                <w:color w:val="000000"/>
                <w:sz w:val="25"/>
              </w:rPr>
              <w:t>退役军人管理事务</w:t>
            </w:r>
          </w:p>
        </w:tc>
        <w:tc>
          <w:tcPr>
            <w:tcW w:w="2700" w:type="dxa"/>
            <w:vAlign w:val="center"/>
          </w:tcPr>
          <w:p>
            <w:pPr>
              <w:jc w:val="right"/>
            </w:pPr>
            <w:r>
              <w:rPr>
                <w:rFonts w:ascii="宋体" w:hAnsi="宋体" w:eastAsia="宋体" w:cs="宋体"/>
                <w:b w:val="0"/>
                <w:i w:val="0"/>
                <w:color w:val="000000"/>
                <w:sz w:val="25"/>
              </w:rPr>
              <w:t>1,158.09</w:t>
            </w:r>
          </w:p>
        </w:tc>
        <w:tc>
          <w:tcPr>
            <w:tcW w:w="2700" w:type="dxa"/>
            <w:vAlign w:val="center"/>
          </w:tcPr>
          <w:p>
            <w:pPr>
              <w:jc w:val="right"/>
            </w:pPr>
            <w:r>
              <w:rPr>
                <w:rFonts w:ascii="宋体" w:hAnsi="宋体" w:eastAsia="宋体" w:cs="宋体"/>
                <w:b w:val="0"/>
                <w:i w:val="0"/>
                <w:color w:val="000000"/>
                <w:sz w:val="25"/>
              </w:rPr>
              <w:t>136.84</w:t>
            </w:r>
          </w:p>
        </w:tc>
        <w:tc>
          <w:tcPr>
            <w:tcW w:w="2658" w:type="dxa"/>
            <w:vAlign w:val="center"/>
          </w:tcPr>
          <w:p>
            <w:pPr>
              <w:jc w:val="right"/>
            </w:pPr>
            <w:r>
              <w:rPr>
                <w:rFonts w:ascii="宋体" w:hAnsi="宋体" w:eastAsia="宋体" w:cs="宋体"/>
                <w:b w:val="0"/>
                <w:i w:val="0"/>
                <w:color w:val="000000"/>
                <w:sz w:val="25"/>
              </w:rPr>
              <w:t>1,021.25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1,158.09</w:t>
            </w:r>
          </w:p>
        </w:tc>
        <w:tc>
          <w:tcPr>
            <w:tcW w:w="2700" w:type="dxa"/>
            <w:vAlign w:val="center"/>
          </w:tcPr>
          <w:p>
            <w:pPr>
              <w:jc w:val="right"/>
            </w:pPr>
            <w:r>
              <w:rPr>
                <w:rFonts w:ascii="宋体" w:hAnsi="宋体" w:eastAsia="宋体" w:cs="宋体"/>
                <w:b w:val="0"/>
                <w:i w:val="0"/>
                <w:color w:val="000000"/>
                <w:sz w:val="25"/>
              </w:rPr>
              <w:t>136.84</w:t>
            </w:r>
          </w:p>
        </w:tc>
        <w:tc>
          <w:tcPr>
            <w:tcW w:w="2658" w:type="dxa"/>
            <w:vAlign w:val="center"/>
          </w:tcPr>
          <w:p>
            <w:pPr>
              <w:jc w:val="right"/>
            </w:pPr>
            <w:r>
              <w:rPr>
                <w:rFonts w:ascii="宋体" w:hAnsi="宋体" w:eastAsia="宋体" w:cs="宋体"/>
                <w:b w:val="0"/>
                <w:i w:val="0"/>
                <w:color w:val="000000"/>
                <w:sz w:val="25"/>
              </w:rPr>
              <w:t>1,021.25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3.32</w:t>
            </w:r>
          </w:p>
        </w:tc>
        <w:tc>
          <w:tcPr>
            <w:tcW w:w="2700" w:type="dxa"/>
            <w:vAlign w:val="center"/>
          </w:tcPr>
          <w:p>
            <w:pPr>
              <w:jc w:val="right"/>
            </w:pPr>
            <w:r>
              <w:rPr>
                <w:rFonts w:ascii="宋体" w:hAnsi="宋体" w:eastAsia="宋体" w:cs="宋体"/>
                <w:b w:val="0"/>
                <w:i w:val="0"/>
                <w:color w:val="000000"/>
                <w:sz w:val="25"/>
              </w:rPr>
              <w:t>3.32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3.32</w:t>
            </w:r>
          </w:p>
        </w:tc>
        <w:tc>
          <w:tcPr>
            <w:tcW w:w="2700" w:type="dxa"/>
            <w:vAlign w:val="center"/>
          </w:tcPr>
          <w:p>
            <w:pPr>
              <w:jc w:val="right"/>
            </w:pPr>
            <w:r>
              <w:rPr>
                <w:rFonts w:ascii="宋体" w:hAnsi="宋体" w:eastAsia="宋体" w:cs="宋体"/>
                <w:b w:val="0"/>
                <w:i w:val="0"/>
                <w:color w:val="000000"/>
                <w:sz w:val="25"/>
              </w:rPr>
              <w:t>3.32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3.32</w:t>
            </w:r>
          </w:p>
        </w:tc>
        <w:tc>
          <w:tcPr>
            <w:tcW w:w="2700" w:type="dxa"/>
            <w:vAlign w:val="center"/>
          </w:tcPr>
          <w:p>
            <w:pPr>
              <w:jc w:val="right"/>
            </w:pPr>
            <w:r>
              <w:rPr>
                <w:rFonts w:ascii="宋体" w:hAnsi="宋体" w:eastAsia="宋体" w:cs="宋体"/>
                <w:b w:val="0"/>
                <w:i w:val="0"/>
                <w:color w:val="000000"/>
                <w:sz w:val="25"/>
              </w:rPr>
              <w:t>3.32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6.24</w:t>
            </w:r>
          </w:p>
        </w:tc>
        <w:tc>
          <w:tcPr>
            <w:tcW w:w="2700" w:type="dxa"/>
            <w:vAlign w:val="center"/>
          </w:tcPr>
          <w:p>
            <w:pPr>
              <w:jc w:val="right"/>
            </w:pPr>
            <w:r>
              <w:rPr>
                <w:rFonts w:ascii="宋体" w:hAnsi="宋体" w:eastAsia="宋体" w:cs="宋体"/>
                <w:b w:val="0"/>
                <w:i w:val="0"/>
                <w:color w:val="000000"/>
                <w:sz w:val="25"/>
              </w:rPr>
              <w:t>6.24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6.24</w:t>
            </w:r>
          </w:p>
        </w:tc>
        <w:tc>
          <w:tcPr>
            <w:tcW w:w="2700" w:type="dxa"/>
            <w:vAlign w:val="center"/>
          </w:tcPr>
          <w:p>
            <w:pPr>
              <w:jc w:val="right"/>
            </w:pPr>
            <w:r>
              <w:rPr>
                <w:rFonts w:ascii="宋体" w:hAnsi="宋体" w:eastAsia="宋体" w:cs="宋体"/>
                <w:b w:val="0"/>
                <w:i w:val="0"/>
                <w:color w:val="000000"/>
                <w:sz w:val="25"/>
              </w:rPr>
              <w:t>6.24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6.24</w:t>
            </w:r>
          </w:p>
        </w:tc>
        <w:tc>
          <w:tcPr>
            <w:tcW w:w="2700" w:type="dxa"/>
            <w:vAlign w:val="center"/>
          </w:tcPr>
          <w:p>
            <w:pPr>
              <w:jc w:val="right"/>
            </w:pPr>
            <w:r>
              <w:rPr>
                <w:rFonts w:ascii="宋体" w:hAnsi="宋体" w:eastAsia="宋体" w:cs="宋体"/>
                <w:b w:val="0"/>
                <w:i w:val="0"/>
                <w:color w:val="000000"/>
                <w:sz w:val="25"/>
              </w:rPr>
              <w:t>6.24</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142.01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10.84</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23.23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7.64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27.28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16.67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14.26</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8.92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0.99</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4.00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9.88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36.31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15.55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14.64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0.65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0.88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157.56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10.84</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单位：许昌市烈士陵园管理处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1.32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60" w:type="dxa"/>
            <w:vAlign w:val="center"/>
          </w:tcPr>
          <w:p>
            <w:pPr>
              <w:jc w:val="right"/>
            </w:pPr>
            <w:r>
              <w:rPr>
                <w:rFonts w:ascii="宋体" w:hAnsi="宋体" w:eastAsia="宋体" w:cs="宋体"/>
                <w:b w:val="0"/>
                <w:i w:val="0"/>
                <w:color w:val="000000"/>
                <w:sz w:val="17"/>
              </w:rPr>
              <w:t>0.17</w:t>
            </w:r>
          </w:p>
        </w:tc>
        <w:tc>
          <w:tcPr>
            <w:tcW w:w="1160" w:type="dxa"/>
            <w:vAlign w:val="center"/>
          </w:tcPr>
          <w:p>
            <w:pPr>
              <w:jc w:val="right"/>
            </w:pPr>
            <w:r>
              <w:rPr>
                <w:rFonts w:ascii="宋体" w:hAnsi="宋体" w:eastAsia="宋体" w:cs="宋体"/>
                <w:b w:val="0"/>
                <w:i w:val="0"/>
                <w:color w:val="000000"/>
                <w:sz w:val="17"/>
              </w:rPr>
              <w:t>1.32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1.15</w:t>
            </w:r>
          </w:p>
        </w:tc>
        <w:tc>
          <w:tcPr>
            <w:tcW w:w="1198" w:type="dxa"/>
            <w:vAlign w:val="center"/>
          </w:tcPr>
          <w:p>
            <w:pPr>
              <w:jc w:val="right"/>
            </w:pPr>
            <w:r>
              <w:rPr>
                <w:rFonts w:ascii="宋体" w:hAnsi="宋体" w:eastAsia="宋体" w:cs="宋体"/>
                <w:b w:val="0"/>
                <w:i w:val="0"/>
                <w:color w:val="000000"/>
                <w:sz w:val="17"/>
              </w:rPr>
              <w:t>0.17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2023年度收、支总计均为1239.64万元。与上年度相比，收、支总计各增加671.08万元，增长118.03%。主要原因是许昌烈士陵园改扩建项目部分尾款的支付。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280.40万元，其中：财政拨款收入280.40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2023年度支出合计1239.64万元，其中：基本支出168.40万元，占13.58%；项目支出1071.25万元，占86.42%；上缴上级支出0.00万元，占0.00%；经营支出0.00万元，占0.00%；对附属单位补助支出0.00万元，占0.00%。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2023年度财政拨款收、支总计均为1239.64万元。与上年度相比，财政拨款收、支总计各增加671.08万元，增长118.03%。主要原因是许昌烈士陵园改扩建项目部分尾款的支付。</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2023年度一般公共预算财政拨款支出1239.64万元，占支出合计的100.00%。与上年度相比，一般公共预算财政拨款支出增加671.08万元，增长118.03%。主要原因是许昌烈士陵园改扩建项目部分尾款的支付。</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1239.64万元，主要用于以下方面：一般公共服务支出（类）0.65万元，占0.05%；社会保障和就业支出（类）1229.43万元，占99.18%；卫生健康支出（类）3.32万元，占0.27%；住房保障支出（类）6.24万元，占0.50%。</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2023年度一般公共预算财政拨款支出年初预算为253.03万元，支出决算为1239.64万元，完成年初预算的489.92%。其中：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年初预算数为0.65万元，决算数0.65万元,完成年初预算的100.00%，决算数与年初预算数不存在差异。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年初预算数为13.60万元，决算数14.64万元,完成年初预算的107.65%，决算数与年初预算数存在差异的主要原因是事业单位离退休费的正常波动。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年初预算数为6.70万元，决算数6.70万元,完成年初预算的100.00%，决算数与年初预算数不存在差异。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4.社会保障和就业支出（类）抚恤（款）烈士纪念设施管理维护（项）</w:t>
      </w:r>
      <w:r>
        <w:rPr>
          <w:rFonts w:hint="default" w:ascii="仿宋" w:hAnsi="仿宋" w:eastAsia="仿宋" w:cs="仿宋"/>
          <w:kern w:val="2"/>
          <w:sz w:val="32"/>
          <w:szCs w:val="32"/>
          <w:lang w:val="en-US" w:eastAsia="zh-CN"/>
        </w:rPr>
        <w:t>年初预算数为0.00万元，决算数50.00万元,决算数与年初预算数存在差异的主要原因是上级下达优抚事业单位补助资金。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5.社会保障和就业支出（类）退役军人管理事务（款）事业运行（项）</w:t>
      </w:r>
      <w:r>
        <w:rPr>
          <w:rFonts w:hint="default" w:ascii="仿宋" w:hAnsi="仿宋" w:eastAsia="仿宋" w:cs="仿宋"/>
          <w:kern w:val="2"/>
          <w:sz w:val="32"/>
          <w:szCs w:val="32"/>
          <w:lang w:val="en-US" w:eastAsia="zh-CN"/>
        </w:rPr>
        <w:t>年初预算数为133.06万元，决算数1158.09万元,完成年初预算的870.35%，决算数与年初预算数存在差异的主要原因是许昌烈士陵园改扩建项目部分尾款的支付及烈士纪念碑修缮。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年初预算数为3.32万元，决算数3.32万元,完成年初预算的100.00%，决算数与年初预算数不存在差异。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年初预算数为6.36万元，决算数6.24万元,完成年初预算的98.11%，决算数与年初预算数存在差异的主要原因是住房公积金的正常波动。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168.40万元。其中：人员经费157.56万元，主要包括：基本工资、津贴补贴、奖金、绩效工资、机关事业单位基本养老保险缴费、职业年金缴费、职工基本医疗保险缴费、其他社会保障缴费、住房公积金、其他工资福利支出、退休费、生活补助。公用经费10.84万元，主要包括：办公费、邮电费、差旅费、公务接待费、工会经费、福利费、公务用车运行维护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2023年度“三公”经费财政拨款支出预算为1.32万元，支出决算为1.32万元，完成预算的100.00%。2023年度“三公”经费支出决算数与预算数无差异。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w:t>
      </w:r>
      <w:r>
        <w:rPr>
          <w:rFonts w:hint="eastAsia" w:ascii="仿宋" w:hAnsi="仿宋" w:eastAsia="仿宋" w:cs="仿宋"/>
          <w:color w:val="auto"/>
          <w:kern w:val="0"/>
          <w:sz w:val="32"/>
          <w:szCs w:val="32"/>
          <w:lang w:val="en-US" w:eastAsia="zh-CN"/>
        </w:rPr>
        <w:t>万元，占0.00%；</w:t>
      </w:r>
      <w:r>
        <w:rPr>
          <w:rFonts w:hint="eastAsia" w:ascii="仿宋" w:hAnsi="仿宋" w:eastAsia="仿宋" w:cs="仿宋"/>
          <w:kern w:val="0"/>
          <w:sz w:val="32"/>
          <w:szCs w:val="32"/>
          <w:lang w:val="en-US" w:eastAsia="zh-CN"/>
        </w:rPr>
        <w:t>公务用车购置及运行费支出决算1.15万元,完成预算的100.00%，占87.12%；公务接待费支出决算0.17万元，完成预算的100.00%，占12.88%。具体情况如下：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预算为1.15万元，支出决算为1.15万元，完成预算的100.00%。决算数与预算数无差异。其中：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1.15万元。主要用于公务用车日常加油、年检、保险等支出。2023年期末，单位开支财政拨款的公务用车保有量为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预算为0.17万元，支出决算为0.17万元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color w:val="FF0000"/>
          <w:kern w:val="2"/>
          <w:sz w:val="32"/>
          <w:szCs w:val="32"/>
          <w:lang w:val="en-US" w:eastAsia="zh-CN"/>
        </w:rPr>
      </w:pPr>
      <w:r>
        <w:rPr>
          <w:rFonts w:hint="eastAsia" w:ascii="仿宋" w:hAnsi="仿宋" w:eastAsia="仿宋" w:cs="仿宋"/>
          <w:b/>
          <w:bCs/>
          <w:kern w:val="0"/>
          <w:sz w:val="32"/>
          <w:szCs w:val="32"/>
          <w:lang w:val="en-US" w:eastAsia="zh-CN"/>
        </w:rPr>
        <w:t>其他</w:t>
      </w:r>
      <w:r>
        <w:rPr>
          <w:rFonts w:hint="eastAsia" w:ascii="仿宋" w:hAnsi="仿宋" w:eastAsia="仿宋" w:cs="仿宋"/>
          <w:b/>
          <w:bCs/>
          <w:color w:val="auto"/>
          <w:kern w:val="0"/>
          <w:sz w:val="32"/>
          <w:szCs w:val="32"/>
          <w:lang w:val="en-US" w:eastAsia="zh-CN"/>
        </w:rPr>
        <w:t>国内公务接待支出</w:t>
      </w:r>
      <w:r>
        <w:rPr>
          <w:rFonts w:hint="eastAsia" w:ascii="仿宋" w:hAnsi="仿宋" w:eastAsia="仿宋" w:cs="仿宋"/>
          <w:b w:val="0"/>
          <w:bCs w:val="0"/>
          <w:color w:val="auto"/>
          <w:kern w:val="0"/>
          <w:sz w:val="32"/>
          <w:szCs w:val="32"/>
          <w:lang w:val="en-US" w:eastAsia="zh-CN"/>
        </w:rPr>
        <w:t>0.17</w:t>
      </w:r>
      <w:r>
        <w:rPr>
          <w:rFonts w:hint="eastAsia" w:ascii="仿宋" w:hAnsi="仿宋" w:eastAsia="仿宋" w:cs="仿宋"/>
          <w:color w:val="auto"/>
          <w:kern w:val="0"/>
          <w:sz w:val="32"/>
          <w:szCs w:val="32"/>
          <w:lang w:val="en-US" w:eastAsia="zh-CN"/>
        </w:rPr>
        <w:t>万元。</w:t>
      </w:r>
      <w:r>
        <w:rPr>
          <w:rFonts w:hint="eastAsia" w:ascii="仿宋" w:hAnsi="仿宋" w:eastAsia="仿宋" w:cs="仿宋"/>
          <w:b w:val="0"/>
          <w:bCs w:val="0"/>
          <w:color w:val="auto"/>
          <w:kern w:val="0"/>
          <w:sz w:val="32"/>
          <w:szCs w:val="32"/>
          <w:lang w:val="en-US" w:eastAsia="zh-CN"/>
        </w:rPr>
        <w:t>主要用于兄弟单位到我单位参观学习先进经验。</w:t>
      </w:r>
      <w:r>
        <w:rPr>
          <w:rFonts w:hint="eastAsia" w:ascii="仿宋" w:hAnsi="仿宋" w:eastAsia="仿宋" w:cs="仿宋"/>
          <w:color w:val="auto"/>
          <w:kern w:val="0"/>
          <w:sz w:val="32"/>
          <w:szCs w:val="32"/>
          <w:lang w:val="en-US" w:eastAsia="zh-CN"/>
        </w:rPr>
        <w:t>2023年共接待国内来访团组1</w:t>
      </w:r>
      <w:bookmarkStart w:id="0" w:name="_GoBack"/>
      <w:bookmarkEnd w:id="0"/>
      <w:r>
        <w:rPr>
          <w:rFonts w:hint="eastAsia" w:ascii="仿宋" w:hAnsi="仿宋" w:eastAsia="仿宋" w:cs="仿宋"/>
          <w:color w:val="auto"/>
          <w:kern w:val="0"/>
          <w:sz w:val="32"/>
          <w:szCs w:val="32"/>
          <w:lang w:val="en-US" w:eastAsia="zh-CN"/>
        </w:rPr>
        <w:t>个、来宾10人次（不包括陪同人员）</w:t>
      </w:r>
      <w:r>
        <w:rPr>
          <w:rFonts w:hint="eastAsia" w:ascii="仿宋" w:hAnsi="仿宋" w:eastAsia="仿宋" w:cs="仿宋"/>
          <w:color w:val="auto"/>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945.81万元，其中：政府采购货物支出945.81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涉及预算资金1072.64万元。自评得分为99.42分，等级为“优”。从单位整体自评情况来看，单位整体绩效自评情况为良好。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基于项目预期目标的实现程度，我单位对2023年度单位预算项目支出（含单位参与分配的转移支付项目）开展绩效自评，涉及项目3个，项目金额1072.64万元。其中：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（1）运行维护费，自评得分为100分，等级为“优”。本项目自评结果为“优”，预算已全部执行，目标已完成。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烈士纪念碑修缮，自评得分为90.47分，等级为“优”。本项目自评结果为“优”，资金安排科学，拨付合规，使用规范，预算绩效严格把控。下一步我单位将加强预算绩效管理，做好绩效监控、绩效评价等工作，切实提高财政资金使用效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（3）烈士陵园改扩建工程尾款，自评得分为99.99分，等级为“优”。本项目自评结果为“优”，预算已执行，目标已完成。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运用科学规范的绩效评价方法，客观、公正的核查项目预期目标实现程度。加强预算绩效管理，做好绩效监控、绩效评价等工作，切实提高财政资金使用效益。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2"/>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294"/>
        <w:gridCol w:w="931"/>
        <w:gridCol w:w="784"/>
        <w:gridCol w:w="2104"/>
        <w:gridCol w:w="1334"/>
        <w:gridCol w:w="1713"/>
        <w:gridCol w:w="781"/>
        <w:gridCol w:w="715"/>
        <w:gridCol w:w="917"/>
        <w:gridCol w:w="930"/>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4060" w:type="dxa"/>
            <w:gridSpan w:val="12"/>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10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1072.64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1010.81</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94.24</w:t>
            </w:r>
            <w:r>
              <w:rPr>
                <w:rFonts w:ascii="宋体" w:hAnsi="宋体" w:eastAsia="宋体" w:cs="宋体"/>
                <w:i w:val="0"/>
                <w:iCs w:val="0"/>
                <w:color w:val="000000"/>
                <w:kern w:val="0"/>
                <w:sz w:val="18"/>
                <w:szCs w:val="18"/>
                <w:u w:val="none"/>
                <w:lang w:val="en-US" w:eastAsia="zh-CN"/>
              </w:rPr>
              <w:t>%</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1072.64</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1010.81</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94.24</w:t>
            </w:r>
            <w:r>
              <w:rPr>
                <w:rFonts w:ascii="宋体" w:hAnsi="宋体" w:eastAsia="宋体" w:cs="宋体"/>
                <w:i w:val="0"/>
                <w:iCs w:val="0"/>
                <w:color w:val="000000"/>
                <w:kern w:val="0"/>
                <w:sz w:val="18"/>
                <w:szCs w:val="18"/>
                <w:u w:val="none"/>
                <w:lang w:val="en-US" w:eastAsia="zh-CN"/>
              </w:rPr>
              <w:t>%</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3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6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6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6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Dialog" w:hAnsi="Dialog" w:eastAsia="Dialog"/>
                <w:sz w:val="18"/>
              </w:rPr>
              <w:t>保障革命烈士纪念（南、北）馆日常管理工作，便于社会各界参观人员更好的瞻仰烈士、铭记历史，更好的发挥爱国主义教育基地的作用。</w:t>
            </w:r>
          </w:p>
        </w:tc>
        <w:tc>
          <w:tcPr>
            <w:tcW w:w="6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实现了</w:t>
            </w:r>
            <w:r>
              <w:rPr>
                <w:rFonts w:hint="eastAsia" w:ascii="Dialog" w:hAnsi="Dialog" w:eastAsia="Dialog"/>
                <w:sz w:val="18"/>
              </w:rPr>
              <w:t>保障革命烈士纪念（南、北）馆日常管理工作，便于社会各界参观人员更好的瞻仰烈士、铭记历史，更好的发挥爱国主义教育基地的作用。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6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保障革命烈士纪念（南、北）馆正常运转</w:t>
            </w:r>
            <w:r>
              <w:rPr>
                <w:rFonts w:hint="eastAsia" w:ascii="宋体" w:hAnsi="宋体" w:eastAsia="宋体" w:cs="宋体"/>
                <w:i w:val="0"/>
                <w:iCs w:val="0"/>
                <w:color w:val="000000"/>
                <w:kern w:val="0"/>
                <w:sz w:val="18"/>
                <w:szCs w:val="18"/>
                <w:u w:val="none"/>
                <w:lang w:val="en-US" w:eastAsia="zh-CN"/>
              </w:rPr>
              <w:t>及改扩建工程部分尾款的支付</w:t>
            </w:r>
          </w:p>
        </w:tc>
        <w:tc>
          <w:tcPr>
            <w:tcW w:w="4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Dialog" w:hAnsi="Dialog" w:eastAsia="Dialog"/>
                <w:sz w:val="18"/>
              </w:rPr>
              <w:t>保障革命烈士纪念（南、北）馆日常管理工作，便于社会各界参观人员更好的瞻仰烈士、铭记历史，更好的发挥爱国主义教育基地的作用</w:t>
            </w:r>
            <w:r>
              <w:rPr>
                <w:rFonts w:hint="eastAsia" w:ascii="Dialog" w:hAnsi="Dialog" w:eastAsia="Dialog"/>
                <w:sz w:val="18"/>
                <w:lang w:val="en-US" w:eastAsia="zh-CN"/>
              </w:rPr>
              <w:t>及改扩建工程部分尾款的支付</w:t>
            </w:r>
            <w:r>
              <w:rPr>
                <w:rFonts w:hint="eastAsia" w:ascii="Dialog" w:hAnsi="Dialog" w:eastAsia="Dialog"/>
                <w:sz w:val="18"/>
              </w:rPr>
              <w:t>。</w:t>
            </w:r>
          </w:p>
        </w:tc>
        <w:tc>
          <w:tcPr>
            <w:tcW w:w="6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r>
              <w:rPr>
                <w:rFonts w:hint="eastAsia" w:ascii="Dialog" w:hAnsi="Dialog" w:eastAsia="Dialog"/>
                <w:sz w:val="18"/>
              </w:rPr>
              <w:t>保障革命烈士纪念（南、北）馆日常管理工作，便于社会各界参观人员更好的瞻仰烈士、铭记历史，更好的发挥爱国主义教育基地的作用</w:t>
            </w:r>
            <w:r>
              <w:rPr>
                <w:rFonts w:hint="eastAsia" w:ascii="Dialog" w:hAnsi="Dialog" w:eastAsia="Dialog"/>
                <w:sz w:val="18"/>
                <w:lang w:val="en-US" w:eastAsia="zh-CN"/>
              </w:rPr>
              <w:t>及改扩建工程部分尾款的支付</w:t>
            </w: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7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预算编制完整性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决算真实性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Dialog" w:hAnsi="Dialog" w:eastAsia="Dialog"/>
                <w:sz w:val="18"/>
                <w:lang w:val="en-US" w:eastAsia="zh-CN"/>
              </w:rPr>
              <w:t>保障</w:t>
            </w:r>
            <w:r>
              <w:rPr>
                <w:rFonts w:hint="eastAsia" w:ascii="Dialog" w:hAnsi="Dialog" w:eastAsia="Dialog"/>
                <w:sz w:val="18"/>
              </w:rPr>
              <w:t>烈士纪念（南、北）馆日常管理工作</w:t>
            </w:r>
            <w:r>
              <w:rPr>
                <w:rFonts w:hint="eastAsia" w:ascii="宋体" w:hAnsi="宋体" w:eastAsia="宋体" w:cs="宋体"/>
                <w:i w:val="0"/>
                <w:iCs w:val="0"/>
                <w:color w:val="000000"/>
                <w:kern w:val="0"/>
                <w:sz w:val="18"/>
                <w:szCs w:val="18"/>
                <w:u w:val="none"/>
                <w:lang w:val="en-US" w:eastAsia="zh-CN"/>
              </w:rPr>
              <w:t>及改扩建工程部分尾款的支付</w:t>
            </w:r>
            <w:r>
              <w:rPr>
                <w:rFonts w:hint="eastAsia" w:ascii="Dialog" w:hAnsi="Dialog" w:eastAsia="Dialog"/>
                <w:sz w:val="18"/>
              </w:rPr>
              <w:t>，</w:t>
            </w:r>
            <w:r>
              <w:rPr>
                <w:rFonts w:ascii="宋体" w:hAnsi="宋体" w:eastAsia="宋体" w:cs="宋体"/>
                <w:i w:val="0"/>
                <w:iCs w:val="0"/>
                <w:color w:val="000000"/>
                <w:kern w:val="0"/>
                <w:sz w:val="18"/>
                <w:szCs w:val="18"/>
                <w:u w:val="none"/>
                <w:lang w:val="en-US" w:eastAsia="zh-CN"/>
              </w:rPr>
              <w:t>按标准执行率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资金及时拨付率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Dialog" w:hAnsi="Dialog" w:eastAsia="Dialog"/>
                <w:sz w:val="18"/>
              </w:rPr>
              <w:t>烈士纪念（南、北）馆日常管理工作</w:t>
            </w:r>
            <w:r>
              <w:rPr>
                <w:rFonts w:hint="eastAsia" w:ascii="Dialog" w:hAnsi="Dialog" w:eastAsia="Dialog"/>
                <w:sz w:val="18"/>
                <w:lang w:val="en-US" w:eastAsia="zh-CN"/>
              </w:rPr>
              <w:t>保障</w:t>
            </w:r>
            <w:r>
              <w:rPr>
                <w:rFonts w:ascii="宋体" w:hAnsi="宋体" w:eastAsia="宋体" w:cs="宋体"/>
                <w:i w:val="0"/>
                <w:iCs w:val="0"/>
                <w:color w:val="000000"/>
                <w:kern w:val="0"/>
                <w:sz w:val="18"/>
                <w:szCs w:val="18"/>
                <w:u w:val="none"/>
                <w:lang w:val="en-US" w:eastAsia="zh-CN"/>
              </w:rPr>
              <w:t>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较好</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工作人员及参观市民满意度</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99.42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r>
    </w:tbl>
    <w:p>
      <w:pPr>
        <w:pStyle w:val="11"/>
        <w:sectPr>
          <w:pgSz w:w="16838" w:h="11906" w:orient="landscape"/>
          <w:pgMar w:top="1800" w:right="1440" w:bottom="1800" w:left="1440" w:header="851" w:footer="992" w:gutter="0"/>
          <w:cols w:space="425" w:num="1"/>
          <w:docGrid w:type="lines" w:linePitch="312" w:charSpace="0"/>
        </w:sectPr>
      </w:pPr>
    </w:p>
    <w:tbl>
      <w:tblPr>
        <w:tblStyle w:val="12"/>
        <w:tblW w:w="14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737"/>
        <w:gridCol w:w="1350"/>
        <w:gridCol w:w="896"/>
        <w:gridCol w:w="859"/>
        <w:gridCol w:w="1512"/>
        <w:gridCol w:w="997"/>
        <w:gridCol w:w="860"/>
        <w:gridCol w:w="997"/>
        <w:gridCol w:w="998"/>
        <w:gridCol w:w="873"/>
        <w:gridCol w:w="873"/>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4307" w:type="dxa"/>
            <w:gridSpan w:val="13"/>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2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4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63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873" w:type="dxa"/>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3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5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3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合理安排预算，对每个项目都需要细致的预算规划，根据其重要性进行资金分配 。</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3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按照规定程序和标准进行资金拨付，资金使用规范，按要求对资金使用过程进行合理规范，确保合法合规。</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3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33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81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保障革命烈士纪念（南、北）馆日常管理工作，便于社会各界参观人员更好地瞻仰烈士、铭记历史，更好地发挥爱国主义教育基地的作用。</w:t>
            </w:r>
          </w:p>
        </w:tc>
        <w:tc>
          <w:tcPr>
            <w:tcW w:w="81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年度目标完成情况：我单位对系统管理工作进行深入了解，并不断完善机制，加强管理，业务上进行了理顺和协调管理，在保证预算内资金62万足额到位，2023年预算内资金到账率100%。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物业费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缴纳物业月数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缴纳用水吨数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缴纳用电吨数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≤34.48万度</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34.48万度</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资金足额拨付率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费用缴纳时间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按月缴纳</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保障革命烈士纪念（南、北）馆日常开放、管理及运行</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市民满意度</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2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bl>
    <w:p>
      <w:pPr>
        <w:pStyle w:val="11"/>
      </w:pPr>
    </w:p>
    <w:p>
      <w:pPr>
        <w:pStyle w:val="11"/>
      </w:pPr>
    </w:p>
    <w:p>
      <w:pPr>
        <w:pStyle w:val="11"/>
      </w:pPr>
    </w:p>
    <w:tbl>
      <w:tblPr>
        <w:tblStyle w:val="12"/>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970"/>
        <w:gridCol w:w="1384"/>
        <w:gridCol w:w="812"/>
        <w:gridCol w:w="1078"/>
        <w:gridCol w:w="1620"/>
        <w:gridCol w:w="876"/>
        <w:gridCol w:w="912"/>
        <w:gridCol w:w="1058"/>
        <w:gridCol w:w="1059"/>
        <w:gridCol w:w="926"/>
        <w:gridCol w:w="926"/>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580" w:type="dxa"/>
            <w:gridSpan w:val="13"/>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27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烈士纪念碑修缮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4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63.63</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26" w:type="dxa"/>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63.63</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8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合理安排预算，对每个项目都需要细致的预算规划，根据其重要性进行资金分配。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按照规定程序和标准进行资金拨付，资金使用规范，按要求对资金使用过程进行合理规范，确保合法合规。</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3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5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78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5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保障革命烈士陵园安全管理工作，便于社会各界参观人员更好的瞻仰烈士、铭记历史，更好地发挥爱国教育基地作用。</w:t>
            </w:r>
          </w:p>
        </w:tc>
        <w:tc>
          <w:tcPr>
            <w:tcW w:w="78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保障纪念设施外观完整，题字碑文清晰，保持庄严肃穆，清静的环境氛围，给参观群众提供一个干净整洁，安全文明的环境。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烈士纪念碑修缮费用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≤11.8万元</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烈士纪念碑评估鉴定费用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≤3万元</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烈士纪念碑脚手架搭建费用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≤15.2万元</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修缮烈士纪念碑个数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1座</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1座</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烈士纪念碑（不含底座）高度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29.6米</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29.6米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修缮烈士纪念碑面积</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≤500平方米</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500平方米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烈士纪念碑工程验收合格率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烈士纪念碑维修期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2023年9月30日前</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烈士纪念碑安全性</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参观人员满意度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6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90.47</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bl>
    <w:p>
      <w:pPr>
        <w:pStyle w:val="11"/>
      </w:pPr>
    </w:p>
    <w:tbl>
      <w:tblPr>
        <w:tblStyle w:val="12"/>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937"/>
        <w:gridCol w:w="1098"/>
        <w:gridCol w:w="1022"/>
        <w:gridCol w:w="881"/>
        <w:gridCol w:w="1549"/>
        <w:gridCol w:w="1021"/>
        <w:gridCol w:w="882"/>
        <w:gridCol w:w="1022"/>
        <w:gridCol w:w="1022"/>
        <w:gridCol w:w="895"/>
        <w:gridCol w:w="895"/>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080" w:type="dxa"/>
            <w:gridSpan w:val="13"/>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1233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烈士陵园改扩建工程尾款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45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5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w:t>
            </w:r>
          </w:p>
        </w:tc>
        <w:tc>
          <w:tcPr>
            <w:tcW w:w="895" w:type="dxa"/>
            <w:tcBorders>
              <w:top w:val="nil"/>
              <w:left w:val="nil"/>
              <w:bottom w:val="nil"/>
              <w:right w:val="nil"/>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4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合理安排预算，对每个项目都需要细致的预算规划，根据其重要性进行资金分配。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按照规定程序和标准拨付，资金使用规范，按要求对资金使用过程进行合理规范，确按照规定程序和标准进行资金拨保合法合规。</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4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77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5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许昌市烈士陵园改扩建项目2016年10月开工，2017年9月南馆试运行，2018年4月投入使用。建设主要包括主体工程、室外铺装工程、室内布展（含装饰装修）工程等。</w:t>
            </w:r>
          </w:p>
        </w:tc>
        <w:tc>
          <w:tcPr>
            <w:tcW w:w="77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年度目标完成情况：我单位对系统管理工作进行深入了解，并不断完善机制，加强管理，业务上进行了理顺和协调管理， 2023年资金到账率100%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烈士陵园改扩建项目工程</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947.01万元</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改扩建项目</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符合交付条件</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及时支付工程款</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收到资金10个工作日内</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市民爱国主义情怀</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市民满意度</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73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99.99</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jc w:val="center"/>
              <w:rPr>
                <w:rFonts w:hint="eastAsia" w:ascii="宋体" w:hAnsi="宋体" w:eastAsia="宋体" w:cs="宋体"/>
                <w:i w:val="0"/>
                <w:iCs w:val="0"/>
                <w:color w:val="000000"/>
                <w:sz w:val="18"/>
                <w:szCs w:val="18"/>
                <w:u w:val="none"/>
              </w:rPr>
            </w:pPr>
          </w:p>
        </w:tc>
      </w:tr>
    </w:tbl>
    <w:p>
      <w:pPr>
        <w:pStyle w:val="11"/>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C5dblS0AAAAAUB&#10;AAAPAAAAAAAAAAEAIAAAADgAAABkcnMvZG93bnJldi54bWxQSwECFAAUAAAACACHTuJACutYOwEC&#10;AAAKBAAADgAAAAAAAAABACAAAAA1AQAAZHJzL2Uyb0RvYy54bWxQSwECFAAKAAAAAACHTuJAAAAA&#10;AAAAAAAAAAAABAAAAAAAAAAAABAAAAAWAAAAZHJzL1BLAQIUAAoAAAAAAIdO4kAAAAAAAAAAAAAA&#10;AAAGAAAAAAAAAAAAEAAAAGIDAABfcmVscy9QSwUGAAAAAAYABgBZAQAAqA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NjMzMjU3NmYzNmRlMDNlNjRmMzBhMzVkYzRmODEifQ=="/>
  </w:docVars>
  <w:rsids>
    <w:rsidRoot w:val="00000000"/>
    <w:rsid w:val="3F7FDF30"/>
    <w:rsid w:val="664A67E7"/>
    <w:rsid w:val="7D6EBE53"/>
    <w:rsid w:val="7D77A15B"/>
    <w:rsid w:val="D77F6D2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15"/>
    <w:basedOn w:val="7"/>
    <w:qFormat/>
    <w:uiPriority w:val="0"/>
    <w:rPr>
      <w:rFonts w:hint="eastAsia" w:ascii="宋体" w:hAnsi="宋体" w:eastAsia="宋体" w:cs="宋体"/>
      <w:color w:val="000000"/>
      <w:sz w:val="20"/>
      <w:szCs w:val="20"/>
    </w:rPr>
  </w:style>
  <w:style w:type="character" w:customStyle="1" w:styleId="9">
    <w:name w:val="16"/>
    <w:basedOn w:val="7"/>
    <w:qFormat/>
    <w:uiPriority w:val="0"/>
    <w:rPr>
      <w:rFonts w:hint="eastAsia" w:ascii="宋体" w:hAnsi="宋体" w:eastAsia="宋体" w:cs="宋体"/>
      <w:color w:val="000000"/>
      <w:sz w:val="24"/>
      <w:szCs w:val="24"/>
    </w:rPr>
  </w:style>
  <w:style w:type="character" w:customStyle="1" w:styleId="10">
    <w:name w:val="17"/>
    <w:basedOn w:val="7"/>
    <w:qFormat/>
    <w:uiPriority w:val="0"/>
    <w:rPr>
      <w:rFonts w:hint="eastAsia" w:ascii="宋体" w:hAnsi="宋体" w:eastAsia="宋体" w:cs="宋体"/>
      <w:color w:val="000000"/>
      <w:sz w:val="24"/>
      <w:szCs w:val="24"/>
    </w:rPr>
  </w:style>
  <w:style w:type="paragraph" w:customStyle="1" w:styleId="11">
    <w:name w:val="Normal_baf28ce4-b4ee-4547-b1dd-f3977c11984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2">
    <w:name w:val="Normal Table_d94ff42c-4247-4dcf-936e-4e30358f1f46"/>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11695</Words>
  <Characters>15236</Characters>
  <Lines>1</Lines>
  <Paragraphs>1</Paragraphs>
  <TotalTime>59</TotalTime>
  <ScaleCrop>false</ScaleCrop>
  <LinksUpToDate>false</LinksUpToDate>
  <CharactersWithSpaces>15512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2023-05-05T18:54:00Z</dcterms:created>
  <dc:creator>HSX</dc:creator>
  <cp:lastModifiedBy>huanghe</cp:lastModifiedBy>
  <dcterms:modified xsi:type="dcterms:W3CDTF">2024-09-23T16:54:08Z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