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许昌市港航海事中心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许昌市港航海事中心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许昌市港航海事中心概况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港航海事中心是隶属于许昌市交通运输局的自收自支事业单位，主要职责是：负责本辖区水上安全监督管理，调查处理水上交通事故；承担全市渡口设置、撤除的审核，对全市渡船、客船、游船、货运船只的检验发证及船员的培训工作；负责水上安全执法监督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许昌市港航海事中心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综合科、安全监督科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许昌市港航海事中心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许昌市港航海事中心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90.20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0.31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13.94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71.32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90.20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90.20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90.20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90.20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90.20</w:t>
            </w:r>
          </w:p>
        </w:tc>
        <w:tc>
          <w:tcPr>
            <w:tcW w:w="1440" w:type="dxa"/>
            <w:tcBorders/>
            <w:vAlign w:val="center"/>
          </w:tcPr>
          <w:p>
            <w:pPr>
              <w:jc w:val="right"/>
            </w:pPr>
            <w:r>
              <w:rPr>
                <w:rFonts w:ascii="宋体" w:eastAsia="宋体" w:hAnsi="宋体" w:cs="宋体"/>
                <w:b/>
                <w:i w:val="0"/>
                <w:color w:val="000000"/>
                <w:sz w:val="17"/>
              </w:rPr>
              <w:t xml:space="preserve">90.20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0.31</w:t>
            </w:r>
          </w:p>
        </w:tc>
        <w:tc>
          <w:tcPr>
            <w:tcW w:w="1440" w:type="dxa"/>
            <w:tcBorders/>
            <w:vAlign w:val="center"/>
          </w:tcPr>
          <w:p>
            <w:pPr>
              <w:jc w:val="right"/>
            </w:pPr>
            <w:r>
              <w:rPr>
                <w:rFonts w:ascii="宋体" w:eastAsia="宋体" w:hAnsi="宋体" w:cs="宋体"/>
                <w:b w:val="0"/>
                <w:i w:val="0"/>
                <w:color w:val="000000"/>
                <w:sz w:val="17"/>
              </w:rPr>
              <w:t xml:space="preserve">0.31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0.31</w:t>
            </w:r>
          </w:p>
        </w:tc>
        <w:tc>
          <w:tcPr>
            <w:tcW w:w="1440" w:type="dxa"/>
            <w:tcBorders/>
            <w:vAlign w:val="center"/>
          </w:tcPr>
          <w:p>
            <w:pPr>
              <w:jc w:val="right"/>
            </w:pPr>
            <w:r>
              <w:rPr>
                <w:rFonts w:ascii="宋体" w:eastAsia="宋体" w:hAnsi="宋体" w:cs="宋体"/>
                <w:b w:val="0"/>
                <w:i w:val="0"/>
                <w:color w:val="000000"/>
                <w:sz w:val="17"/>
              </w:rPr>
              <w:t xml:space="preserve">0.31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0.31</w:t>
            </w:r>
          </w:p>
        </w:tc>
        <w:tc>
          <w:tcPr>
            <w:tcW w:w="1440" w:type="dxa"/>
            <w:tcBorders/>
            <w:vAlign w:val="center"/>
          </w:tcPr>
          <w:p>
            <w:pPr>
              <w:jc w:val="right"/>
            </w:pPr>
            <w:r>
              <w:rPr>
                <w:rFonts w:ascii="宋体" w:eastAsia="宋体" w:hAnsi="宋体" w:cs="宋体"/>
                <w:b w:val="0"/>
                <w:i w:val="0"/>
                <w:color w:val="000000"/>
                <w:sz w:val="17"/>
              </w:rPr>
              <w:t xml:space="preserve">0.31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13.94</w:t>
            </w:r>
          </w:p>
        </w:tc>
        <w:tc>
          <w:tcPr>
            <w:tcW w:w="1440" w:type="dxa"/>
            <w:tcBorders/>
            <w:vAlign w:val="center"/>
          </w:tcPr>
          <w:p>
            <w:pPr>
              <w:jc w:val="right"/>
            </w:pPr>
            <w:r>
              <w:rPr>
                <w:rFonts w:ascii="宋体" w:eastAsia="宋体" w:hAnsi="宋体" w:cs="宋体"/>
                <w:b w:val="0"/>
                <w:i w:val="0"/>
                <w:color w:val="000000"/>
                <w:sz w:val="17"/>
              </w:rPr>
              <w:t xml:space="preserve">13.94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13.94</w:t>
            </w:r>
          </w:p>
        </w:tc>
        <w:tc>
          <w:tcPr>
            <w:tcW w:w="1440" w:type="dxa"/>
            <w:tcBorders/>
            <w:vAlign w:val="center"/>
          </w:tcPr>
          <w:p>
            <w:pPr>
              <w:jc w:val="right"/>
            </w:pPr>
            <w:r>
              <w:rPr>
                <w:rFonts w:ascii="宋体" w:eastAsia="宋体" w:hAnsi="宋体" w:cs="宋体"/>
                <w:b w:val="0"/>
                <w:i w:val="0"/>
                <w:color w:val="000000"/>
                <w:sz w:val="17"/>
              </w:rPr>
              <w:t xml:space="preserve">13.94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10.46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3.48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1.54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71.32</w:t>
            </w:r>
          </w:p>
        </w:tc>
        <w:tc>
          <w:tcPr>
            <w:tcW w:w="1440" w:type="dxa"/>
            <w:tcBorders/>
            <w:vAlign w:val="center"/>
          </w:tcPr>
          <w:p>
            <w:pPr>
              <w:jc w:val="right"/>
            </w:pPr>
            <w:r>
              <w:rPr>
                <w:rFonts w:ascii="宋体" w:eastAsia="宋体" w:hAnsi="宋体" w:cs="宋体"/>
                <w:b w:val="0"/>
                <w:i w:val="0"/>
                <w:color w:val="000000"/>
                <w:sz w:val="17"/>
              </w:rPr>
              <w:t xml:space="preserve">71.32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62.77</w:t>
            </w:r>
          </w:p>
        </w:tc>
        <w:tc>
          <w:tcPr>
            <w:tcW w:w="1440" w:type="dxa"/>
            <w:tcBorders/>
            <w:vAlign w:val="center"/>
          </w:tcPr>
          <w:p>
            <w:pPr>
              <w:jc w:val="right"/>
            </w:pPr>
            <w:r>
              <w:rPr>
                <w:rFonts w:ascii="宋体" w:eastAsia="宋体" w:hAnsi="宋体" w:cs="宋体"/>
                <w:b w:val="0"/>
                <w:i w:val="0"/>
                <w:color w:val="000000"/>
                <w:sz w:val="17"/>
              </w:rPr>
              <w:t xml:space="preserve">62.77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海事管理</w:t>
            </w:r>
          </w:p>
        </w:tc>
        <w:tc>
          <w:tcPr>
            <w:tcW w:w="1440" w:type="dxa"/>
            <w:tcBorders/>
            <w:vAlign w:val="center"/>
          </w:tcPr>
          <w:p>
            <w:pPr>
              <w:jc w:val="right"/>
            </w:pPr>
            <w:r>
              <w:rPr>
                <w:rFonts w:ascii="宋体" w:eastAsia="宋体" w:hAnsi="宋体" w:cs="宋体"/>
                <w:b w:val="0"/>
                <w:i w:val="0"/>
                <w:color w:val="000000"/>
                <w:sz w:val="17"/>
              </w:rPr>
              <w:t xml:space="preserve">62.47</w:t>
            </w:r>
          </w:p>
        </w:tc>
        <w:tc>
          <w:tcPr>
            <w:tcW w:w="1440" w:type="dxa"/>
            <w:tcBorders/>
            <w:vAlign w:val="center"/>
          </w:tcPr>
          <w:p>
            <w:pPr>
              <w:jc w:val="right"/>
            </w:pPr>
            <w:r>
              <w:rPr>
                <w:rFonts w:ascii="宋体" w:eastAsia="宋体" w:hAnsi="宋体" w:cs="宋体"/>
                <w:b w:val="0"/>
                <w:i w:val="0"/>
                <w:color w:val="000000"/>
                <w:sz w:val="17"/>
              </w:rPr>
              <w:t xml:space="preserve">62.47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jc w:val="right"/>
            </w:pPr>
            <w:r>
              <w:rPr>
                <w:rFonts w:ascii="宋体" w:eastAsia="宋体" w:hAnsi="宋体" w:cs="宋体"/>
                <w:b w:val="0"/>
                <w:i w:val="0"/>
                <w:color w:val="000000"/>
                <w:sz w:val="17"/>
              </w:rPr>
              <w:t xml:space="preserve">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90.20</w:t>
            </w:r>
          </w:p>
        </w:tc>
        <w:tc>
          <w:tcPr>
            <w:tcW w:w="1600" w:type="dxa"/>
            <w:tcBorders/>
            <w:vAlign w:val="center"/>
          </w:tcPr>
          <w:p>
            <w:pPr>
              <w:jc w:val="right"/>
            </w:pPr>
            <w:r>
              <w:rPr>
                <w:rFonts w:ascii="宋体" w:eastAsia="宋体" w:hAnsi="宋体" w:cs="宋体"/>
                <w:b/>
                <w:i w:val="0"/>
                <w:color w:val="000000"/>
                <w:sz w:val="19"/>
              </w:rPr>
              <w:t xml:space="preserve">85.60</w:t>
            </w:r>
          </w:p>
        </w:tc>
        <w:tc>
          <w:tcPr>
            <w:tcW w:w="1600" w:type="dxa"/>
            <w:tcBorders/>
            <w:vAlign w:val="center"/>
          </w:tcPr>
          <w:p>
            <w:pPr>
              <w:jc w:val="right"/>
            </w:pPr>
            <w:r>
              <w:rPr>
                <w:rFonts w:ascii="宋体" w:eastAsia="宋体" w:hAnsi="宋体" w:cs="宋体"/>
                <w:b/>
                <w:i w:val="0"/>
                <w:color w:val="000000"/>
                <w:sz w:val="19"/>
              </w:rPr>
              <w:t xml:space="preserve">4.60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0.31</w:t>
            </w:r>
          </w:p>
        </w:tc>
        <w:tc>
          <w:tcPr>
            <w:tcW w:w="1600" w:type="dxa"/>
            <w:tcBorders/>
            <w:vAlign w:val="center"/>
          </w:tcPr>
          <w:p>
            <w:pPr>
              <w:jc w:val="right"/>
            </w:pPr>
            <w:r>
              <w:rPr>
                <w:rFonts w:ascii="宋体" w:eastAsia="宋体" w:hAnsi="宋体" w:cs="宋体"/>
                <w:b w:val="0"/>
                <w:i w:val="0"/>
                <w:color w:val="000000"/>
                <w:sz w:val="19"/>
              </w:rPr>
              <w:t xml:space="preserve">0.31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0.31</w:t>
            </w:r>
          </w:p>
        </w:tc>
        <w:tc>
          <w:tcPr>
            <w:tcW w:w="1600" w:type="dxa"/>
            <w:tcBorders/>
            <w:vAlign w:val="center"/>
          </w:tcPr>
          <w:p>
            <w:pPr>
              <w:jc w:val="right"/>
            </w:pPr>
            <w:r>
              <w:rPr>
                <w:rFonts w:ascii="宋体" w:eastAsia="宋体" w:hAnsi="宋体" w:cs="宋体"/>
                <w:b w:val="0"/>
                <w:i w:val="0"/>
                <w:color w:val="000000"/>
                <w:sz w:val="19"/>
              </w:rPr>
              <w:t xml:space="preserve">0.31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0.31</w:t>
            </w:r>
          </w:p>
        </w:tc>
        <w:tc>
          <w:tcPr>
            <w:tcW w:w="1600" w:type="dxa"/>
            <w:tcBorders/>
            <w:vAlign w:val="center"/>
          </w:tcPr>
          <w:p>
            <w:pPr>
              <w:jc w:val="right"/>
            </w:pPr>
            <w:r>
              <w:rPr>
                <w:rFonts w:ascii="宋体" w:eastAsia="宋体" w:hAnsi="宋体" w:cs="宋体"/>
                <w:b w:val="0"/>
                <w:i w:val="0"/>
                <w:color w:val="000000"/>
                <w:sz w:val="19"/>
              </w:rPr>
              <w:t xml:space="preserve">0.31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13.94</w:t>
            </w:r>
          </w:p>
        </w:tc>
        <w:tc>
          <w:tcPr>
            <w:tcW w:w="1600" w:type="dxa"/>
            <w:tcBorders/>
            <w:vAlign w:val="center"/>
          </w:tcPr>
          <w:p>
            <w:pPr>
              <w:jc w:val="right"/>
            </w:pPr>
            <w:r>
              <w:rPr>
                <w:rFonts w:ascii="宋体" w:eastAsia="宋体" w:hAnsi="宋体" w:cs="宋体"/>
                <w:b w:val="0"/>
                <w:i w:val="0"/>
                <w:color w:val="000000"/>
                <w:sz w:val="19"/>
              </w:rPr>
              <w:t xml:space="preserve">13.94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13.94</w:t>
            </w:r>
          </w:p>
        </w:tc>
        <w:tc>
          <w:tcPr>
            <w:tcW w:w="1600" w:type="dxa"/>
            <w:tcBorders/>
            <w:vAlign w:val="center"/>
          </w:tcPr>
          <w:p>
            <w:pPr>
              <w:jc w:val="right"/>
            </w:pPr>
            <w:r>
              <w:rPr>
                <w:rFonts w:ascii="宋体" w:eastAsia="宋体" w:hAnsi="宋体" w:cs="宋体"/>
                <w:b w:val="0"/>
                <w:i w:val="0"/>
                <w:color w:val="000000"/>
                <w:sz w:val="19"/>
              </w:rPr>
              <w:t xml:space="preserve">13.94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10.46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3.48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1.54</w:t>
            </w:r>
          </w:p>
        </w:tc>
        <w:tc>
          <w:tcPr>
            <w:tcW w:w="1600" w:type="dxa"/>
            <w:tcBorders/>
            <w:vAlign w:val="center"/>
          </w:tcPr>
          <w:p>
            <w:pPr>
              <w:jc w:val="right"/>
            </w:pPr>
            <w:r>
              <w:rPr>
                <w:rFonts w:ascii="宋体" w:eastAsia="宋体" w:hAnsi="宋体" w:cs="宋体"/>
                <w:b w:val="0"/>
                <w:i w:val="0"/>
                <w:color w:val="000000"/>
                <w:sz w:val="19"/>
              </w:rPr>
              <w:t xml:space="preserve">1.54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1.54</w:t>
            </w:r>
          </w:p>
        </w:tc>
        <w:tc>
          <w:tcPr>
            <w:tcW w:w="1600" w:type="dxa"/>
            <w:tcBorders/>
            <w:vAlign w:val="center"/>
          </w:tcPr>
          <w:p>
            <w:pPr>
              <w:jc w:val="right"/>
            </w:pPr>
            <w:r>
              <w:rPr>
                <w:rFonts w:ascii="宋体" w:eastAsia="宋体" w:hAnsi="宋体" w:cs="宋体"/>
                <w:b w:val="0"/>
                <w:i w:val="0"/>
                <w:color w:val="000000"/>
                <w:sz w:val="19"/>
              </w:rPr>
              <w:t xml:space="preserve">1.54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1.54</w:t>
            </w:r>
          </w:p>
        </w:tc>
        <w:tc>
          <w:tcPr>
            <w:tcW w:w="1600" w:type="dxa"/>
            <w:tcBorders/>
            <w:vAlign w:val="center"/>
          </w:tcPr>
          <w:p>
            <w:pPr>
              <w:jc w:val="right"/>
            </w:pPr>
            <w:r>
              <w:rPr>
                <w:rFonts w:ascii="宋体" w:eastAsia="宋体" w:hAnsi="宋体" w:cs="宋体"/>
                <w:b w:val="0"/>
                <w:i w:val="0"/>
                <w:color w:val="000000"/>
                <w:sz w:val="19"/>
              </w:rPr>
              <w:t xml:space="preserve">1.54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71.32</w:t>
            </w:r>
          </w:p>
        </w:tc>
        <w:tc>
          <w:tcPr>
            <w:tcW w:w="1600" w:type="dxa"/>
            <w:tcBorders/>
            <w:vAlign w:val="center"/>
          </w:tcPr>
          <w:p>
            <w:pPr>
              <w:jc w:val="right"/>
            </w:pPr>
            <w:r>
              <w:rPr>
                <w:rFonts w:ascii="宋体" w:eastAsia="宋体" w:hAnsi="宋体" w:cs="宋体"/>
                <w:b w:val="0"/>
                <w:i w:val="0"/>
                <w:color w:val="000000"/>
                <w:sz w:val="19"/>
              </w:rPr>
              <w:t xml:space="preserve">66.72</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62.77</w:t>
            </w:r>
          </w:p>
        </w:tc>
        <w:tc>
          <w:tcPr>
            <w:tcW w:w="1600" w:type="dxa"/>
            <w:tcBorders/>
            <w:vAlign w:val="center"/>
          </w:tcPr>
          <w:p>
            <w:pPr>
              <w:jc w:val="right"/>
            </w:pPr>
            <w:r>
              <w:rPr>
                <w:rFonts w:ascii="宋体" w:eastAsia="宋体" w:hAnsi="宋体" w:cs="宋体"/>
                <w:b w:val="0"/>
                <w:i w:val="0"/>
                <w:color w:val="000000"/>
                <w:sz w:val="19"/>
              </w:rPr>
              <w:t xml:space="preserve">62.77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海事管理</w:t>
            </w:r>
          </w:p>
        </w:tc>
        <w:tc>
          <w:tcPr>
            <w:tcW w:w="1600" w:type="dxa"/>
            <w:tcBorders/>
            <w:vAlign w:val="center"/>
          </w:tcPr>
          <w:p>
            <w:pPr>
              <w:jc w:val="right"/>
            </w:pPr>
            <w:r>
              <w:rPr>
                <w:rFonts w:ascii="宋体" w:eastAsia="宋体" w:hAnsi="宋体" w:cs="宋体"/>
                <w:b w:val="0"/>
                <w:i w:val="0"/>
                <w:color w:val="000000"/>
                <w:sz w:val="19"/>
              </w:rPr>
              <w:t xml:space="preserve">62.47</w:t>
            </w:r>
          </w:p>
        </w:tc>
        <w:tc>
          <w:tcPr>
            <w:tcW w:w="1600" w:type="dxa"/>
            <w:tcBorders/>
            <w:vAlign w:val="center"/>
          </w:tcPr>
          <w:p>
            <w:pPr>
              <w:jc w:val="right"/>
            </w:pPr>
            <w:r>
              <w:rPr>
                <w:rFonts w:ascii="宋体" w:eastAsia="宋体" w:hAnsi="宋体" w:cs="宋体"/>
                <w:b w:val="0"/>
                <w:i w:val="0"/>
                <w:color w:val="000000"/>
                <w:sz w:val="19"/>
              </w:rPr>
              <w:t xml:space="preserve">62.47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0.30</w:t>
            </w:r>
          </w:p>
        </w:tc>
        <w:tc>
          <w:tcPr>
            <w:tcW w:w="1600" w:type="dxa"/>
            <w:tcBorders/>
            <w:vAlign w:val="center"/>
          </w:tcPr>
          <w:p>
            <w:pPr>
              <w:jc w:val="right"/>
            </w:pPr>
            <w:r>
              <w:rPr>
                <w:rFonts w:ascii="宋体" w:eastAsia="宋体" w:hAnsi="宋体" w:cs="宋体"/>
                <w:b w:val="0"/>
                <w:i w:val="0"/>
                <w:color w:val="000000"/>
                <w:sz w:val="19"/>
              </w:rPr>
              <w:t xml:space="preserve">0.30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3.96</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3.96</w:t>
            </w:r>
          </w:p>
        </w:tc>
        <w:tc>
          <w:tcPr>
            <w:tcW w:w="1600" w:type="dxa"/>
            <w:tcBorders/>
            <w:vAlign w:val="center"/>
          </w:tcPr>
          <w:p>
            <w:pPr>
              <w:jc w:val="right"/>
            </w:pPr>
            <w:r>
              <w:rPr>
                <w:rFonts w:ascii="宋体" w:eastAsia="宋体" w:hAnsi="宋体" w:cs="宋体"/>
                <w:b w:val="0"/>
                <w:i w:val="0"/>
                <w:color w:val="000000"/>
                <w:sz w:val="19"/>
              </w:rPr>
              <w:t xml:space="preserve">4.60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0.31</w:t>
            </w:r>
          </w:p>
        </w:tc>
        <w:tc>
          <w:tcPr>
            <w:tcW w:w="1420" w:type="dxa"/>
            <w:tcBorders/>
            <w:vAlign w:val="center"/>
          </w:tcPr>
          <w:p>
            <w:pPr>
              <w:jc w:val="right"/>
            </w:pPr>
            <w:r>
              <w:rPr>
                <w:rFonts w:ascii="宋体" w:eastAsia="宋体" w:hAnsi="宋体" w:cs="宋体"/>
                <w:b w:val="0"/>
                <w:i w:val="0"/>
                <w:color w:val="000000"/>
                <w:sz w:val="18"/>
              </w:rPr>
              <w:t xml:space="preserve">0.31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13.94</w:t>
            </w:r>
          </w:p>
        </w:tc>
        <w:tc>
          <w:tcPr>
            <w:tcW w:w="1420" w:type="dxa"/>
            <w:tcBorders/>
            <w:vAlign w:val="center"/>
          </w:tcPr>
          <w:p>
            <w:pPr>
              <w:jc w:val="right"/>
            </w:pPr>
            <w:r>
              <w:rPr>
                <w:rFonts w:ascii="宋体" w:eastAsia="宋体" w:hAnsi="宋体" w:cs="宋体"/>
                <w:b w:val="0"/>
                <w:i w:val="0"/>
                <w:color w:val="000000"/>
                <w:sz w:val="18"/>
              </w:rPr>
              <w:t xml:space="preserve">13.94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1.54</w:t>
            </w:r>
          </w:p>
        </w:tc>
        <w:tc>
          <w:tcPr>
            <w:tcW w:w="1420" w:type="dxa"/>
            <w:tcBorders/>
            <w:vAlign w:val="center"/>
          </w:tcPr>
          <w:p>
            <w:pPr>
              <w:jc w:val="right"/>
            </w:pPr>
            <w:r>
              <w:rPr>
                <w:rFonts w:ascii="宋体" w:eastAsia="宋体" w:hAnsi="宋体" w:cs="宋体"/>
                <w:b w:val="0"/>
                <w:i w:val="0"/>
                <w:color w:val="000000"/>
                <w:sz w:val="18"/>
              </w:rPr>
              <w:t xml:space="preserve">1.54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71.32</w:t>
            </w:r>
          </w:p>
        </w:tc>
        <w:tc>
          <w:tcPr>
            <w:tcW w:w="1420" w:type="dxa"/>
            <w:tcBorders/>
            <w:vAlign w:val="center"/>
          </w:tcPr>
          <w:p>
            <w:pPr>
              <w:jc w:val="right"/>
            </w:pPr>
            <w:r>
              <w:rPr>
                <w:rFonts w:ascii="宋体" w:eastAsia="宋体" w:hAnsi="宋体" w:cs="宋体"/>
                <w:b w:val="0"/>
                <w:i w:val="0"/>
                <w:color w:val="000000"/>
                <w:sz w:val="18"/>
              </w:rPr>
              <w:t xml:space="preserve">71.32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3.09</w:t>
            </w:r>
          </w:p>
        </w:tc>
        <w:tc>
          <w:tcPr>
            <w:tcW w:w="1420" w:type="dxa"/>
            <w:tcBorders/>
            <w:vAlign w:val="center"/>
          </w:tcPr>
          <w:p>
            <w:pPr>
              <w:jc w:val="right"/>
            </w:pPr>
            <w:r>
              <w:rPr>
                <w:rFonts w:ascii="宋体" w:eastAsia="宋体" w:hAnsi="宋体" w:cs="宋体"/>
                <w:b w:val="0"/>
                <w:i w:val="0"/>
                <w:color w:val="000000"/>
                <w:sz w:val="18"/>
              </w:rPr>
              <w:t xml:space="preserve">3.09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1420" w:type="dxa"/>
            <w:tcBorders/>
            <w:vAlign w:val="center"/>
          </w:tcPr>
          <w:p>
            <w:pPr>
              <w:jc w:val="right"/>
            </w:pPr>
            <w:r>
              <w:rPr>
                <w:rFonts w:ascii="宋体" w:eastAsia="宋体" w:hAnsi="宋体" w:cs="宋体"/>
                <w:b w:val="0"/>
                <w:i w:val="0"/>
                <w:color w:val="000000"/>
                <w:sz w:val="18"/>
              </w:rPr>
              <w:t xml:space="preserve">90.20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90.20</w:t>
            </w:r>
          </w:p>
        </w:tc>
        <w:tc>
          <w:tcPr>
            <w:tcW w:w="2700" w:type="dxa"/>
            <w:tcBorders/>
            <w:vAlign w:val="center"/>
          </w:tcPr>
          <w:p>
            <w:pPr>
              <w:jc w:val="right"/>
            </w:pPr>
            <w:r>
              <w:rPr>
                <w:rFonts w:ascii="宋体" w:eastAsia="宋体" w:hAnsi="宋体" w:cs="宋体"/>
                <w:b/>
                <w:i w:val="0"/>
                <w:color w:val="000000"/>
                <w:sz w:val="25"/>
              </w:rPr>
              <w:t xml:space="preserve">85.60</w:t>
            </w:r>
          </w:p>
        </w:tc>
        <w:tc>
          <w:tcPr>
            <w:tcW w:w="2658" w:type="dxa"/>
            <w:tcBorders/>
            <w:vAlign w:val="center"/>
          </w:tcPr>
          <w:p>
            <w:pPr>
              <w:jc w:val="right"/>
            </w:pPr>
            <w:r>
              <w:rPr>
                <w:rFonts w:ascii="宋体" w:eastAsia="宋体" w:hAnsi="宋体" w:cs="宋体"/>
                <w:b/>
                <w:i w:val="0"/>
                <w:color w:val="000000"/>
                <w:sz w:val="25"/>
              </w:rPr>
              <w:t xml:space="preserve">4.60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0.31</w:t>
            </w:r>
          </w:p>
        </w:tc>
        <w:tc>
          <w:tcPr>
            <w:tcW w:w="2700" w:type="dxa"/>
            <w:tcBorders/>
            <w:vAlign w:val="center"/>
          </w:tcPr>
          <w:p>
            <w:pPr>
              <w:jc w:val="right"/>
            </w:pPr>
            <w:r>
              <w:rPr>
                <w:rFonts w:ascii="宋体" w:eastAsia="宋体" w:hAnsi="宋体" w:cs="宋体"/>
                <w:b w:val="0"/>
                <w:i w:val="0"/>
                <w:color w:val="000000"/>
                <w:sz w:val="25"/>
              </w:rPr>
              <w:t xml:space="preserve">0.31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0.31</w:t>
            </w:r>
          </w:p>
        </w:tc>
        <w:tc>
          <w:tcPr>
            <w:tcW w:w="2700" w:type="dxa"/>
            <w:tcBorders/>
            <w:vAlign w:val="center"/>
          </w:tcPr>
          <w:p>
            <w:pPr>
              <w:jc w:val="right"/>
            </w:pPr>
            <w:r>
              <w:rPr>
                <w:rFonts w:ascii="宋体" w:eastAsia="宋体" w:hAnsi="宋体" w:cs="宋体"/>
                <w:b w:val="0"/>
                <w:i w:val="0"/>
                <w:color w:val="000000"/>
                <w:sz w:val="25"/>
              </w:rPr>
              <w:t xml:space="preserve">0.31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0.31</w:t>
            </w:r>
          </w:p>
        </w:tc>
        <w:tc>
          <w:tcPr>
            <w:tcW w:w="2700" w:type="dxa"/>
            <w:tcBorders/>
            <w:vAlign w:val="center"/>
          </w:tcPr>
          <w:p>
            <w:pPr>
              <w:jc w:val="right"/>
            </w:pPr>
            <w:r>
              <w:rPr>
                <w:rFonts w:ascii="宋体" w:eastAsia="宋体" w:hAnsi="宋体" w:cs="宋体"/>
                <w:b w:val="0"/>
                <w:i w:val="0"/>
                <w:color w:val="000000"/>
                <w:sz w:val="25"/>
              </w:rPr>
              <w:t xml:space="preserve">0.31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13.94</w:t>
            </w:r>
          </w:p>
        </w:tc>
        <w:tc>
          <w:tcPr>
            <w:tcW w:w="2700" w:type="dxa"/>
            <w:tcBorders/>
            <w:vAlign w:val="center"/>
          </w:tcPr>
          <w:p>
            <w:pPr>
              <w:jc w:val="right"/>
            </w:pPr>
            <w:r>
              <w:rPr>
                <w:rFonts w:ascii="宋体" w:eastAsia="宋体" w:hAnsi="宋体" w:cs="宋体"/>
                <w:b w:val="0"/>
                <w:i w:val="0"/>
                <w:color w:val="000000"/>
                <w:sz w:val="25"/>
              </w:rPr>
              <w:t xml:space="preserve">13.94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13.94</w:t>
            </w:r>
          </w:p>
        </w:tc>
        <w:tc>
          <w:tcPr>
            <w:tcW w:w="2700" w:type="dxa"/>
            <w:tcBorders/>
            <w:vAlign w:val="center"/>
          </w:tcPr>
          <w:p>
            <w:pPr>
              <w:jc w:val="right"/>
            </w:pPr>
            <w:r>
              <w:rPr>
                <w:rFonts w:ascii="宋体" w:eastAsia="宋体" w:hAnsi="宋体" w:cs="宋体"/>
                <w:b w:val="0"/>
                <w:i w:val="0"/>
                <w:color w:val="000000"/>
                <w:sz w:val="25"/>
              </w:rPr>
              <w:t xml:space="preserve">13.94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700" w:type="dxa"/>
            <w:tcBorders/>
            <w:vAlign w:val="center"/>
          </w:tcPr>
          <w:p>
            <w:pPr>
              <w:jc w:val="right"/>
            </w:pPr>
            <w:r>
              <w:rPr>
                <w:rFonts w:ascii="宋体" w:eastAsia="宋体" w:hAnsi="宋体" w:cs="宋体"/>
                <w:b w:val="0"/>
                <w:i w:val="0"/>
                <w:color w:val="000000"/>
                <w:sz w:val="25"/>
              </w:rPr>
              <w:t xml:space="preserve">10.46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700" w:type="dxa"/>
            <w:tcBorders/>
            <w:vAlign w:val="center"/>
          </w:tcPr>
          <w:p>
            <w:pPr>
              <w:jc w:val="right"/>
            </w:pPr>
            <w:r>
              <w:rPr>
                <w:rFonts w:ascii="宋体" w:eastAsia="宋体" w:hAnsi="宋体" w:cs="宋体"/>
                <w:b w:val="0"/>
                <w:i w:val="0"/>
                <w:color w:val="000000"/>
                <w:sz w:val="25"/>
              </w:rPr>
              <w:t xml:space="preserve">3.48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1.54</w:t>
            </w:r>
          </w:p>
        </w:tc>
        <w:tc>
          <w:tcPr>
            <w:tcW w:w="2700" w:type="dxa"/>
            <w:tcBorders/>
            <w:vAlign w:val="center"/>
          </w:tcPr>
          <w:p>
            <w:pPr>
              <w:jc w:val="right"/>
            </w:pPr>
            <w:r>
              <w:rPr>
                <w:rFonts w:ascii="宋体" w:eastAsia="宋体" w:hAnsi="宋体" w:cs="宋体"/>
                <w:b w:val="0"/>
                <w:i w:val="0"/>
                <w:color w:val="000000"/>
                <w:sz w:val="25"/>
              </w:rPr>
              <w:t xml:space="preserve">1.54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1.54</w:t>
            </w:r>
          </w:p>
        </w:tc>
        <w:tc>
          <w:tcPr>
            <w:tcW w:w="2700" w:type="dxa"/>
            <w:tcBorders/>
            <w:vAlign w:val="center"/>
          </w:tcPr>
          <w:p>
            <w:pPr>
              <w:jc w:val="right"/>
            </w:pPr>
            <w:r>
              <w:rPr>
                <w:rFonts w:ascii="宋体" w:eastAsia="宋体" w:hAnsi="宋体" w:cs="宋体"/>
                <w:b w:val="0"/>
                <w:i w:val="0"/>
                <w:color w:val="000000"/>
                <w:sz w:val="25"/>
              </w:rPr>
              <w:t xml:space="preserve">1.54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1.54</w:t>
            </w:r>
          </w:p>
        </w:tc>
        <w:tc>
          <w:tcPr>
            <w:tcW w:w="2700" w:type="dxa"/>
            <w:tcBorders/>
            <w:vAlign w:val="center"/>
          </w:tcPr>
          <w:p>
            <w:pPr>
              <w:jc w:val="right"/>
            </w:pPr>
            <w:r>
              <w:rPr>
                <w:rFonts w:ascii="宋体" w:eastAsia="宋体" w:hAnsi="宋体" w:cs="宋体"/>
                <w:b w:val="0"/>
                <w:i w:val="0"/>
                <w:color w:val="000000"/>
                <w:sz w:val="25"/>
              </w:rPr>
              <w:t xml:space="preserve">1.54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71.32</w:t>
            </w:r>
          </w:p>
        </w:tc>
        <w:tc>
          <w:tcPr>
            <w:tcW w:w="2700" w:type="dxa"/>
            <w:tcBorders/>
            <w:vAlign w:val="center"/>
          </w:tcPr>
          <w:p>
            <w:pPr>
              <w:jc w:val="right"/>
            </w:pPr>
            <w:r>
              <w:rPr>
                <w:rFonts w:ascii="宋体" w:eastAsia="宋体" w:hAnsi="宋体" w:cs="宋体"/>
                <w:b w:val="0"/>
                <w:i w:val="0"/>
                <w:color w:val="000000"/>
                <w:sz w:val="25"/>
              </w:rPr>
              <w:t xml:space="preserve">66.72</w:t>
            </w:r>
          </w:p>
        </w:tc>
        <w:tc>
          <w:tcPr>
            <w:tcW w:w="2658" w:type="dxa"/>
            <w:tcBorders/>
            <w:vAlign w:val="center"/>
          </w:tcPr>
          <w:p>
            <w:pPr>
              <w:jc w:val="right"/>
            </w:pPr>
            <w:r>
              <w:rPr>
                <w:rFonts w:ascii="宋体" w:eastAsia="宋体" w:hAnsi="宋体" w:cs="宋体"/>
                <w:b w:val="0"/>
                <w:i w:val="0"/>
                <w:color w:val="000000"/>
                <w:sz w:val="25"/>
              </w:rPr>
              <w:t xml:space="preserve">4.60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62.77</w:t>
            </w:r>
          </w:p>
        </w:tc>
        <w:tc>
          <w:tcPr>
            <w:tcW w:w="2700" w:type="dxa"/>
            <w:tcBorders/>
            <w:vAlign w:val="center"/>
          </w:tcPr>
          <w:p>
            <w:pPr>
              <w:jc w:val="right"/>
            </w:pPr>
            <w:r>
              <w:rPr>
                <w:rFonts w:ascii="宋体" w:eastAsia="宋体" w:hAnsi="宋体" w:cs="宋体"/>
                <w:b w:val="0"/>
                <w:i w:val="0"/>
                <w:color w:val="000000"/>
                <w:sz w:val="25"/>
              </w:rPr>
              <w:t xml:space="preserve">62.77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海事管理</w:t>
            </w:r>
          </w:p>
        </w:tc>
        <w:tc>
          <w:tcPr>
            <w:tcW w:w="2700" w:type="dxa"/>
            <w:tcBorders/>
            <w:vAlign w:val="center"/>
          </w:tcPr>
          <w:p>
            <w:pPr>
              <w:jc w:val="right"/>
            </w:pPr>
            <w:r>
              <w:rPr>
                <w:rFonts w:ascii="宋体" w:eastAsia="宋体" w:hAnsi="宋体" w:cs="宋体"/>
                <w:b w:val="0"/>
                <w:i w:val="0"/>
                <w:color w:val="000000"/>
                <w:sz w:val="25"/>
              </w:rPr>
              <w:t xml:space="preserve">62.47</w:t>
            </w:r>
          </w:p>
        </w:tc>
        <w:tc>
          <w:tcPr>
            <w:tcW w:w="2700" w:type="dxa"/>
            <w:tcBorders/>
            <w:vAlign w:val="center"/>
          </w:tcPr>
          <w:p>
            <w:pPr>
              <w:jc w:val="right"/>
            </w:pPr>
            <w:r>
              <w:rPr>
                <w:rFonts w:ascii="宋体" w:eastAsia="宋体" w:hAnsi="宋体" w:cs="宋体"/>
                <w:b w:val="0"/>
                <w:i w:val="0"/>
                <w:color w:val="000000"/>
                <w:sz w:val="25"/>
              </w:rPr>
              <w:t xml:space="preserve">62.47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0.30</w:t>
            </w:r>
          </w:p>
        </w:tc>
        <w:tc>
          <w:tcPr>
            <w:tcW w:w="2700" w:type="dxa"/>
            <w:tcBorders/>
            <w:vAlign w:val="center"/>
          </w:tcPr>
          <w:p>
            <w:pPr>
              <w:jc w:val="right"/>
            </w:pPr>
            <w:r>
              <w:rPr>
                <w:rFonts w:ascii="宋体" w:eastAsia="宋体" w:hAnsi="宋体" w:cs="宋体"/>
                <w:b w:val="0"/>
                <w:i w:val="0"/>
                <w:color w:val="000000"/>
                <w:sz w:val="25"/>
              </w:rPr>
              <w:t xml:space="preserve">0.30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3.96</w:t>
            </w:r>
          </w:p>
        </w:tc>
        <w:tc>
          <w:tcPr>
            <w:tcW w:w="2658" w:type="dxa"/>
            <w:tcBorders/>
            <w:vAlign w:val="center"/>
          </w:tcPr>
          <w:p>
            <w:pPr>
              <w:jc w:val="right"/>
            </w:pPr>
            <w:r>
              <w:rPr>
                <w:rFonts w:ascii="宋体" w:eastAsia="宋体" w:hAnsi="宋体" w:cs="宋体"/>
                <w:b w:val="0"/>
                <w:i w:val="0"/>
                <w:color w:val="000000"/>
                <w:sz w:val="25"/>
              </w:rPr>
              <w:t xml:space="preserve">4.60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3.96</w:t>
            </w:r>
          </w:p>
        </w:tc>
        <w:tc>
          <w:tcPr>
            <w:tcW w:w="2658" w:type="dxa"/>
            <w:tcBorders/>
            <w:vAlign w:val="center"/>
          </w:tcPr>
          <w:p>
            <w:pPr>
              <w:jc w:val="right"/>
            </w:pPr>
            <w:r>
              <w:rPr>
                <w:rFonts w:ascii="宋体" w:eastAsia="宋体" w:hAnsi="宋体" w:cs="宋体"/>
                <w:b w:val="0"/>
                <w:i w:val="0"/>
                <w:color w:val="000000"/>
                <w:sz w:val="25"/>
              </w:rPr>
              <w:t xml:space="preserve">4.60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68.03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7.08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14.65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0.71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7.59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12.50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8.75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3.32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1.40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1.31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3.09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16.47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10.49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10.49</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2.60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0.86</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0.62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78.53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7.08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单位：许昌市港航海事中心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3.24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3.00</w:t>
            </w:r>
          </w:p>
        </w:tc>
        <w:tc>
          <w:tcPr>
            <w:tcW w:w="1160" w:type="dxa"/>
            <w:tcBorders/>
            <w:vAlign w:val="center"/>
          </w:tcPr>
          <w:p>
            <w:pPr>
              <w:jc w:val="right"/>
            </w:pPr>
            <w:r>
              <w:rPr>
                <w:rFonts w:ascii="宋体" w:eastAsia="宋体" w:hAnsi="宋体" w:cs="宋体"/>
                <w:b w:val="0"/>
                <w:i w:val="0"/>
                <w:color w:val="000000"/>
                <w:sz w:val="17"/>
              </w:rPr>
              <w:t xml:space="preserve">0.24</w:t>
            </w:r>
          </w:p>
        </w:tc>
        <w:tc>
          <w:tcPr>
            <w:tcW w:w="1160" w:type="dxa"/>
            <w:tcBorders/>
            <w:vAlign w:val="center"/>
          </w:tcPr>
          <w:p>
            <w:pPr>
              <w:jc w:val="right"/>
            </w:pPr>
            <w:r>
              <w:rPr>
                <w:rFonts w:ascii="宋体" w:eastAsia="宋体" w:hAnsi="宋体" w:cs="宋体"/>
                <w:b w:val="0"/>
                <w:i w:val="0"/>
                <w:color w:val="000000"/>
                <w:sz w:val="17"/>
              </w:rPr>
              <w:t xml:space="preserve">0.97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0.86</w:t>
            </w:r>
          </w:p>
        </w:tc>
        <w:tc>
          <w:tcPr>
            <w:tcW w:w="1198" w:type="dxa"/>
            <w:tcBorders/>
            <w:vAlign w:val="center"/>
          </w:tcPr>
          <w:p>
            <w:pPr>
              <w:jc w:val="right"/>
            </w:pPr>
            <w:r>
              <w:rPr>
                <w:rFonts w:ascii="宋体" w:eastAsia="宋体" w:hAnsi="宋体" w:cs="宋体"/>
                <w:b w:val="0"/>
                <w:i w:val="0"/>
                <w:color w:val="000000"/>
                <w:sz w:val="17"/>
              </w:rPr>
              <w:t xml:space="preserve">0.11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90.20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增加6.65万元，增长7.96%</w:t>
      </w:r>
      <w:r>
        <w:rPr>
          <w:rFonts w:ascii="仿宋" w:eastAsia="仿宋" w:hAnsi="仿宋" w:cs="仿宋" w:hint="eastAsia"/>
          <w:kern w:val="0"/>
          <w:sz w:val="32"/>
          <w:szCs w:val="32"/>
          <w:lang w:val="en-US" w:eastAsia="zh-CN"/>
        </w:rPr>
        <w:t xml:space="preserve">。主要原因是工资基数调整导致各项人员经费相应增长，补付两年监控维护项目经费。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90.20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财政拨款收入90.20万元，占100.00%；上级补助收入0.00万元，占0.00%；事业收入0.00万元，占0.00%；经营收入0.00万元，占0.00%；附属单位上缴收入0.00万元，占0.00%；其他收入0.00万元，占0.00%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90.20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基本支出85.60万元，占94.90%；项目支出4.60万元，占5.10%；上缴上级支出0.00万元，占0.00%；经营支出0.00万元，占0.00%；对附属单位补助支出0.00万元，占0.00%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90.20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增加6.65万元，增长7.96%</w:t>
      </w:r>
      <w:r>
        <w:rPr>
          <w:rFonts w:ascii="仿宋" w:eastAsia="仿宋" w:hAnsi="仿宋" w:cs="仿宋" w:hint="eastAsia"/>
          <w:kern w:val="0"/>
          <w:sz w:val="32"/>
          <w:szCs w:val="32"/>
          <w:lang w:val="en-US" w:eastAsia="zh-CN"/>
        </w:rPr>
        <w:t xml:space="preserve">。主要原因是工资基数调整导致各项人员经费相应增长，补付两年监控维护项目经费。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90.20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增加6.65万元，增长7.96%</w:t>
      </w:r>
      <w:r>
        <w:rPr>
          <w:rFonts w:ascii="仿宋" w:eastAsia="仿宋" w:hAnsi="仿宋" w:cs="仿宋" w:hint="eastAsia"/>
          <w:kern w:val="0"/>
          <w:sz w:val="32"/>
          <w:szCs w:val="32"/>
          <w:lang w:val="en-US" w:eastAsia="zh-CN"/>
        </w:rPr>
        <w:t xml:space="preserve">。主要原因是工资基数调整导致各项人员经费相应增长，补付两年监控维护项目经费。</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90.20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一般公共服务支出（类）0.31万元，占0.34%；社会保障和就业支出（类）13.94万元，占15.45%；卫生健康支出（类）1.54万元，占1.71%；交通运输支出（类）71.32万元，占79.07%；住房保障支出（类）3.09万元，占3.43%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84.44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90.20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106.82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年初预算数为0.31万元，决算数0.31万元,完成年初预算的100.00%，决算数与年初预算数不存在差异。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年初预算数为10.49万元，决算数10.46万元,完成年初预算的99.71%，决算数与年初预算数存在差异的主要原因是根据退休人员待遇调整实际业务支出预算与实际支付决算数有少量差异。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年初预算数为3.48万元，决算数3.48万元,完成年初预算的100.00%，决算数与年初预算数不存在差异。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年初预算数为1.62万元，决算数1.54万元,完成年初预算的95.06%，决算数与年初预算数存在差异的主要原因是医保缴费基数调整实际缴费与预算有少量差异。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5.交通运输支出（类）公路水路运输（款）海事管理（项）</w:t>
      </w:r>
      <w:r>
        <w:rPr>
          <w:rFonts w:ascii="仿宋" w:eastAsia="仿宋" w:hAnsi="仿宋" w:cs="仿宋" w:hint="default"/>
          <w:kern w:val="2"/>
          <w:sz w:val="32"/>
          <w:szCs w:val="32"/>
          <w:lang w:val="en-US" w:eastAsia="zh-CN"/>
        </w:rPr>
        <w:t xml:space="preserve">年初预算数为65.45万元，决算数62.47万元,完成年初预算的95.45%，决算数与年初预算数存在差异的主要原因是厉行节约合理规划预算资金，减少费用支出。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6.交通运输支出（类）公路水路运输（款）其他公路水路运输支出（项）</w:t>
      </w:r>
      <w:r>
        <w:rPr>
          <w:rFonts w:ascii="仿宋" w:eastAsia="仿宋" w:hAnsi="仿宋" w:cs="仿宋" w:hint="default"/>
          <w:kern w:val="2"/>
          <w:sz w:val="32"/>
          <w:szCs w:val="32"/>
          <w:lang w:val="en-US" w:eastAsia="zh-CN"/>
        </w:rPr>
        <w:t xml:space="preserve">年初预算数为0.00万元，决算数0.30万元,决算数与年初预算数存在差异的主要原因是根据业务需要，年中相应调剂安排财政拨款预算。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年初预算数为0.00万元，决算数8.56万元,决算数与年初预算数存在差异的主要原因是根据业务需要，年中相应调剂安排财政拨款预算。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年初预算数为3.09万元，决算数3.09万元,完成年初预算的100.00%，决算数与年初预算数不存在差异。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85.60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其中：人员经费78.53万元，主要包括：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公用经费7.08万元，主要包括：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3.24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，完成预算的29.94%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2023年度“三公”经费支出决算数与预算数存在差异的主要原因是厉行节约合理规划预算资金，减少费用支出。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,完成预算的28.67%</w:t>
      </w:r>
      <w:r>
        <w:rPr>
          <w:rFonts w:ascii="仿宋" w:eastAsia="仿宋" w:hAnsi="仿宋" w:cs="仿宋" w:hint="eastAsia"/>
          <w:kern w:val="0"/>
          <w:sz w:val="32"/>
          <w:szCs w:val="32"/>
          <w:lang w:val="en-US" w:eastAsia="zh-CN"/>
        </w:rPr>
        <w:t xml:space="preserve">，占88.66%</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，完成预算的45.83%</w:t>
      </w:r>
      <w:r>
        <w:rPr>
          <w:rFonts w:ascii="仿宋" w:eastAsia="仿宋" w:hAnsi="仿宋" w:cs="仿宋" w:hint="eastAsia"/>
          <w:kern w:val="0"/>
          <w:sz w:val="32"/>
          <w:szCs w:val="32"/>
          <w:lang w:val="en-US" w:eastAsia="zh-CN"/>
        </w:rPr>
        <w:t xml:space="preserve">，占11.34%</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，完成预算的28.67%</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决算数与预算数存在差异的主要原因是厉行节约合理规划预算资金，减少费用支出。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0.86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主要用于公车加油及保险、维修维护支出。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3</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0.24</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，完成预算的45.83%</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决算数与预算数存在差异的主要原因是厉行节约合理规划预算资金，当年实际接待业务缩减。</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主要用于公路水路安全生产专项督导接待支出。</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90.20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99.50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绩效指标设定较为科学、合理，体现了针对性和可实现性。我单位严格按照部门预算和有关财务规定，合理列收（支）项目，重大和特殊事项做好事前市场调整。依据调查结论制订工作方案和支出金额，阻绝浪费和不合理支出</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基于项目预期目标的实现程度，我单位对2023年度单位预算项目支出（含单位参与分配的转移支付项目）开展绩效自评，涉及项目1个，项目金额4.60万元。其中：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水上安全监控专项租用费和设备维护费（项目名称），自评得分为10分，等级为“优”。水上安全监控专项租用费和设备维护费，年初无预算，项目支出4.60万元为追加申请指标，总体资金预算执行率100.00%，已完成当年水上安全监控专线租赁和维护费用的支付。项目自评结果：2023年度项目绩效自评结果为“优”，年度总体目标和主要任务完成度较好，履职效能、管理效能、运行成本、产出效益指标、服务满意度等各项指标完成度较高。项目总体完成情况良好，水上监控设备运行良好，保证了各水域能顺利开展日常水上交通安全监管、信息传送、应急救援指挥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当年项目运行及目标完成情况良好，预算资金执行及时合理，各项工作指标完成情况良好。下一步我单位将按照上级部门要求，严格按照预算规定的资金用途开展绩效评价和监控，确保资金合理规范使用，确保项目绩效目标顺利完成，服务好本单位的中心工作。严格履行预算绩效管理主体责任，以绩效目标为导向，做好绩效运行监控，提升绩效自评质量，不断提高绩效管理工作水平，充分发挥财政资金使用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509"/>
        <w:gridCol w:w="541"/>
        <w:gridCol w:w="1106"/>
        <w:gridCol w:w="661"/>
        <w:gridCol w:w="819"/>
        <w:gridCol w:w="398"/>
        <w:gridCol w:w="940"/>
        <w:gridCol w:w="342"/>
        <w:gridCol w:w="1067"/>
        <w:gridCol w:w="462"/>
        <w:gridCol w:w="414"/>
        <w:gridCol w:w="414"/>
        <w:gridCol w:w="1177"/>
        <w:gridCol w:w="1058"/>
      </w:tblGrid>
      <w:tr>
        <w:trPr>
          <w:trHeight w:hRule="exact" w:val="325"/>
          <w:jc w:val="center"/>
        </w:trPr>
        <w:tc>
          <w:tcPr>
            <w:tcW w:w="99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16"/>
              </w:rPr>
              <w:t xml:space="preserve">部门整体支出绩效自评情况表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0"/>
          <w:jc w:val="center"/>
        </w:trPr>
        <w:tc>
          <w:tcPr>
            <w:tcW w:w="9908"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50"/>
          <w:jc w:val="center"/>
        </w:trPr>
        <w:tc>
          <w:tcPr>
            <w:tcW w:w="28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09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许昌市港航海事中心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50"/>
          <w:jc w:val="center"/>
        </w:trPr>
        <w:tc>
          <w:tcPr>
            <w:tcW w:w="50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部门整体支出情况(万元)</w:t>
            </w: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r>
      <w:tr>
        <w:trPr>
          <w:trHeight w:hRule="exact" w:val="150"/>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部门预算总额</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84.44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1.0682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9.89</w:t>
            </w:r>
          </w:p>
        </w:tc>
      </w:tr>
      <w:tr>
        <w:trPr>
          <w:trHeight w:hRule="exact" w:val="150"/>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资金来源：（1）财政拨款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84.44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1.0682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50"/>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50"/>
          <w:jc w:val="center"/>
        </w:trPr>
        <w:tc>
          <w:tcPr>
            <w:tcW w:w="50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50"/>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w:t>
            </w: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64"/>
          <w:jc w:val="center"/>
        </w:trPr>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目标1：持续开展水上交通安全三年攻坚行动，突出抓好“五游一渡”水上安全                      目标2：加快推进在建水上安全项目建设</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目标3：积极推进北汝河水运工程和双洎河水运工程项目的各项前期工作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1.已实现对护城河、白沙水库、清潩河、鹤鸣湖等水域实行监控，正常持续开展日常水上交通安全监督、信息传送、应急救援指挥。</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2.目前稳定推进在建水上安全项目建设</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3.各项前期工作稳步推行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6"/>
          <w:jc w:val="center"/>
        </w:trPr>
        <w:tc>
          <w:tcPr>
            <w:tcW w:w="990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年度主要任务</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8"/>
          <w:jc w:val="center"/>
        </w:trPr>
        <w:tc>
          <w:tcPr>
            <w:tcW w:w="990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215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任务名称</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主要内容</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21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信息化专线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水上安全监管专线租用费和设备维护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已完成当年监控专线租赁和设备维护工作及费用支付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2"/>
          <w:jc w:val="center"/>
        </w:trPr>
        <w:tc>
          <w:tcPr>
            <w:tcW w:w="990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02"/>
          <w:jc w:val="center"/>
        </w:trPr>
        <w:tc>
          <w:tcPr>
            <w:tcW w:w="990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1.0682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0.0682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达成预期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97"/>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部分达成预期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0.61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-0.39</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偏差原因：财务管理制度不完善，相关制度执行不到位。改进措施：完善相关制度，加强人员管理，严格各项制度的落实。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5"/>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推进在建水上安全项目建设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推进北汝河水运工程和双洎河水运工程项目的各项前期工作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4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水上安全监管专线租用费和设备维护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4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水上安全监管专线租用费和设备维护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较好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市领导满意度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9"/>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9"/>
          <w:jc w:val="center"/>
        </w:trPr>
        <w:tc>
          <w:tcPr>
            <w:tcW w:w="638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59"/>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水上安全监控专线租用费和设备维护费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59"/>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许昌市交通运输局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许昌市港航海事中心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4"/>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4"/>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4"/>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4"/>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4"/>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5"/>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按照部门预算编制和资金管理办法的要求，进行项目论证、评审、立项等必要程序。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1"/>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5"/>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严格按照下达预算的科目和项目执行，未出现截留、挤占、挪用和擅自调整等问题。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5"/>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将资金纳入绩效管理，设置绩效目标，开展绩效监控。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910"/>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在我市护城河、西湖公园、鹤鸣湖等水面设有监控线路5条，监控汇总线路2条，开展日常水上交通安全监管、信息传送、应急救援指挥，项目经费用于解决023年度水上安全监管专线租赁费及设备日常维护费。承担水上交通安全监管职责，通过运用现代信息科技建设水上监控搜救指挥平台，实行省、市、现场三级联网，对护城河、白沙水库、清潩河、鹤鸣湖等水域实行监控，持续开展日常水上交通安全监督、信息传送、应急救援指挥。</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已按年度预期目标完成。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91"/>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护城河监控和鹤鸣湖监控投入租用及维护费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=38000元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38000元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护城河监控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鹤鸣湖监控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工程质量合格和产品运行率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监控时段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提高工作效率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明显提升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水上安全监管上级主管部门满意度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公众满意度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9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