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许昌市民政局（本级）单位决算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许昌市民政局（本级）概况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许昌市民政局（本级）概况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根据中共许昌市委、许昌市人民政府《关于印发〈许昌市人民政府职能转变和机构改革实施意见〉的通知》(许发〔2014〕26号),许昌市民政局主要职责是：担负社会救助、社会福利、社区建设、民间组织管理、双拥优抚安置和专项社会事务管理等社会管理和公共服务职能。</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许昌市民政局（本级）内设机构12个,包括：办公室、规划财务科、社会组织管理和慈善事业促进科、社会救助科、基层政权建设和社区治理科、区划地</w:t>
      </w:r>
      <w:bookmarkStart w:id="0" w:name="_GoBack"/>
      <w:bookmarkEnd w:id="0"/>
      <w:r>
        <w:rPr>
          <w:rFonts w:hint="eastAsia" w:ascii="仿宋" w:hAnsi="仿宋" w:eastAsia="仿宋" w:cs="仿宋"/>
          <w:kern w:val="0"/>
          <w:sz w:val="32"/>
          <w:szCs w:val="32"/>
          <w:lang w:val="en-US" w:eastAsia="zh-CN"/>
        </w:rPr>
        <w:t>名科、社会事务科、养老服务科、儿童福利科、人事科、机关党委、离退休干部工作科。</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从决算单位构成看，许昌市民政局（本级）单位决算包括：本级决算（1个）。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许昌市民政局（本级）</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单位：许昌市民政局（本级）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3"/>
            <w:vAlign w:val="center"/>
          </w:tcPr>
          <w:p>
            <w:pPr>
              <w:jc w:val="center"/>
            </w:pPr>
            <w:r>
              <w:rPr>
                <w:rFonts w:ascii="宋体" w:hAnsi="宋体" w:eastAsia="宋体" w:cs="宋体"/>
                <w:b w:val="0"/>
                <w:i w:val="0"/>
                <w:color w:val="000000"/>
                <w:sz w:val="21"/>
              </w:rPr>
              <w:t>收入</w:t>
            </w:r>
          </w:p>
        </w:tc>
        <w:tc>
          <w:tcPr>
            <w:tcW w:w="418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40" w:type="dxa"/>
            <w:vAlign w:val="center"/>
          </w:tcPr>
          <w:p>
            <w:pPr>
              <w:jc w:val="center"/>
            </w:pPr>
            <w:r>
              <w:rPr>
                <w:rFonts w:ascii="宋体" w:hAnsi="宋体" w:eastAsia="宋体" w:cs="宋体"/>
                <w:b w:val="0"/>
                <w:i w:val="0"/>
                <w:color w:val="000000"/>
                <w:sz w:val="21"/>
              </w:rPr>
              <w:t>金额</w:t>
            </w:r>
          </w:p>
        </w:tc>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3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6" w:hRule="exact"/>
          <w:jc w:val="center"/>
        </w:trPr>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40" w:type="dxa"/>
            <w:vAlign w:val="center"/>
          </w:tcPr>
          <w:p>
            <w:pPr>
              <w:jc w:val="center"/>
            </w:pPr>
            <w:r>
              <w:rPr>
                <w:rFonts w:ascii="宋体" w:hAnsi="宋体" w:eastAsia="宋体" w:cs="宋体"/>
                <w:b w:val="0"/>
                <w:i w:val="0"/>
                <w:color w:val="000000"/>
                <w:sz w:val="21"/>
              </w:rPr>
              <w:t>1</w:t>
            </w:r>
          </w:p>
        </w:tc>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3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6" w:hRule="exact"/>
          <w:jc w:val="center"/>
        </w:trPr>
        <w:tc>
          <w:tcPr>
            <w:tcW w:w="4180" w:type="dxa"/>
            <w:vAlign w:val="center"/>
          </w:tcPr>
          <w:p>
            <w:pPr>
              <w:jc w:val="left"/>
            </w:pPr>
            <w:r>
              <w:rPr>
                <w:rFonts w:ascii="宋体" w:hAnsi="宋体" w:eastAsia="宋体" w:cs="宋体"/>
                <w:b w:val="0"/>
                <w:i w:val="0"/>
                <w:color w:val="000000"/>
                <w:sz w:val="21"/>
              </w:rPr>
              <w:t>一、一般公共预算财政拨款收入</w:t>
            </w:r>
          </w:p>
        </w:tc>
        <w:tc>
          <w:tcPr>
            <w:tcW w:w="560" w:type="dxa"/>
            <w:vAlign w:val="center"/>
          </w:tcPr>
          <w:p>
            <w:pPr>
              <w:jc w:val="center"/>
            </w:pPr>
            <w:r>
              <w:rPr>
                <w:rFonts w:ascii="宋体" w:hAnsi="宋体" w:eastAsia="宋体" w:cs="宋体"/>
                <w:b w:val="0"/>
                <w:i w:val="0"/>
                <w:color w:val="000000"/>
                <w:sz w:val="21"/>
              </w:rPr>
              <w:t>1</w:t>
            </w:r>
          </w:p>
        </w:tc>
        <w:tc>
          <w:tcPr>
            <w:tcW w:w="2240" w:type="dxa"/>
            <w:vAlign w:val="center"/>
          </w:tcPr>
          <w:p>
            <w:pPr>
              <w:jc w:val="right"/>
            </w:pPr>
            <w:r>
              <w:rPr>
                <w:rFonts w:ascii="宋体" w:hAnsi="宋体" w:eastAsia="宋体" w:cs="宋体"/>
                <w:b w:val="0"/>
                <w:i w:val="0"/>
                <w:color w:val="000000"/>
                <w:sz w:val="21"/>
              </w:rPr>
              <w:t>1,336.75</w:t>
            </w:r>
          </w:p>
        </w:tc>
        <w:tc>
          <w:tcPr>
            <w:tcW w:w="4180" w:type="dxa"/>
            <w:vAlign w:val="center"/>
          </w:tcPr>
          <w:p>
            <w:pPr>
              <w:jc w:val="left"/>
            </w:pPr>
            <w:r>
              <w:rPr>
                <w:rFonts w:ascii="宋体" w:hAnsi="宋体" w:eastAsia="宋体" w:cs="宋体"/>
                <w:b w:val="0"/>
                <w:i w:val="0"/>
                <w:color w:val="000000"/>
                <w:sz w:val="21"/>
              </w:rPr>
              <w:t>一、一般公共服务支出</w:t>
            </w:r>
          </w:p>
        </w:tc>
        <w:tc>
          <w:tcPr>
            <w:tcW w:w="560" w:type="dxa"/>
            <w:vAlign w:val="center"/>
          </w:tcPr>
          <w:p>
            <w:pPr>
              <w:jc w:val="center"/>
            </w:pPr>
            <w:r>
              <w:rPr>
                <w:rFonts w:ascii="宋体" w:hAnsi="宋体" w:eastAsia="宋体" w:cs="宋体"/>
                <w:b w:val="0"/>
                <w:i w:val="0"/>
                <w:color w:val="000000"/>
                <w:sz w:val="21"/>
              </w:rPr>
              <w:t>32</w:t>
            </w:r>
          </w:p>
        </w:tc>
        <w:tc>
          <w:tcPr>
            <w:tcW w:w="2238" w:type="dxa"/>
            <w:vAlign w:val="center"/>
          </w:tcPr>
          <w:p>
            <w:pPr>
              <w:jc w:val="right"/>
            </w:pPr>
            <w:r>
              <w:rPr>
                <w:rFonts w:ascii="宋体" w:hAnsi="宋体" w:eastAsia="宋体" w:cs="宋体"/>
                <w:b w:val="0"/>
                <w:i w:val="0"/>
                <w:color w:val="000000"/>
                <w:sz w:val="21"/>
              </w:rPr>
              <w:t>42.75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二、政府性基金预算财政拨款收入</w:t>
            </w:r>
          </w:p>
        </w:tc>
        <w:tc>
          <w:tcPr>
            <w:tcW w:w="560" w:type="dxa"/>
            <w:vAlign w:val="center"/>
          </w:tcPr>
          <w:p>
            <w:pPr>
              <w:jc w:val="center"/>
            </w:pPr>
            <w:r>
              <w:rPr>
                <w:rFonts w:ascii="宋体" w:hAnsi="宋体" w:eastAsia="宋体" w:cs="宋体"/>
                <w:b w:val="0"/>
                <w:i w:val="0"/>
                <w:color w:val="000000"/>
                <w:sz w:val="21"/>
              </w:rPr>
              <w:t>2</w:t>
            </w:r>
          </w:p>
        </w:tc>
        <w:tc>
          <w:tcPr>
            <w:tcW w:w="2240" w:type="dxa"/>
            <w:vAlign w:val="center"/>
          </w:tcPr>
          <w:p>
            <w:pPr>
              <w:jc w:val="right"/>
            </w:pPr>
            <w:r>
              <w:rPr>
                <w:rFonts w:ascii="宋体" w:hAnsi="宋体" w:eastAsia="宋体" w:cs="宋体"/>
                <w:b w:val="0"/>
                <w:i w:val="0"/>
                <w:color w:val="000000"/>
                <w:sz w:val="21"/>
              </w:rPr>
              <w:t>100.98</w:t>
            </w:r>
          </w:p>
        </w:tc>
        <w:tc>
          <w:tcPr>
            <w:tcW w:w="4180" w:type="dxa"/>
            <w:vAlign w:val="center"/>
          </w:tcPr>
          <w:p>
            <w:pPr>
              <w:jc w:val="left"/>
            </w:pPr>
            <w:r>
              <w:rPr>
                <w:rFonts w:ascii="宋体" w:hAnsi="宋体" w:eastAsia="宋体" w:cs="宋体"/>
                <w:b w:val="0"/>
                <w:i w:val="0"/>
                <w:color w:val="000000"/>
                <w:sz w:val="21"/>
              </w:rPr>
              <w:t>二、外交支出</w:t>
            </w:r>
          </w:p>
        </w:tc>
        <w:tc>
          <w:tcPr>
            <w:tcW w:w="560" w:type="dxa"/>
            <w:vAlign w:val="center"/>
          </w:tcPr>
          <w:p>
            <w:pPr>
              <w:jc w:val="center"/>
            </w:pPr>
            <w:r>
              <w:rPr>
                <w:rFonts w:ascii="宋体" w:hAnsi="宋体" w:eastAsia="宋体" w:cs="宋体"/>
                <w:b w:val="0"/>
                <w:i w:val="0"/>
                <w:color w:val="000000"/>
                <w:sz w:val="21"/>
              </w:rPr>
              <w:t>33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三、国有资本经营预算财政拨款收入</w:t>
            </w:r>
          </w:p>
        </w:tc>
        <w:tc>
          <w:tcPr>
            <w:tcW w:w="560" w:type="dxa"/>
            <w:vAlign w:val="center"/>
          </w:tcPr>
          <w:p>
            <w:pPr>
              <w:jc w:val="center"/>
            </w:pPr>
            <w:r>
              <w:rPr>
                <w:rFonts w:ascii="宋体" w:hAnsi="宋体" w:eastAsia="宋体" w:cs="宋体"/>
                <w:b w:val="0"/>
                <w:i w:val="0"/>
                <w:color w:val="000000"/>
                <w:sz w:val="21"/>
              </w:rPr>
              <w:t>3</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三、国防支出</w:t>
            </w:r>
          </w:p>
        </w:tc>
        <w:tc>
          <w:tcPr>
            <w:tcW w:w="560" w:type="dxa"/>
            <w:vAlign w:val="center"/>
          </w:tcPr>
          <w:p>
            <w:pPr>
              <w:jc w:val="center"/>
            </w:pPr>
            <w:r>
              <w:rPr>
                <w:rFonts w:ascii="宋体" w:hAnsi="宋体" w:eastAsia="宋体" w:cs="宋体"/>
                <w:b w:val="0"/>
                <w:i w:val="0"/>
                <w:color w:val="000000"/>
                <w:sz w:val="21"/>
              </w:rPr>
              <w:t>34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6" w:hRule="exact"/>
          <w:jc w:val="center"/>
        </w:trPr>
        <w:tc>
          <w:tcPr>
            <w:tcW w:w="4180" w:type="dxa"/>
            <w:vAlign w:val="center"/>
          </w:tcPr>
          <w:p>
            <w:pPr>
              <w:jc w:val="left"/>
            </w:pPr>
            <w:r>
              <w:rPr>
                <w:rFonts w:ascii="宋体" w:hAnsi="宋体" w:eastAsia="宋体" w:cs="宋体"/>
                <w:b w:val="0"/>
                <w:i w:val="0"/>
                <w:color w:val="000000"/>
                <w:sz w:val="21"/>
              </w:rPr>
              <w:t>四、上级补助收入</w:t>
            </w:r>
          </w:p>
        </w:tc>
        <w:tc>
          <w:tcPr>
            <w:tcW w:w="560" w:type="dxa"/>
            <w:vAlign w:val="center"/>
          </w:tcPr>
          <w:p>
            <w:pPr>
              <w:jc w:val="center"/>
            </w:pPr>
            <w:r>
              <w:rPr>
                <w:rFonts w:ascii="宋体" w:hAnsi="宋体" w:eastAsia="宋体" w:cs="宋体"/>
                <w:b w:val="0"/>
                <w:i w:val="0"/>
                <w:color w:val="000000"/>
                <w:sz w:val="21"/>
              </w:rPr>
              <w:t>4</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四、公共安全支出</w:t>
            </w:r>
          </w:p>
        </w:tc>
        <w:tc>
          <w:tcPr>
            <w:tcW w:w="560" w:type="dxa"/>
            <w:vAlign w:val="center"/>
          </w:tcPr>
          <w:p>
            <w:pPr>
              <w:jc w:val="center"/>
            </w:pPr>
            <w:r>
              <w:rPr>
                <w:rFonts w:ascii="宋体" w:hAnsi="宋体" w:eastAsia="宋体" w:cs="宋体"/>
                <w:b w:val="0"/>
                <w:i w:val="0"/>
                <w:color w:val="000000"/>
                <w:sz w:val="21"/>
              </w:rPr>
              <w:t>35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6" w:hRule="exact"/>
          <w:jc w:val="center"/>
        </w:trPr>
        <w:tc>
          <w:tcPr>
            <w:tcW w:w="4180" w:type="dxa"/>
            <w:vAlign w:val="center"/>
          </w:tcPr>
          <w:p>
            <w:pPr>
              <w:jc w:val="left"/>
            </w:pPr>
            <w:r>
              <w:rPr>
                <w:rFonts w:ascii="宋体" w:hAnsi="宋体" w:eastAsia="宋体" w:cs="宋体"/>
                <w:b w:val="0"/>
                <w:i w:val="0"/>
                <w:color w:val="000000"/>
                <w:sz w:val="21"/>
              </w:rPr>
              <w:t>五、事业收入</w:t>
            </w:r>
          </w:p>
        </w:tc>
        <w:tc>
          <w:tcPr>
            <w:tcW w:w="560" w:type="dxa"/>
            <w:vAlign w:val="center"/>
          </w:tcPr>
          <w:p>
            <w:pPr>
              <w:jc w:val="center"/>
            </w:pPr>
            <w:r>
              <w:rPr>
                <w:rFonts w:ascii="宋体" w:hAnsi="宋体" w:eastAsia="宋体" w:cs="宋体"/>
                <w:b w:val="0"/>
                <w:i w:val="0"/>
                <w:color w:val="000000"/>
                <w:sz w:val="21"/>
              </w:rPr>
              <w:t>5</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五、教育支出</w:t>
            </w:r>
          </w:p>
        </w:tc>
        <w:tc>
          <w:tcPr>
            <w:tcW w:w="560" w:type="dxa"/>
            <w:vAlign w:val="center"/>
          </w:tcPr>
          <w:p>
            <w:pPr>
              <w:jc w:val="center"/>
            </w:pPr>
            <w:r>
              <w:rPr>
                <w:rFonts w:ascii="宋体" w:hAnsi="宋体" w:eastAsia="宋体" w:cs="宋体"/>
                <w:b w:val="0"/>
                <w:i w:val="0"/>
                <w:color w:val="000000"/>
                <w:sz w:val="21"/>
              </w:rPr>
              <w:t>36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六、经营收入</w:t>
            </w:r>
          </w:p>
        </w:tc>
        <w:tc>
          <w:tcPr>
            <w:tcW w:w="560" w:type="dxa"/>
            <w:vAlign w:val="center"/>
          </w:tcPr>
          <w:p>
            <w:pPr>
              <w:jc w:val="center"/>
            </w:pPr>
            <w:r>
              <w:rPr>
                <w:rFonts w:ascii="宋体" w:hAnsi="宋体" w:eastAsia="宋体" w:cs="宋体"/>
                <w:b w:val="0"/>
                <w:i w:val="0"/>
                <w:color w:val="000000"/>
                <w:sz w:val="21"/>
              </w:rPr>
              <w:t>6</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六、科学技术支出</w:t>
            </w:r>
          </w:p>
        </w:tc>
        <w:tc>
          <w:tcPr>
            <w:tcW w:w="560" w:type="dxa"/>
            <w:vAlign w:val="center"/>
          </w:tcPr>
          <w:p>
            <w:pPr>
              <w:jc w:val="center"/>
            </w:pPr>
            <w:r>
              <w:rPr>
                <w:rFonts w:ascii="宋体" w:hAnsi="宋体" w:eastAsia="宋体" w:cs="宋体"/>
                <w:b w:val="0"/>
                <w:i w:val="0"/>
                <w:color w:val="000000"/>
                <w:sz w:val="21"/>
              </w:rPr>
              <w:t>37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七、附属单位上缴收入</w:t>
            </w:r>
          </w:p>
        </w:tc>
        <w:tc>
          <w:tcPr>
            <w:tcW w:w="560" w:type="dxa"/>
            <w:vAlign w:val="center"/>
          </w:tcPr>
          <w:p>
            <w:pPr>
              <w:jc w:val="center"/>
            </w:pPr>
            <w:r>
              <w:rPr>
                <w:rFonts w:ascii="宋体" w:hAnsi="宋体" w:eastAsia="宋体" w:cs="宋体"/>
                <w:b w:val="0"/>
                <w:i w:val="0"/>
                <w:color w:val="000000"/>
                <w:sz w:val="21"/>
              </w:rPr>
              <w:t>7</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七、文化旅游体育与传媒支出</w:t>
            </w:r>
          </w:p>
        </w:tc>
        <w:tc>
          <w:tcPr>
            <w:tcW w:w="560" w:type="dxa"/>
            <w:vAlign w:val="center"/>
          </w:tcPr>
          <w:p>
            <w:pPr>
              <w:jc w:val="center"/>
            </w:pPr>
            <w:r>
              <w:rPr>
                <w:rFonts w:ascii="宋体" w:hAnsi="宋体" w:eastAsia="宋体" w:cs="宋体"/>
                <w:b w:val="0"/>
                <w:i w:val="0"/>
                <w:color w:val="000000"/>
                <w:sz w:val="21"/>
              </w:rPr>
              <w:t>38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6" w:hRule="exact"/>
          <w:jc w:val="center"/>
        </w:trPr>
        <w:tc>
          <w:tcPr>
            <w:tcW w:w="4180" w:type="dxa"/>
            <w:vAlign w:val="center"/>
          </w:tcPr>
          <w:p>
            <w:pPr>
              <w:jc w:val="left"/>
            </w:pPr>
            <w:r>
              <w:rPr>
                <w:rFonts w:ascii="宋体" w:hAnsi="宋体" w:eastAsia="宋体" w:cs="宋体"/>
                <w:b w:val="0"/>
                <w:i w:val="0"/>
                <w:color w:val="000000"/>
                <w:sz w:val="21"/>
              </w:rPr>
              <w:t>八、其他收入</w:t>
            </w:r>
          </w:p>
        </w:tc>
        <w:tc>
          <w:tcPr>
            <w:tcW w:w="560" w:type="dxa"/>
            <w:vAlign w:val="center"/>
          </w:tcPr>
          <w:p>
            <w:pPr>
              <w:jc w:val="center"/>
            </w:pPr>
            <w:r>
              <w:rPr>
                <w:rFonts w:ascii="宋体" w:hAnsi="宋体" w:eastAsia="宋体" w:cs="宋体"/>
                <w:b w:val="0"/>
                <w:i w:val="0"/>
                <w:color w:val="000000"/>
                <w:sz w:val="21"/>
              </w:rPr>
              <w:t>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八、社会保障和就业支出</w:t>
            </w:r>
          </w:p>
        </w:tc>
        <w:tc>
          <w:tcPr>
            <w:tcW w:w="560" w:type="dxa"/>
            <w:vAlign w:val="center"/>
          </w:tcPr>
          <w:p>
            <w:pPr>
              <w:jc w:val="center"/>
            </w:pPr>
            <w:r>
              <w:rPr>
                <w:rFonts w:ascii="宋体" w:hAnsi="宋体" w:eastAsia="宋体" w:cs="宋体"/>
                <w:b w:val="0"/>
                <w:i w:val="0"/>
                <w:color w:val="000000"/>
                <w:sz w:val="21"/>
              </w:rPr>
              <w:t>39</w:t>
            </w:r>
          </w:p>
        </w:tc>
        <w:tc>
          <w:tcPr>
            <w:tcW w:w="2238" w:type="dxa"/>
            <w:vAlign w:val="center"/>
          </w:tcPr>
          <w:p>
            <w:pPr>
              <w:jc w:val="right"/>
            </w:pPr>
            <w:r>
              <w:rPr>
                <w:rFonts w:ascii="宋体" w:hAnsi="宋体" w:eastAsia="宋体" w:cs="宋体"/>
                <w:b w:val="0"/>
                <w:i w:val="0"/>
                <w:color w:val="000000"/>
                <w:sz w:val="21"/>
              </w:rPr>
              <w:t>1,264.20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九、卫生健康支出</w:t>
            </w:r>
          </w:p>
        </w:tc>
        <w:tc>
          <w:tcPr>
            <w:tcW w:w="560" w:type="dxa"/>
            <w:vAlign w:val="center"/>
          </w:tcPr>
          <w:p>
            <w:pPr>
              <w:jc w:val="center"/>
            </w:pPr>
            <w:r>
              <w:rPr>
                <w:rFonts w:ascii="宋体" w:hAnsi="宋体" w:eastAsia="宋体" w:cs="宋体"/>
                <w:b w:val="0"/>
                <w:i w:val="0"/>
                <w:color w:val="000000"/>
                <w:sz w:val="21"/>
              </w:rPr>
              <w:t>40</w:t>
            </w:r>
          </w:p>
        </w:tc>
        <w:tc>
          <w:tcPr>
            <w:tcW w:w="2238" w:type="dxa"/>
            <w:vAlign w:val="center"/>
          </w:tcPr>
          <w:p>
            <w:pPr>
              <w:jc w:val="right"/>
            </w:pPr>
            <w:r>
              <w:rPr>
                <w:rFonts w:ascii="宋体" w:hAnsi="宋体" w:eastAsia="宋体" w:cs="宋体"/>
                <w:b w:val="0"/>
                <w:i w:val="0"/>
                <w:color w:val="000000"/>
                <w:sz w:val="21"/>
              </w:rPr>
              <w:t>48.85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十、节能环保支出</w:t>
            </w:r>
          </w:p>
        </w:tc>
        <w:tc>
          <w:tcPr>
            <w:tcW w:w="560" w:type="dxa"/>
            <w:vAlign w:val="center"/>
          </w:tcPr>
          <w:p>
            <w:pPr>
              <w:jc w:val="center"/>
            </w:pPr>
            <w:r>
              <w:rPr>
                <w:rFonts w:ascii="宋体" w:hAnsi="宋体" w:eastAsia="宋体" w:cs="宋体"/>
                <w:b w:val="0"/>
                <w:i w:val="0"/>
                <w:color w:val="000000"/>
                <w:sz w:val="21"/>
              </w:rPr>
              <w:t>41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十一、城乡社区支出</w:t>
            </w:r>
          </w:p>
        </w:tc>
        <w:tc>
          <w:tcPr>
            <w:tcW w:w="560" w:type="dxa"/>
            <w:vAlign w:val="center"/>
          </w:tcPr>
          <w:p>
            <w:pPr>
              <w:jc w:val="center"/>
            </w:pPr>
            <w:r>
              <w:rPr>
                <w:rFonts w:ascii="宋体" w:hAnsi="宋体" w:eastAsia="宋体" w:cs="宋体"/>
                <w:b w:val="0"/>
                <w:i w:val="0"/>
                <w:color w:val="000000"/>
                <w:sz w:val="21"/>
              </w:rPr>
              <w:t>42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十二、农林水支出</w:t>
            </w:r>
          </w:p>
        </w:tc>
        <w:tc>
          <w:tcPr>
            <w:tcW w:w="560" w:type="dxa"/>
            <w:vAlign w:val="center"/>
          </w:tcPr>
          <w:p>
            <w:pPr>
              <w:jc w:val="center"/>
            </w:pPr>
            <w:r>
              <w:rPr>
                <w:rFonts w:ascii="宋体" w:hAnsi="宋体" w:eastAsia="宋体" w:cs="宋体"/>
                <w:b w:val="0"/>
                <w:i w:val="0"/>
                <w:color w:val="000000"/>
                <w:sz w:val="21"/>
              </w:rPr>
              <w:t>43</w:t>
            </w:r>
          </w:p>
        </w:tc>
        <w:tc>
          <w:tcPr>
            <w:tcW w:w="2238" w:type="dxa"/>
            <w:vAlign w:val="center"/>
          </w:tcPr>
          <w:p>
            <w:pPr>
              <w:jc w:val="right"/>
            </w:pPr>
            <w:r>
              <w:rPr>
                <w:rFonts w:ascii="宋体" w:hAnsi="宋体" w:eastAsia="宋体" w:cs="宋体"/>
                <w:b w:val="0"/>
                <w:i w:val="0"/>
                <w:color w:val="000000"/>
                <w:sz w:val="21"/>
              </w:rPr>
              <w:t>3.40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十三、交通运输支出</w:t>
            </w:r>
          </w:p>
        </w:tc>
        <w:tc>
          <w:tcPr>
            <w:tcW w:w="560" w:type="dxa"/>
            <w:vAlign w:val="center"/>
          </w:tcPr>
          <w:p>
            <w:pPr>
              <w:jc w:val="center"/>
            </w:pPr>
            <w:r>
              <w:rPr>
                <w:rFonts w:ascii="宋体" w:hAnsi="宋体" w:eastAsia="宋体" w:cs="宋体"/>
                <w:b w:val="0"/>
                <w:i w:val="0"/>
                <w:color w:val="000000"/>
                <w:sz w:val="21"/>
              </w:rPr>
              <w:t>44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十四、资源勘探工业信息等支出</w:t>
            </w:r>
          </w:p>
        </w:tc>
        <w:tc>
          <w:tcPr>
            <w:tcW w:w="560" w:type="dxa"/>
            <w:vAlign w:val="center"/>
          </w:tcPr>
          <w:p>
            <w:pPr>
              <w:jc w:val="center"/>
            </w:pPr>
            <w:r>
              <w:rPr>
                <w:rFonts w:ascii="宋体" w:hAnsi="宋体" w:eastAsia="宋体" w:cs="宋体"/>
                <w:b w:val="0"/>
                <w:i w:val="0"/>
                <w:color w:val="000000"/>
                <w:sz w:val="21"/>
              </w:rPr>
              <w:t>45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十五、商业服务业等支出</w:t>
            </w:r>
          </w:p>
        </w:tc>
        <w:tc>
          <w:tcPr>
            <w:tcW w:w="560" w:type="dxa"/>
            <w:vAlign w:val="center"/>
          </w:tcPr>
          <w:p>
            <w:pPr>
              <w:jc w:val="center"/>
            </w:pPr>
            <w:r>
              <w:rPr>
                <w:rFonts w:ascii="宋体" w:hAnsi="宋体" w:eastAsia="宋体" w:cs="宋体"/>
                <w:b w:val="0"/>
                <w:i w:val="0"/>
                <w:color w:val="000000"/>
                <w:sz w:val="21"/>
              </w:rPr>
              <w:t>46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十六、金融支出</w:t>
            </w:r>
          </w:p>
        </w:tc>
        <w:tc>
          <w:tcPr>
            <w:tcW w:w="560" w:type="dxa"/>
            <w:vAlign w:val="center"/>
          </w:tcPr>
          <w:p>
            <w:pPr>
              <w:jc w:val="center"/>
            </w:pPr>
            <w:r>
              <w:rPr>
                <w:rFonts w:ascii="宋体" w:hAnsi="宋体" w:eastAsia="宋体" w:cs="宋体"/>
                <w:b w:val="0"/>
                <w:i w:val="0"/>
                <w:color w:val="000000"/>
                <w:sz w:val="21"/>
              </w:rPr>
              <w:t>47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17</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十七、援助其他地区支出</w:t>
            </w:r>
          </w:p>
        </w:tc>
        <w:tc>
          <w:tcPr>
            <w:tcW w:w="560" w:type="dxa"/>
            <w:vAlign w:val="center"/>
          </w:tcPr>
          <w:p>
            <w:pPr>
              <w:jc w:val="center"/>
            </w:pPr>
            <w:r>
              <w:rPr>
                <w:rFonts w:ascii="宋体" w:hAnsi="宋体" w:eastAsia="宋体" w:cs="宋体"/>
                <w:b w:val="0"/>
                <w:i w:val="0"/>
                <w:color w:val="000000"/>
                <w:sz w:val="21"/>
              </w:rPr>
              <w:t>48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18</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十八、自然资源海洋气象等支出</w:t>
            </w:r>
          </w:p>
        </w:tc>
        <w:tc>
          <w:tcPr>
            <w:tcW w:w="560" w:type="dxa"/>
            <w:vAlign w:val="center"/>
          </w:tcPr>
          <w:p>
            <w:pPr>
              <w:jc w:val="center"/>
            </w:pPr>
            <w:r>
              <w:rPr>
                <w:rFonts w:ascii="宋体" w:hAnsi="宋体" w:eastAsia="宋体" w:cs="宋体"/>
                <w:b w:val="0"/>
                <w:i w:val="0"/>
                <w:color w:val="000000"/>
                <w:sz w:val="21"/>
              </w:rPr>
              <w:t>49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十九、住房保障支出</w:t>
            </w:r>
          </w:p>
        </w:tc>
        <w:tc>
          <w:tcPr>
            <w:tcW w:w="560" w:type="dxa"/>
            <w:vAlign w:val="center"/>
          </w:tcPr>
          <w:p>
            <w:pPr>
              <w:jc w:val="center"/>
            </w:pPr>
            <w:r>
              <w:rPr>
                <w:rFonts w:ascii="宋体" w:hAnsi="宋体" w:eastAsia="宋体" w:cs="宋体"/>
                <w:b w:val="0"/>
                <w:i w:val="0"/>
                <w:color w:val="000000"/>
                <w:sz w:val="21"/>
              </w:rPr>
              <w:t>50</w:t>
            </w:r>
          </w:p>
        </w:tc>
        <w:tc>
          <w:tcPr>
            <w:tcW w:w="2238" w:type="dxa"/>
            <w:vAlign w:val="center"/>
          </w:tcPr>
          <w:p>
            <w:pPr>
              <w:jc w:val="right"/>
            </w:pPr>
            <w:r>
              <w:rPr>
                <w:rFonts w:ascii="宋体" w:hAnsi="宋体" w:eastAsia="宋体" w:cs="宋体"/>
                <w:b w:val="0"/>
                <w:i w:val="0"/>
                <w:color w:val="000000"/>
                <w:sz w:val="21"/>
              </w:rPr>
              <w:t>40.21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二十、粮油物资储备支出</w:t>
            </w:r>
          </w:p>
        </w:tc>
        <w:tc>
          <w:tcPr>
            <w:tcW w:w="560" w:type="dxa"/>
            <w:vAlign w:val="center"/>
          </w:tcPr>
          <w:p>
            <w:pPr>
              <w:jc w:val="center"/>
            </w:pPr>
            <w:r>
              <w:rPr>
                <w:rFonts w:ascii="宋体" w:hAnsi="宋体" w:eastAsia="宋体" w:cs="宋体"/>
                <w:b w:val="0"/>
                <w:i w:val="0"/>
                <w:color w:val="000000"/>
                <w:sz w:val="21"/>
              </w:rPr>
              <w:t>51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二十一、国有资本经营预算支出</w:t>
            </w:r>
          </w:p>
        </w:tc>
        <w:tc>
          <w:tcPr>
            <w:tcW w:w="560" w:type="dxa"/>
            <w:vAlign w:val="center"/>
          </w:tcPr>
          <w:p>
            <w:pPr>
              <w:jc w:val="center"/>
            </w:pPr>
            <w:r>
              <w:rPr>
                <w:rFonts w:ascii="宋体" w:hAnsi="宋体" w:eastAsia="宋体" w:cs="宋体"/>
                <w:b w:val="0"/>
                <w:i w:val="0"/>
                <w:color w:val="000000"/>
                <w:sz w:val="21"/>
              </w:rPr>
              <w:t>52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二十二、灾害防治及应急管理支出</w:t>
            </w:r>
          </w:p>
        </w:tc>
        <w:tc>
          <w:tcPr>
            <w:tcW w:w="560" w:type="dxa"/>
            <w:vAlign w:val="center"/>
          </w:tcPr>
          <w:p>
            <w:pPr>
              <w:jc w:val="center"/>
            </w:pPr>
            <w:r>
              <w:rPr>
                <w:rFonts w:ascii="宋体" w:hAnsi="宋体" w:eastAsia="宋体" w:cs="宋体"/>
                <w:b w:val="0"/>
                <w:i w:val="0"/>
                <w:color w:val="000000"/>
                <w:sz w:val="21"/>
              </w:rPr>
              <w:t>53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二十三、其他支出</w:t>
            </w:r>
          </w:p>
        </w:tc>
        <w:tc>
          <w:tcPr>
            <w:tcW w:w="560" w:type="dxa"/>
            <w:vAlign w:val="center"/>
          </w:tcPr>
          <w:p>
            <w:pPr>
              <w:jc w:val="center"/>
            </w:pPr>
            <w:r>
              <w:rPr>
                <w:rFonts w:ascii="宋体" w:hAnsi="宋体" w:eastAsia="宋体" w:cs="宋体"/>
                <w:b w:val="0"/>
                <w:i w:val="0"/>
                <w:color w:val="000000"/>
                <w:sz w:val="21"/>
              </w:rPr>
              <w:t>54</w:t>
            </w:r>
          </w:p>
        </w:tc>
        <w:tc>
          <w:tcPr>
            <w:tcW w:w="2238" w:type="dxa"/>
            <w:vAlign w:val="center"/>
          </w:tcPr>
          <w:p>
            <w:pPr>
              <w:jc w:val="right"/>
            </w:pPr>
            <w:r>
              <w:rPr>
                <w:rFonts w:ascii="宋体" w:hAnsi="宋体" w:eastAsia="宋体" w:cs="宋体"/>
                <w:b w:val="0"/>
                <w:i w:val="0"/>
                <w:color w:val="000000"/>
                <w:sz w:val="21"/>
              </w:rPr>
              <w:t>100.98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二十四、债务还本支出</w:t>
            </w:r>
          </w:p>
        </w:tc>
        <w:tc>
          <w:tcPr>
            <w:tcW w:w="560" w:type="dxa"/>
            <w:vAlign w:val="center"/>
          </w:tcPr>
          <w:p>
            <w:pPr>
              <w:jc w:val="center"/>
            </w:pPr>
            <w:r>
              <w:rPr>
                <w:rFonts w:ascii="宋体" w:hAnsi="宋体" w:eastAsia="宋体" w:cs="宋体"/>
                <w:b w:val="0"/>
                <w:i w:val="0"/>
                <w:color w:val="000000"/>
                <w:sz w:val="21"/>
              </w:rPr>
              <w:t>55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二十五、债务付息支出</w:t>
            </w:r>
          </w:p>
        </w:tc>
        <w:tc>
          <w:tcPr>
            <w:tcW w:w="560" w:type="dxa"/>
            <w:vAlign w:val="center"/>
          </w:tcPr>
          <w:p>
            <w:pPr>
              <w:jc w:val="center"/>
            </w:pPr>
            <w:r>
              <w:rPr>
                <w:rFonts w:ascii="宋体" w:hAnsi="宋体" w:eastAsia="宋体" w:cs="宋体"/>
                <w:b w:val="0"/>
                <w:i w:val="0"/>
                <w:color w:val="000000"/>
                <w:sz w:val="21"/>
              </w:rPr>
              <w:t>56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二十六、抗疫特别国债安排的支出</w:t>
            </w:r>
          </w:p>
        </w:tc>
        <w:tc>
          <w:tcPr>
            <w:tcW w:w="560" w:type="dxa"/>
            <w:vAlign w:val="center"/>
          </w:tcPr>
          <w:p>
            <w:pPr>
              <w:jc w:val="center"/>
            </w:pPr>
            <w:r>
              <w:rPr>
                <w:rFonts w:ascii="宋体" w:hAnsi="宋体" w:eastAsia="宋体" w:cs="宋体"/>
                <w:b w:val="0"/>
                <w:i w:val="0"/>
                <w:color w:val="000000"/>
                <w:sz w:val="21"/>
              </w:rPr>
              <w:t>57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本年收入合计</w:t>
            </w:r>
          </w:p>
        </w:tc>
        <w:tc>
          <w:tcPr>
            <w:tcW w:w="560" w:type="dxa"/>
            <w:vAlign w:val="center"/>
          </w:tcPr>
          <w:p>
            <w:pPr>
              <w:jc w:val="center"/>
            </w:pPr>
            <w:r>
              <w:rPr>
                <w:rFonts w:ascii="宋体" w:hAnsi="宋体" w:eastAsia="宋体" w:cs="宋体"/>
                <w:b w:val="0"/>
                <w:i w:val="0"/>
                <w:color w:val="000000"/>
                <w:sz w:val="21"/>
              </w:rPr>
              <w:t>27</w:t>
            </w:r>
          </w:p>
        </w:tc>
        <w:tc>
          <w:tcPr>
            <w:tcW w:w="2240" w:type="dxa"/>
            <w:vAlign w:val="center"/>
          </w:tcPr>
          <w:p>
            <w:pPr>
              <w:jc w:val="right"/>
            </w:pPr>
            <w:r>
              <w:rPr>
                <w:rFonts w:ascii="宋体" w:hAnsi="宋体" w:eastAsia="宋体" w:cs="宋体"/>
                <w:b w:val="0"/>
                <w:i w:val="0"/>
                <w:color w:val="000000"/>
                <w:sz w:val="21"/>
              </w:rPr>
              <w:t>1,437.73</w:t>
            </w:r>
          </w:p>
        </w:tc>
        <w:tc>
          <w:tcPr>
            <w:tcW w:w="4180" w:type="dxa"/>
            <w:vAlign w:val="center"/>
          </w:tcPr>
          <w:p>
            <w:pPr>
              <w:jc w:val="center"/>
            </w:pPr>
            <w:r>
              <w:rPr>
                <w:rFonts w:ascii="宋体" w:hAnsi="宋体" w:eastAsia="宋体" w:cs="宋体"/>
                <w:b/>
                <w:i w:val="0"/>
                <w:color w:val="000000"/>
                <w:sz w:val="21"/>
              </w:rPr>
              <w:t>本年支出合计</w:t>
            </w:r>
          </w:p>
        </w:tc>
        <w:tc>
          <w:tcPr>
            <w:tcW w:w="560" w:type="dxa"/>
            <w:vAlign w:val="center"/>
          </w:tcPr>
          <w:p>
            <w:pPr>
              <w:jc w:val="center"/>
            </w:pPr>
            <w:r>
              <w:rPr>
                <w:rFonts w:ascii="宋体" w:hAnsi="宋体" w:eastAsia="宋体" w:cs="宋体"/>
                <w:b w:val="0"/>
                <w:i w:val="0"/>
                <w:color w:val="000000"/>
                <w:sz w:val="21"/>
              </w:rPr>
              <w:t>58</w:t>
            </w:r>
          </w:p>
        </w:tc>
        <w:tc>
          <w:tcPr>
            <w:tcW w:w="2238" w:type="dxa"/>
            <w:vAlign w:val="center"/>
          </w:tcPr>
          <w:p>
            <w:pPr>
              <w:jc w:val="right"/>
            </w:pPr>
            <w:r>
              <w:rPr>
                <w:rFonts w:ascii="宋体" w:hAnsi="宋体" w:eastAsia="宋体" w:cs="宋体"/>
                <w:b w:val="0"/>
                <w:i w:val="0"/>
                <w:color w:val="000000"/>
                <w:sz w:val="21"/>
              </w:rPr>
              <w:t>1,500.40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6" w:hRule="exact"/>
          <w:jc w:val="center"/>
        </w:trPr>
        <w:tc>
          <w:tcPr>
            <w:tcW w:w="4180" w:type="dxa"/>
            <w:vAlign w:val="center"/>
          </w:tcPr>
          <w:p>
            <w:pPr>
              <w:jc w:val="left"/>
            </w:pPr>
            <w:r>
              <w:rPr>
                <w:rFonts w:ascii="宋体" w:hAnsi="宋体" w:eastAsia="宋体" w:cs="宋体"/>
                <w:b w:val="0"/>
                <w:i w:val="0"/>
                <w:color w:val="000000"/>
                <w:sz w:val="21"/>
              </w:rPr>
              <w:t>使用非财政拨款结余和专用结余</w:t>
            </w:r>
          </w:p>
        </w:tc>
        <w:tc>
          <w:tcPr>
            <w:tcW w:w="560" w:type="dxa"/>
            <w:vAlign w:val="center"/>
          </w:tcPr>
          <w:p>
            <w:pPr>
              <w:jc w:val="center"/>
            </w:pPr>
            <w:r>
              <w:rPr>
                <w:rFonts w:ascii="宋体" w:hAnsi="宋体" w:eastAsia="宋体" w:cs="宋体"/>
                <w:b w:val="0"/>
                <w:i w:val="0"/>
                <w:color w:val="000000"/>
                <w:sz w:val="21"/>
              </w:rPr>
              <w:t>28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结余分配</w:t>
            </w:r>
          </w:p>
        </w:tc>
        <w:tc>
          <w:tcPr>
            <w:tcW w:w="560" w:type="dxa"/>
            <w:vAlign w:val="center"/>
          </w:tcPr>
          <w:p>
            <w:pPr>
              <w:jc w:val="center"/>
            </w:pPr>
            <w:r>
              <w:rPr>
                <w:rFonts w:ascii="宋体" w:hAnsi="宋体" w:eastAsia="宋体" w:cs="宋体"/>
                <w:b w:val="0"/>
                <w:i w:val="0"/>
                <w:color w:val="000000"/>
                <w:sz w:val="21"/>
              </w:rPr>
              <w:t>59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6" w:hRule="exact"/>
          <w:jc w:val="center"/>
        </w:trPr>
        <w:tc>
          <w:tcPr>
            <w:tcW w:w="4180" w:type="dxa"/>
            <w:vAlign w:val="center"/>
          </w:tcPr>
          <w:p>
            <w:pPr>
              <w:jc w:val="left"/>
            </w:pPr>
            <w:r>
              <w:rPr>
                <w:rFonts w:ascii="宋体" w:hAnsi="宋体" w:eastAsia="宋体" w:cs="宋体"/>
                <w:b w:val="0"/>
                <w:i w:val="0"/>
                <w:color w:val="000000"/>
                <w:sz w:val="21"/>
              </w:rPr>
              <w:t>年初结转和结余</w:t>
            </w:r>
          </w:p>
        </w:tc>
        <w:tc>
          <w:tcPr>
            <w:tcW w:w="560" w:type="dxa"/>
            <w:vAlign w:val="center"/>
          </w:tcPr>
          <w:p>
            <w:pPr>
              <w:jc w:val="center"/>
            </w:pPr>
            <w:r>
              <w:rPr>
                <w:rFonts w:ascii="宋体" w:hAnsi="宋体" w:eastAsia="宋体" w:cs="宋体"/>
                <w:b w:val="0"/>
                <w:i w:val="0"/>
                <w:color w:val="000000"/>
                <w:sz w:val="21"/>
              </w:rPr>
              <w:t>29</w:t>
            </w:r>
          </w:p>
        </w:tc>
        <w:tc>
          <w:tcPr>
            <w:tcW w:w="2240" w:type="dxa"/>
            <w:vAlign w:val="center"/>
          </w:tcPr>
          <w:p>
            <w:pPr>
              <w:jc w:val="right"/>
            </w:pPr>
            <w:r>
              <w:rPr>
                <w:rFonts w:ascii="宋体" w:hAnsi="宋体" w:eastAsia="宋体" w:cs="宋体"/>
                <w:b w:val="0"/>
                <w:i w:val="0"/>
                <w:color w:val="000000"/>
                <w:sz w:val="21"/>
              </w:rPr>
              <w:t>62.67</w:t>
            </w:r>
          </w:p>
        </w:tc>
        <w:tc>
          <w:tcPr>
            <w:tcW w:w="4180" w:type="dxa"/>
            <w:vAlign w:val="center"/>
          </w:tcPr>
          <w:p>
            <w:pPr>
              <w:jc w:val="left"/>
            </w:pPr>
            <w:r>
              <w:rPr>
                <w:rFonts w:ascii="宋体" w:hAnsi="宋体" w:eastAsia="宋体" w:cs="宋体"/>
                <w:b w:val="0"/>
                <w:i w:val="0"/>
                <w:color w:val="000000"/>
                <w:sz w:val="21"/>
              </w:rPr>
              <w:t>年末结转和结余</w:t>
            </w:r>
          </w:p>
        </w:tc>
        <w:tc>
          <w:tcPr>
            <w:tcW w:w="560" w:type="dxa"/>
            <w:vAlign w:val="center"/>
          </w:tcPr>
          <w:p>
            <w:pPr>
              <w:jc w:val="center"/>
            </w:pPr>
            <w:r>
              <w:rPr>
                <w:rFonts w:ascii="宋体" w:hAnsi="宋体" w:eastAsia="宋体" w:cs="宋体"/>
                <w:b w:val="0"/>
                <w:i w:val="0"/>
                <w:color w:val="000000"/>
                <w:sz w:val="21"/>
              </w:rPr>
              <w:t>60</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30</w:t>
            </w:r>
          </w:p>
        </w:tc>
        <w:tc>
          <w:tcPr>
            <w:tcW w:w="2240" w:type="dxa"/>
            <w:vAlign w:val="center"/>
          </w:tcPr>
          <w:p/>
        </w:tc>
        <w:tc>
          <w:tcPr>
            <w:tcW w:w="4180" w:type="dxa"/>
            <w:vAlign w:val="center"/>
          </w:tcPr>
          <w:p/>
        </w:tc>
        <w:tc>
          <w:tcPr>
            <w:tcW w:w="560" w:type="dxa"/>
            <w:vAlign w:val="center"/>
          </w:tcPr>
          <w:p>
            <w:pPr>
              <w:jc w:val="center"/>
            </w:pPr>
            <w:r>
              <w:rPr>
                <w:rFonts w:ascii="宋体" w:hAnsi="宋体" w:eastAsia="宋体" w:cs="宋体"/>
                <w:b w:val="0"/>
                <w:i w:val="0"/>
                <w:color w:val="000000"/>
                <w:sz w:val="21"/>
              </w:rPr>
              <w:t>61</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31</w:t>
            </w:r>
          </w:p>
        </w:tc>
        <w:tc>
          <w:tcPr>
            <w:tcW w:w="2240" w:type="dxa"/>
            <w:vAlign w:val="center"/>
          </w:tcPr>
          <w:p>
            <w:pPr>
              <w:jc w:val="right"/>
            </w:pPr>
            <w:r>
              <w:rPr>
                <w:rFonts w:ascii="宋体" w:hAnsi="宋体" w:eastAsia="宋体" w:cs="宋体"/>
                <w:b w:val="0"/>
                <w:i w:val="0"/>
                <w:color w:val="000000"/>
                <w:sz w:val="21"/>
              </w:rPr>
              <w:t>1,500.40</w:t>
            </w:r>
          </w:p>
        </w:tc>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62</w:t>
            </w:r>
          </w:p>
        </w:tc>
        <w:tc>
          <w:tcPr>
            <w:tcW w:w="2238" w:type="dxa"/>
            <w:vAlign w:val="center"/>
          </w:tcPr>
          <w:p>
            <w:pPr>
              <w:jc w:val="right"/>
            </w:pPr>
            <w:r>
              <w:rPr>
                <w:rFonts w:ascii="宋体" w:hAnsi="宋体" w:eastAsia="宋体" w:cs="宋体"/>
                <w:b w:val="0"/>
                <w:i w:val="0"/>
                <w:color w:val="000000"/>
                <w:sz w:val="21"/>
              </w:rPr>
              <w:t>1,500.40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单位：许昌市民政局（本级）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1,437.73</w:t>
            </w:r>
          </w:p>
        </w:tc>
        <w:tc>
          <w:tcPr>
            <w:tcW w:w="1440" w:type="dxa"/>
            <w:vAlign w:val="center"/>
          </w:tcPr>
          <w:p>
            <w:pPr>
              <w:jc w:val="right"/>
            </w:pPr>
            <w:r>
              <w:rPr>
                <w:rFonts w:ascii="宋体" w:hAnsi="宋体" w:eastAsia="宋体" w:cs="宋体"/>
                <w:b/>
                <w:i w:val="0"/>
                <w:color w:val="000000"/>
                <w:sz w:val="17"/>
              </w:rPr>
              <w:t>1,437.73</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398" w:type="dxa"/>
            <w:vAlign w:val="center"/>
          </w:tcPr>
          <w:p>
            <w:pPr>
              <w:jc w:val="right"/>
            </w:pPr>
            <w:r>
              <w:rPr>
                <w:rFonts w:ascii="宋体" w:hAnsi="宋体" w:eastAsia="宋体" w:cs="宋体"/>
                <w:b/>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42.75</w:t>
            </w:r>
          </w:p>
        </w:tc>
        <w:tc>
          <w:tcPr>
            <w:tcW w:w="1440" w:type="dxa"/>
            <w:vAlign w:val="center"/>
          </w:tcPr>
          <w:p>
            <w:pPr>
              <w:jc w:val="right"/>
            </w:pPr>
            <w:r>
              <w:rPr>
                <w:rFonts w:ascii="宋体" w:hAnsi="宋体" w:eastAsia="宋体" w:cs="宋体"/>
                <w:b w:val="0"/>
                <w:i w:val="0"/>
                <w:color w:val="000000"/>
                <w:sz w:val="17"/>
              </w:rPr>
              <w:t>42.75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3.60</w:t>
            </w:r>
          </w:p>
        </w:tc>
        <w:tc>
          <w:tcPr>
            <w:tcW w:w="1440" w:type="dxa"/>
            <w:vAlign w:val="center"/>
          </w:tcPr>
          <w:p>
            <w:pPr>
              <w:jc w:val="right"/>
            </w:pPr>
            <w:r>
              <w:rPr>
                <w:rFonts w:ascii="宋体" w:hAnsi="宋体" w:eastAsia="宋体" w:cs="宋体"/>
                <w:b w:val="0"/>
                <w:i w:val="0"/>
                <w:color w:val="000000"/>
                <w:sz w:val="17"/>
              </w:rPr>
              <w:t>3.60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3.60</w:t>
            </w:r>
          </w:p>
        </w:tc>
        <w:tc>
          <w:tcPr>
            <w:tcW w:w="1440" w:type="dxa"/>
            <w:vAlign w:val="center"/>
          </w:tcPr>
          <w:p>
            <w:pPr>
              <w:jc w:val="right"/>
            </w:pPr>
            <w:r>
              <w:rPr>
                <w:rFonts w:ascii="宋体" w:hAnsi="宋体" w:eastAsia="宋体" w:cs="宋体"/>
                <w:b w:val="0"/>
                <w:i w:val="0"/>
                <w:color w:val="000000"/>
                <w:sz w:val="17"/>
              </w:rPr>
              <w:t>3.60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39.15</w:t>
            </w:r>
          </w:p>
        </w:tc>
        <w:tc>
          <w:tcPr>
            <w:tcW w:w="1440" w:type="dxa"/>
            <w:vAlign w:val="center"/>
          </w:tcPr>
          <w:p>
            <w:pPr>
              <w:jc w:val="right"/>
            </w:pPr>
            <w:r>
              <w:rPr>
                <w:rFonts w:ascii="宋体" w:hAnsi="宋体" w:eastAsia="宋体" w:cs="宋体"/>
                <w:b w:val="0"/>
                <w:i w:val="0"/>
                <w:color w:val="000000"/>
                <w:sz w:val="17"/>
              </w:rPr>
              <w:t>39.15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39.15</w:t>
            </w:r>
          </w:p>
        </w:tc>
        <w:tc>
          <w:tcPr>
            <w:tcW w:w="1440" w:type="dxa"/>
            <w:vAlign w:val="center"/>
          </w:tcPr>
          <w:p>
            <w:pPr>
              <w:jc w:val="right"/>
            </w:pPr>
            <w:r>
              <w:rPr>
                <w:rFonts w:ascii="宋体" w:hAnsi="宋体" w:eastAsia="宋体" w:cs="宋体"/>
                <w:b w:val="0"/>
                <w:i w:val="0"/>
                <w:color w:val="000000"/>
                <w:sz w:val="17"/>
              </w:rPr>
              <w:t>39.15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1,201.54</w:t>
            </w:r>
          </w:p>
        </w:tc>
        <w:tc>
          <w:tcPr>
            <w:tcW w:w="1440" w:type="dxa"/>
            <w:vAlign w:val="center"/>
          </w:tcPr>
          <w:p>
            <w:pPr>
              <w:jc w:val="right"/>
            </w:pPr>
            <w:r>
              <w:rPr>
                <w:rFonts w:ascii="宋体" w:hAnsi="宋体" w:eastAsia="宋体" w:cs="宋体"/>
                <w:b w:val="0"/>
                <w:i w:val="0"/>
                <w:color w:val="000000"/>
                <w:sz w:val="17"/>
              </w:rPr>
              <w:t>1,201.54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20802</w:t>
            </w:r>
          </w:p>
        </w:tc>
        <w:tc>
          <w:tcPr>
            <w:tcW w:w="3140" w:type="dxa"/>
            <w:vAlign w:val="center"/>
          </w:tcPr>
          <w:p>
            <w:pPr>
              <w:jc w:val="left"/>
            </w:pPr>
            <w:r>
              <w:rPr>
                <w:rFonts w:ascii="宋体" w:hAnsi="宋体" w:eastAsia="宋体" w:cs="宋体"/>
                <w:b w:val="0"/>
                <w:i w:val="0"/>
                <w:color w:val="000000"/>
                <w:sz w:val="17"/>
              </w:rPr>
              <w:t>民政管理事务</w:t>
            </w:r>
          </w:p>
        </w:tc>
        <w:tc>
          <w:tcPr>
            <w:tcW w:w="1440" w:type="dxa"/>
            <w:vAlign w:val="center"/>
          </w:tcPr>
          <w:p>
            <w:pPr>
              <w:jc w:val="right"/>
            </w:pPr>
            <w:r>
              <w:rPr>
                <w:rFonts w:ascii="宋体" w:hAnsi="宋体" w:eastAsia="宋体" w:cs="宋体"/>
                <w:b w:val="0"/>
                <w:i w:val="0"/>
                <w:color w:val="000000"/>
                <w:sz w:val="17"/>
              </w:rPr>
              <w:t>926.88</w:t>
            </w:r>
          </w:p>
        </w:tc>
        <w:tc>
          <w:tcPr>
            <w:tcW w:w="1440" w:type="dxa"/>
            <w:vAlign w:val="center"/>
          </w:tcPr>
          <w:p>
            <w:pPr>
              <w:jc w:val="right"/>
            </w:pPr>
            <w:r>
              <w:rPr>
                <w:rFonts w:ascii="宋体" w:hAnsi="宋体" w:eastAsia="宋体" w:cs="宋体"/>
                <w:b w:val="0"/>
                <w:i w:val="0"/>
                <w:color w:val="000000"/>
                <w:sz w:val="17"/>
              </w:rPr>
              <w:t>926.88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2080201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717.75</w:t>
            </w:r>
          </w:p>
        </w:tc>
        <w:tc>
          <w:tcPr>
            <w:tcW w:w="1440" w:type="dxa"/>
            <w:vAlign w:val="center"/>
          </w:tcPr>
          <w:p>
            <w:pPr>
              <w:jc w:val="right"/>
            </w:pPr>
            <w:r>
              <w:rPr>
                <w:rFonts w:ascii="宋体" w:hAnsi="宋体" w:eastAsia="宋体" w:cs="宋体"/>
                <w:b w:val="0"/>
                <w:i w:val="0"/>
                <w:color w:val="000000"/>
                <w:sz w:val="17"/>
              </w:rPr>
              <w:t>717.75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2080202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209.13</w:t>
            </w:r>
          </w:p>
        </w:tc>
        <w:tc>
          <w:tcPr>
            <w:tcW w:w="1440" w:type="dxa"/>
            <w:vAlign w:val="center"/>
          </w:tcPr>
          <w:p>
            <w:pPr>
              <w:jc w:val="right"/>
            </w:pPr>
            <w:r>
              <w:rPr>
                <w:rFonts w:ascii="宋体" w:hAnsi="宋体" w:eastAsia="宋体" w:cs="宋体"/>
                <w:b w:val="0"/>
                <w:i w:val="0"/>
                <w:color w:val="000000"/>
                <w:sz w:val="17"/>
              </w:rPr>
              <w:t>209.13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274.66</w:t>
            </w:r>
          </w:p>
        </w:tc>
        <w:tc>
          <w:tcPr>
            <w:tcW w:w="1440" w:type="dxa"/>
            <w:vAlign w:val="center"/>
          </w:tcPr>
          <w:p>
            <w:pPr>
              <w:jc w:val="right"/>
            </w:pPr>
            <w:r>
              <w:rPr>
                <w:rFonts w:ascii="宋体" w:hAnsi="宋体" w:eastAsia="宋体" w:cs="宋体"/>
                <w:b w:val="0"/>
                <w:i w:val="0"/>
                <w:color w:val="000000"/>
                <w:sz w:val="17"/>
              </w:rPr>
              <w:t>274.66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2080501</w:t>
            </w:r>
          </w:p>
        </w:tc>
        <w:tc>
          <w:tcPr>
            <w:tcW w:w="3140" w:type="dxa"/>
            <w:vAlign w:val="center"/>
          </w:tcPr>
          <w:p>
            <w:pPr>
              <w:jc w:val="left"/>
            </w:pPr>
            <w:r>
              <w:rPr>
                <w:rFonts w:ascii="宋体" w:hAnsi="宋体" w:eastAsia="宋体" w:cs="宋体"/>
                <w:b w:val="0"/>
                <w:i w:val="0"/>
                <w:color w:val="000000"/>
                <w:sz w:val="17"/>
              </w:rPr>
              <w:t>行政单位离退休</w:t>
            </w:r>
          </w:p>
        </w:tc>
        <w:tc>
          <w:tcPr>
            <w:tcW w:w="1440" w:type="dxa"/>
            <w:vAlign w:val="center"/>
          </w:tcPr>
          <w:p>
            <w:pPr>
              <w:jc w:val="right"/>
            </w:pPr>
            <w:r>
              <w:rPr>
                <w:rFonts w:ascii="宋体" w:hAnsi="宋体" w:eastAsia="宋体" w:cs="宋体"/>
                <w:b w:val="0"/>
                <w:i w:val="0"/>
                <w:color w:val="000000"/>
                <w:sz w:val="17"/>
              </w:rPr>
              <w:t>233.03</w:t>
            </w:r>
          </w:p>
        </w:tc>
        <w:tc>
          <w:tcPr>
            <w:tcW w:w="1440" w:type="dxa"/>
            <w:vAlign w:val="center"/>
          </w:tcPr>
          <w:p>
            <w:pPr>
              <w:jc w:val="right"/>
            </w:pPr>
            <w:r>
              <w:rPr>
                <w:rFonts w:ascii="宋体" w:hAnsi="宋体" w:eastAsia="宋体" w:cs="宋体"/>
                <w:b w:val="0"/>
                <w:i w:val="0"/>
                <w:color w:val="000000"/>
                <w:sz w:val="17"/>
              </w:rPr>
              <w:t>233.03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41.63</w:t>
            </w:r>
          </w:p>
        </w:tc>
        <w:tc>
          <w:tcPr>
            <w:tcW w:w="1440" w:type="dxa"/>
            <w:vAlign w:val="center"/>
          </w:tcPr>
          <w:p>
            <w:pPr>
              <w:jc w:val="right"/>
            </w:pPr>
            <w:r>
              <w:rPr>
                <w:rFonts w:ascii="宋体" w:hAnsi="宋体" w:eastAsia="宋体" w:cs="宋体"/>
                <w:b w:val="0"/>
                <w:i w:val="0"/>
                <w:color w:val="000000"/>
                <w:sz w:val="17"/>
              </w:rPr>
              <w:t>41.63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48.86</w:t>
            </w:r>
          </w:p>
        </w:tc>
        <w:tc>
          <w:tcPr>
            <w:tcW w:w="1440" w:type="dxa"/>
            <w:vAlign w:val="center"/>
          </w:tcPr>
          <w:p>
            <w:pPr>
              <w:jc w:val="right"/>
            </w:pPr>
            <w:r>
              <w:rPr>
                <w:rFonts w:ascii="宋体" w:hAnsi="宋体" w:eastAsia="宋体" w:cs="宋体"/>
                <w:b w:val="0"/>
                <w:i w:val="0"/>
                <w:color w:val="000000"/>
                <w:sz w:val="17"/>
              </w:rPr>
              <w:t>48.86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48.86</w:t>
            </w:r>
          </w:p>
        </w:tc>
        <w:tc>
          <w:tcPr>
            <w:tcW w:w="1440" w:type="dxa"/>
            <w:vAlign w:val="center"/>
          </w:tcPr>
          <w:p>
            <w:pPr>
              <w:jc w:val="right"/>
            </w:pPr>
            <w:r>
              <w:rPr>
                <w:rFonts w:ascii="宋体" w:hAnsi="宋体" w:eastAsia="宋体" w:cs="宋体"/>
                <w:b w:val="0"/>
                <w:i w:val="0"/>
                <w:color w:val="000000"/>
                <w:sz w:val="17"/>
              </w:rPr>
              <w:t>48.86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25.40</w:t>
            </w:r>
          </w:p>
        </w:tc>
        <w:tc>
          <w:tcPr>
            <w:tcW w:w="1440" w:type="dxa"/>
            <w:vAlign w:val="center"/>
          </w:tcPr>
          <w:p>
            <w:pPr>
              <w:jc w:val="right"/>
            </w:pPr>
            <w:r>
              <w:rPr>
                <w:rFonts w:ascii="宋体" w:hAnsi="宋体" w:eastAsia="宋体" w:cs="宋体"/>
                <w:b w:val="0"/>
                <w:i w:val="0"/>
                <w:color w:val="000000"/>
                <w:sz w:val="17"/>
              </w:rPr>
              <w:t>25.40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23.46</w:t>
            </w:r>
          </w:p>
        </w:tc>
        <w:tc>
          <w:tcPr>
            <w:tcW w:w="1440" w:type="dxa"/>
            <w:vAlign w:val="center"/>
          </w:tcPr>
          <w:p>
            <w:pPr>
              <w:jc w:val="right"/>
            </w:pPr>
            <w:r>
              <w:rPr>
                <w:rFonts w:ascii="宋体" w:hAnsi="宋体" w:eastAsia="宋体" w:cs="宋体"/>
                <w:b w:val="0"/>
                <w:i w:val="0"/>
                <w:color w:val="000000"/>
                <w:sz w:val="17"/>
              </w:rPr>
              <w:t>23.46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w:t>
            </w:r>
          </w:p>
        </w:tc>
        <w:tc>
          <w:tcPr>
            <w:tcW w:w="3140" w:type="dxa"/>
            <w:vAlign w:val="center"/>
          </w:tcPr>
          <w:p>
            <w:pPr>
              <w:jc w:val="left"/>
            </w:pPr>
            <w:r>
              <w:rPr>
                <w:rFonts w:ascii="宋体" w:hAnsi="宋体" w:eastAsia="宋体" w:cs="宋体"/>
                <w:b w:val="0"/>
                <w:i w:val="0"/>
                <w:color w:val="000000"/>
                <w:sz w:val="17"/>
              </w:rPr>
              <w:t>农林水支出</w:t>
            </w:r>
          </w:p>
        </w:tc>
        <w:tc>
          <w:tcPr>
            <w:tcW w:w="1440" w:type="dxa"/>
            <w:vAlign w:val="center"/>
          </w:tcPr>
          <w:p>
            <w:pPr>
              <w:jc w:val="right"/>
            </w:pPr>
            <w:r>
              <w:rPr>
                <w:rFonts w:ascii="宋体" w:hAnsi="宋体" w:eastAsia="宋体" w:cs="宋体"/>
                <w:b w:val="0"/>
                <w:i w:val="0"/>
                <w:color w:val="000000"/>
                <w:sz w:val="17"/>
              </w:rPr>
              <w:t>3.40</w:t>
            </w:r>
          </w:p>
        </w:tc>
        <w:tc>
          <w:tcPr>
            <w:tcW w:w="1440" w:type="dxa"/>
            <w:vAlign w:val="center"/>
          </w:tcPr>
          <w:p>
            <w:pPr>
              <w:jc w:val="right"/>
            </w:pPr>
            <w:r>
              <w:rPr>
                <w:rFonts w:ascii="宋体" w:hAnsi="宋体" w:eastAsia="宋体" w:cs="宋体"/>
                <w:b w:val="0"/>
                <w:i w:val="0"/>
                <w:color w:val="000000"/>
                <w:sz w:val="17"/>
              </w:rPr>
              <w:t>3.40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w:t>
            </w:r>
          </w:p>
        </w:tc>
        <w:tc>
          <w:tcPr>
            <w:tcW w:w="3140" w:type="dxa"/>
            <w:vAlign w:val="center"/>
          </w:tcPr>
          <w:p>
            <w:pPr>
              <w:jc w:val="left"/>
            </w:pPr>
            <w:r>
              <w:rPr>
                <w:rFonts w:ascii="宋体" w:hAnsi="宋体" w:eastAsia="宋体" w:cs="宋体"/>
                <w:b w:val="0"/>
                <w:i w:val="0"/>
                <w:color w:val="000000"/>
                <w:sz w:val="17"/>
              </w:rPr>
              <w:t>巩固脱贫攻坚成果衔接乡村振兴</w:t>
            </w:r>
          </w:p>
        </w:tc>
        <w:tc>
          <w:tcPr>
            <w:tcW w:w="1440" w:type="dxa"/>
            <w:vAlign w:val="center"/>
          </w:tcPr>
          <w:p>
            <w:pPr>
              <w:jc w:val="right"/>
            </w:pPr>
            <w:r>
              <w:rPr>
                <w:rFonts w:ascii="宋体" w:hAnsi="宋体" w:eastAsia="宋体" w:cs="宋体"/>
                <w:b w:val="0"/>
                <w:i w:val="0"/>
                <w:color w:val="000000"/>
                <w:sz w:val="17"/>
              </w:rPr>
              <w:t>3.40</w:t>
            </w:r>
          </w:p>
        </w:tc>
        <w:tc>
          <w:tcPr>
            <w:tcW w:w="1440" w:type="dxa"/>
            <w:vAlign w:val="center"/>
          </w:tcPr>
          <w:p>
            <w:pPr>
              <w:jc w:val="right"/>
            </w:pPr>
            <w:r>
              <w:rPr>
                <w:rFonts w:ascii="宋体" w:hAnsi="宋体" w:eastAsia="宋体" w:cs="宋体"/>
                <w:b w:val="0"/>
                <w:i w:val="0"/>
                <w:color w:val="000000"/>
                <w:sz w:val="17"/>
              </w:rPr>
              <w:t>3.40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0.90</w:t>
            </w:r>
          </w:p>
        </w:tc>
        <w:tc>
          <w:tcPr>
            <w:tcW w:w="1440" w:type="dxa"/>
            <w:vAlign w:val="center"/>
          </w:tcPr>
          <w:p>
            <w:pPr>
              <w:jc w:val="right"/>
            </w:pPr>
            <w:r>
              <w:rPr>
                <w:rFonts w:ascii="宋体" w:hAnsi="宋体" w:eastAsia="宋体" w:cs="宋体"/>
                <w:b w:val="0"/>
                <w:i w:val="0"/>
                <w:color w:val="000000"/>
                <w:sz w:val="17"/>
              </w:rPr>
              <w:t>0.90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40.21</w:t>
            </w:r>
          </w:p>
        </w:tc>
        <w:tc>
          <w:tcPr>
            <w:tcW w:w="1440" w:type="dxa"/>
            <w:vAlign w:val="center"/>
          </w:tcPr>
          <w:p>
            <w:pPr>
              <w:jc w:val="right"/>
            </w:pPr>
            <w:r>
              <w:rPr>
                <w:rFonts w:ascii="宋体" w:hAnsi="宋体" w:eastAsia="宋体" w:cs="宋体"/>
                <w:b w:val="0"/>
                <w:i w:val="0"/>
                <w:color w:val="000000"/>
                <w:sz w:val="17"/>
              </w:rPr>
              <w:t>40.21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40.21</w:t>
            </w:r>
          </w:p>
        </w:tc>
        <w:tc>
          <w:tcPr>
            <w:tcW w:w="1440" w:type="dxa"/>
            <w:vAlign w:val="center"/>
          </w:tcPr>
          <w:p>
            <w:pPr>
              <w:jc w:val="right"/>
            </w:pPr>
            <w:r>
              <w:rPr>
                <w:rFonts w:ascii="宋体" w:hAnsi="宋体" w:eastAsia="宋体" w:cs="宋体"/>
                <w:b w:val="0"/>
                <w:i w:val="0"/>
                <w:color w:val="000000"/>
                <w:sz w:val="17"/>
              </w:rPr>
              <w:t>40.21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40.21</w:t>
            </w:r>
          </w:p>
        </w:tc>
        <w:tc>
          <w:tcPr>
            <w:tcW w:w="1440" w:type="dxa"/>
            <w:vAlign w:val="center"/>
          </w:tcPr>
          <w:p>
            <w:pPr>
              <w:jc w:val="right"/>
            </w:pPr>
            <w:r>
              <w:rPr>
                <w:rFonts w:ascii="宋体" w:hAnsi="宋体" w:eastAsia="宋体" w:cs="宋体"/>
                <w:b w:val="0"/>
                <w:i w:val="0"/>
                <w:color w:val="000000"/>
                <w:sz w:val="17"/>
              </w:rPr>
              <w:t>40.21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229</w:t>
            </w:r>
          </w:p>
        </w:tc>
        <w:tc>
          <w:tcPr>
            <w:tcW w:w="3140" w:type="dxa"/>
            <w:vAlign w:val="center"/>
          </w:tcPr>
          <w:p>
            <w:pPr>
              <w:jc w:val="left"/>
            </w:pPr>
            <w:r>
              <w:rPr>
                <w:rFonts w:ascii="宋体" w:hAnsi="宋体" w:eastAsia="宋体" w:cs="宋体"/>
                <w:b w:val="0"/>
                <w:i w:val="0"/>
                <w:color w:val="000000"/>
                <w:sz w:val="17"/>
              </w:rPr>
              <w:t>其他支出</w:t>
            </w:r>
          </w:p>
        </w:tc>
        <w:tc>
          <w:tcPr>
            <w:tcW w:w="1440" w:type="dxa"/>
            <w:vAlign w:val="center"/>
          </w:tcPr>
          <w:p>
            <w:pPr>
              <w:jc w:val="right"/>
            </w:pPr>
            <w:r>
              <w:rPr>
                <w:rFonts w:ascii="宋体" w:hAnsi="宋体" w:eastAsia="宋体" w:cs="宋体"/>
                <w:b w:val="0"/>
                <w:i w:val="0"/>
                <w:color w:val="000000"/>
                <w:sz w:val="17"/>
              </w:rPr>
              <w:t>100.98</w:t>
            </w:r>
          </w:p>
        </w:tc>
        <w:tc>
          <w:tcPr>
            <w:tcW w:w="1440" w:type="dxa"/>
            <w:vAlign w:val="center"/>
          </w:tcPr>
          <w:p>
            <w:pPr>
              <w:jc w:val="right"/>
            </w:pPr>
            <w:r>
              <w:rPr>
                <w:rFonts w:ascii="宋体" w:hAnsi="宋体" w:eastAsia="宋体" w:cs="宋体"/>
                <w:b w:val="0"/>
                <w:i w:val="0"/>
                <w:color w:val="000000"/>
                <w:sz w:val="17"/>
              </w:rPr>
              <w:t>100.98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22960</w:t>
            </w:r>
          </w:p>
        </w:tc>
        <w:tc>
          <w:tcPr>
            <w:tcW w:w="3140" w:type="dxa"/>
            <w:vAlign w:val="center"/>
          </w:tcPr>
          <w:p>
            <w:pPr>
              <w:jc w:val="left"/>
            </w:pPr>
            <w:r>
              <w:rPr>
                <w:rFonts w:ascii="宋体" w:hAnsi="宋体" w:eastAsia="宋体" w:cs="宋体"/>
                <w:b w:val="0"/>
                <w:i w:val="0"/>
                <w:color w:val="000000"/>
                <w:sz w:val="17"/>
              </w:rPr>
              <w:t>彩票公益金安排的支出</w:t>
            </w:r>
          </w:p>
        </w:tc>
        <w:tc>
          <w:tcPr>
            <w:tcW w:w="1440" w:type="dxa"/>
            <w:vAlign w:val="center"/>
          </w:tcPr>
          <w:p>
            <w:pPr>
              <w:jc w:val="right"/>
            </w:pPr>
            <w:r>
              <w:rPr>
                <w:rFonts w:ascii="宋体" w:hAnsi="宋体" w:eastAsia="宋体" w:cs="宋体"/>
                <w:b w:val="0"/>
                <w:i w:val="0"/>
                <w:color w:val="000000"/>
                <w:sz w:val="17"/>
              </w:rPr>
              <w:t>100.98</w:t>
            </w:r>
          </w:p>
        </w:tc>
        <w:tc>
          <w:tcPr>
            <w:tcW w:w="1440" w:type="dxa"/>
            <w:vAlign w:val="center"/>
          </w:tcPr>
          <w:p>
            <w:pPr>
              <w:jc w:val="right"/>
            </w:pPr>
            <w:r>
              <w:rPr>
                <w:rFonts w:ascii="宋体" w:hAnsi="宋体" w:eastAsia="宋体" w:cs="宋体"/>
                <w:b w:val="0"/>
                <w:i w:val="0"/>
                <w:color w:val="000000"/>
                <w:sz w:val="17"/>
              </w:rPr>
              <w:t>100.98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2296002</w:t>
            </w:r>
          </w:p>
        </w:tc>
        <w:tc>
          <w:tcPr>
            <w:tcW w:w="3140" w:type="dxa"/>
            <w:vAlign w:val="center"/>
          </w:tcPr>
          <w:p>
            <w:pPr>
              <w:jc w:val="left"/>
            </w:pPr>
            <w:r>
              <w:rPr>
                <w:rFonts w:ascii="宋体" w:hAnsi="宋体" w:eastAsia="宋体" w:cs="宋体"/>
                <w:b w:val="0"/>
                <w:i w:val="0"/>
                <w:color w:val="000000"/>
                <w:sz w:val="17"/>
              </w:rPr>
              <w:t>用于社会福利的彩票公益金支出</w:t>
            </w:r>
          </w:p>
        </w:tc>
        <w:tc>
          <w:tcPr>
            <w:tcW w:w="1440" w:type="dxa"/>
            <w:vAlign w:val="center"/>
          </w:tcPr>
          <w:p>
            <w:pPr>
              <w:jc w:val="right"/>
            </w:pPr>
            <w:r>
              <w:rPr>
                <w:rFonts w:ascii="宋体" w:hAnsi="宋体" w:eastAsia="宋体" w:cs="宋体"/>
                <w:b w:val="0"/>
                <w:i w:val="0"/>
                <w:color w:val="000000"/>
                <w:sz w:val="17"/>
              </w:rPr>
              <w:t>100.98</w:t>
            </w:r>
          </w:p>
        </w:tc>
        <w:tc>
          <w:tcPr>
            <w:tcW w:w="1440" w:type="dxa"/>
            <w:vAlign w:val="center"/>
          </w:tcPr>
          <w:p>
            <w:pPr>
              <w:jc w:val="right"/>
            </w:pPr>
            <w:r>
              <w:rPr>
                <w:rFonts w:ascii="宋体" w:hAnsi="宋体" w:eastAsia="宋体" w:cs="宋体"/>
                <w:b w:val="0"/>
                <w:i w:val="0"/>
                <w:color w:val="000000"/>
                <w:sz w:val="17"/>
              </w:rPr>
              <w:t>100.98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单位：许昌市民政局（本级）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1,500.40</w:t>
            </w:r>
          </w:p>
        </w:tc>
        <w:tc>
          <w:tcPr>
            <w:tcW w:w="1600" w:type="dxa"/>
            <w:vAlign w:val="center"/>
          </w:tcPr>
          <w:p>
            <w:pPr>
              <w:jc w:val="right"/>
            </w:pPr>
            <w:r>
              <w:rPr>
                <w:rFonts w:ascii="宋体" w:hAnsi="宋体" w:eastAsia="宋体" w:cs="宋体"/>
                <w:b/>
                <w:i w:val="0"/>
                <w:color w:val="000000"/>
                <w:sz w:val="19"/>
              </w:rPr>
              <w:t>1,130.44</w:t>
            </w:r>
          </w:p>
        </w:tc>
        <w:tc>
          <w:tcPr>
            <w:tcW w:w="1600" w:type="dxa"/>
            <w:vAlign w:val="center"/>
          </w:tcPr>
          <w:p>
            <w:pPr>
              <w:jc w:val="right"/>
            </w:pPr>
            <w:r>
              <w:rPr>
                <w:rFonts w:ascii="宋体" w:hAnsi="宋体" w:eastAsia="宋体" w:cs="宋体"/>
                <w:b/>
                <w:i w:val="0"/>
                <w:color w:val="000000"/>
                <w:sz w:val="19"/>
              </w:rPr>
              <w:t>369.96</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578" w:type="dxa"/>
            <w:vAlign w:val="center"/>
          </w:tcPr>
          <w:p>
            <w:pPr>
              <w:jc w:val="right"/>
            </w:pPr>
            <w:r>
              <w:rPr>
                <w:rFonts w:ascii="宋体" w:hAnsi="宋体" w:eastAsia="宋体" w:cs="宋体"/>
                <w:b/>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42.75</w:t>
            </w:r>
          </w:p>
        </w:tc>
        <w:tc>
          <w:tcPr>
            <w:tcW w:w="1600" w:type="dxa"/>
            <w:vAlign w:val="center"/>
          </w:tcPr>
          <w:p>
            <w:pPr>
              <w:jc w:val="right"/>
            </w:pPr>
            <w:r>
              <w:rPr>
                <w:rFonts w:ascii="宋体" w:hAnsi="宋体" w:eastAsia="宋体" w:cs="宋体"/>
                <w:b w:val="0"/>
                <w:i w:val="0"/>
                <w:color w:val="000000"/>
                <w:sz w:val="19"/>
              </w:rPr>
              <w:t>42.75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3.60</w:t>
            </w:r>
          </w:p>
        </w:tc>
        <w:tc>
          <w:tcPr>
            <w:tcW w:w="1600" w:type="dxa"/>
            <w:vAlign w:val="center"/>
          </w:tcPr>
          <w:p>
            <w:pPr>
              <w:jc w:val="right"/>
            </w:pPr>
            <w:r>
              <w:rPr>
                <w:rFonts w:ascii="宋体" w:hAnsi="宋体" w:eastAsia="宋体" w:cs="宋体"/>
                <w:b w:val="0"/>
                <w:i w:val="0"/>
                <w:color w:val="000000"/>
                <w:sz w:val="19"/>
              </w:rPr>
              <w:t>3.60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3.60</w:t>
            </w:r>
          </w:p>
        </w:tc>
        <w:tc>
          <w:tcPr>
            <w:tcW w:w="1600" w:type="dxa"/>
            <w:vAlign w:val="center"/>
          </w:tcPr>
          <w:p>
            <w:pPr>
              <w:jc w:val="right"/>
            </w:pPr>
            <w:r>
              <w:rPr>
                <w:rFonts w:ascii="宋体" w:hAnsi="宋体" w:eastAsia="宋体" w:cs="宋体"/>
                <w:b w:val="0"/>
                <w:i w:val="0"/>
                <w:color w:val="000000"/>
                <w:sz w:val="19"/>
              </w:rPr>
              <w:t>3.60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39.15</w:t>
            </w:r>
          </w:p>
        </w:tc>
        <w:tc>
          <w:tcPr>
            <w:tcW w:w="1600" w:type="dxa"/>
            <w:vAlign w:val="center"/>
          </w:tcPr>
          <w:p>
            <w:pPr>
              <w:jc w:val="right"/>
            </w:pPr>
            <w:r>
              <w:rPr>
                <w:rFonts w:ascii="宋体" w:hAnsi="宋体" w:eastAsia="宋体" w:cs="宋体"/>
                <w:b w:val="0"/>
                <w:i w:val="0"/>
                <w:color w:val="000000"/>
                <w:sz w:val="19"/>
              </w:rPr>
              <w:t>39.15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39.15</w:t>
            </w:r>
          </w:p>
        </w:tc>
        <w:tc>
          <w:tcPr>
            <w:tcW w:w="1600" w:type="dxa"/>
            <w:vAlign w:val="center"/>
          </w:tcPr>
          <w:p>
            <w:pPr>
              <w:jc w:val="right"/>
            </w:pPr>
            <w:r>
              <w:rPr>
                <w:rFonts w:ascii="宋体" w:hAnsi="宋体" w:eastAsia="宋体" w:cs="宋体"/>
                <w:b w:val="0"/>
                <w:i w:val="0"/>
                <w:color w:val="000000"/>
                <w:sz w:val="19"/>
              </w:rPr>
              <w:t>39.15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1,264.21</w:t>
            </w:r>
          </w:p>
        </w:tc>
        <w:tc>
          <w:tcPr>
            <w:tcW w:w="1600" w:type="dxa"/>
            <w:vAlign w:val="center"/>
          </w:tcPr>
          <w:p>
            <w:pPr>
              <w:jc w:val="right"/>
            </w:pPr>
            <w:r>
              <w:rPr>
                <w:rFonts w:ascii="宋体" w:hAnsi="宋体" w:eastAsia="宋体" w:cs="宋体"/>
                <w:b w:val="0"/>
                <w:i w:val="0"/>
                <w:color w:val="000000"/>
                <w:sz w:val="19"/>
              </w:rPr>
              <w:t>1,002.91</w:t>
            </w:r>
          </w:p>
        </w:tc>
        <w:tc>
          <w:tcPr>
            <w:tcW w:w="1600" w:type="dxa"/>
            <w:vAlign w:val="center"/>
          </w:tcPr>
          <w:p>
            <w:pPr>
              <w:jc w:val="right"/>
            </w:pPr>
            <w:r>
              <w:rPr>
                <w:rFonts w:ascii="宋体" w:hAnsi="宋体" w:eastAsia="宋体" w:cs="宋体"/>
                <w:b w:val="0"/>
                <w:i w:val="0"/>
                <w:color w:val="000000"/>
                <w:sz w:val="19"/>
              </w:rPr>
              <w:t>261.30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20802</w:t>
            </w:r>
          </w:p>
        </w:tc>
        <w:tc>
          <w:tcPr>
            <w:tcW w:w="3480" w:type="dxa"/>
            <w:vAlign w:val="center"/>
          </w:tcPr>
          <w:p>
            <w:pPr>
              <w:jc w:val="left"/>
            </w:pPr>
            <w:r>
              <w:rPr>
                <w:rFonts w:ascii="宋体" w:hAnsi="宋体" w:eastAsia="宋体" w:cs="宋体"/>
                <w:b w:val="0"/>
                <w:i w:val="0"/>
                <w:color w:val="000000"/>
                <w:sz w:val="19"/>
              </w:rPr>
              <w:t>民政管理事务</w:t>
            </w:r>
          </w:p>
        </w:tc>
        <w:tc>
          <w:tcPr>
            <w:tcW w:w="1600" w:type="dxa"/>
            <w:vAlign w:val="center"/>
          </w:tcPr>
          <w:p>
            <w:pPr>
              <w:jc w:val="right"/>
            </w:pPr>
            <w:r>
              <w:rPr>
                <w:rFonts w:ascii="宋体" w:hAnsi="宋体" w:eastAsia="宋体" w:cs="宋体"/>
                <w:b w:val="0"/>
                <w:i w:val="0"/>
                <w:color w:val="000000"/>
                <w:sz w:val="19"/>
              </w:rPr>
              <w:t>989.55</w:t>
            </w:r>
          </w:p>
        </w:tc>
        <w:tc>
          <w:tcPr>
            <w:tcW w:w="1600" w:type="dxa"/>
            <w:vAlign w:val="center"/>
          </w:tcPr>
          <w:p>
            <w:pPr>
              <w:jc w:val="right"/>
            </w:pPr>
            <w:r>
              <w:rPr>
                <w:rFonts w:ascii="宋体" w:hAnsi="宋体" w:eastAsia="宋体" w:cs="宋体"/>
                <w:b w:val="0"/>
                <w:i w:val="0"/>
                <w:color w:val="000000"/>
                <w:sz w:val="19"/>
              </w:rPr>
              <w:t>728.25</w:t>
            </w:r>
          </w:p>
        </w:tc>
        <w:tc>
          <w:tcPr>
            <w:tcW w:w="1600" w:type="dxa"/>
            <w:vAlign w:val="center"/>
          </w:tcPr>
          <w:p>
            <w:pPr>
              <w:jc w:val="right"/>
            </w:pPr>
            <w:r>
              <w:rPr>
                <w:rFonts w:ascii="宋体" w:hAnsi="宋体" w:eastAsia="宋体" w:cs="宋体"/>
                <w:b w:val="0"/>
                <w:i w:val="0"/>
                <w:color w:val="000000"/>
                <w:sz w:val="19"/>
              </w:rPr>
              <w:t>261.30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2080201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728.25</w:t>
            </w:r>
          </w:p>
        </w:tc>
        <w:tc>
          <w:tcPr>
            <w:tcW w:w="1600" w:type="dxa"/>
            <w:vAlign w:val="center"/>
          </w:tcPr>
          <w:p>
            <w:pPr>
              <w:jc w:val="right"/>
            </w:pPr>
            <w:r>
              <w:rPr>
                <w:rFonts w:ascii="宋体" w:hAnsi="宋体" w:eastAsia="宋体" w:cs="宋体"/>
                <w:b w:val="0"/>
                <w:i w:val="0"/>
                <w:color w:val="000000"/>
                <w:sz w:val="19"/>
              </w:rPr>
              <w:t>728.25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2080202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261.30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261.30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274.66</w:t>
            </w:r>
          </w:p>
        </w:tc>
        <w:tc>
          <w:tcPr>
            <w:tcW w:w="1600" w:type="dxa"/>
            <w:vAlign w:val="center"/>
          </w:tcPr>
          <w:p>
            <w:pPr>
              <w:jc w:val="right"/>
            </w:pPr>
            <w:r>
              <w:rPr>
                <w:rFonts w:ascii="宋体" w:hAnsi="宋体" w:eastAsia="宋体" w:cs="宋体"/>
                <w:b w:val="0"/>
                <w:i w:val="0"/>
                <w:color w:val="000000"/>
                <w:sz w:val="19"/>
              </w:rPr>
              <w:t>274.66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2080501</w:t>
            </w:r>
          </w:p>
        </w:tc>
        <w:tc>
          <w:tcPr>
            <w:tcW w:w="3480" w:type="dxa"/>
            <w:vAlign w:val="center"/>
          </w:tcPr>
          <w:p>
            <w:pPr>
              <w:jc w:val="left"/>
            </w:pPr>
            <w:r>
              <w:rPr>
                <w:rFonts w:ascii="宋体" w:hAnsi="宋体" w:eastAsia="宋体" w:cs="宋体"/>
                <w:b w:val="0"/>
                <w:i w:val="0"/>
                <w:color w:val="000000"/>
                <w:sz w:val="19"/>
              </w:rPr>
              <w:t>行政单位离退休</w:t>
            </w:r>
          </w:p>
        </w:tc>
        <w:tc>
          <w:tcPr>
            <w:tcW w:w="1600" w:type="dxa"/>
            <w:vAlign w:val="center"/>
          </w:tcPr>
          <w:p>
            <w:pPr>
              <w:jc w:val="right"/>
            </w:pPr>
            <w:r>
              <w:rPr>
                <w:rFonts w:ascii="宋体" w:hAnsi="宋体" w:eastAsia="宋体" w:cs="宋体"/>
                <w:b w:val="0"/>
                <w:i w:val="0"/>
                <w:color w:val="000000"/>
                <w:sz w:val="19"/>
              </w:rPr>
              <w:t>233.03</w:t>
            </w:r>
          </w:p>
        </w:tc>
        <w:tc>
          <w:tcPr>
            <w:tcW w:w="1600" w:type="dxa"/>
            <w:vAlign w:val="center"/>
          </w:tcPr>
          <w:p>
            <w:pPr>
              <w:jc w:val="right"/>
            </w:pPr>
            <w:r>
              <w:rPr>
                <w:rFonts w:ascii="宋体" w:hAnsi="宋体" w:eastAsia="宋体" w:cs="宋体"/>
                <w:b w:val="0"/>
                <w:i w:val="0"/>
                <w:color w:val="000000"/>
                <w:sz w:val="19"/>
              </w:rPr>
              <w:t>233.03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41.63</w:t>
            </w:r>
          </w:p>
        </w:tc>
        <w:tc>
          <w:tcPr>
            <w:tcW w:w="1600" w:type="dxa"/>
            <w:vAlign w:val="center"/>
          </w:tcPr>
          <w:p>
            <w:pPr>
              <w:jc w:val="right"/>
            </w:pPr>
            <w:r>
              <w:rPr>
                <w:rFonts w:ascii="宋体" w:hAnsi="宋体" w:eastAsia="宋体" w:cs="宋体"/>
                <w:b w:val="0"/>
                <w:i w:val="0"/>
                <w:color w:val="000000"/>
                <w:sz w:val="19"/>
              </w:rPr>
              <w:t>41.63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48.86</w:t>
            </w:r>
          </w:p>
        </w:tc>
        <w:tc>
          <w:tcPr>
            <w:tcW w:w="1600" w:type="dxa"/>
            <w:vAlign w:val="center"/>
          </w:tcPr>
          <w:p>
            <w:pPr>
              <w:jc w:val="right"/>
            </w:pPr>
            <w:r>
              <w:rPr>
                <w:rFonts w:ascii="宋体" w:hAnsi="宋体" w:eastAsia="宋体" w:cs="宋体"/>
                <w:b w:val="0"/>
                <w:i w:val="0"/>
                <w:color w:val="000000"/>
                <w:sz w:val="19"/>
              </w:rPr>
              <w:t>44.57</w:t>
            </w:r>
          </w:p>
        </w:tc>
        <w:tc>
          <w:tcPr>
            <w:tcW w:w="1600" w:type="dxa"/>
            <w:vAlign w:val="center"/>
          </w:tcPr>
          <w:p>
            <w:pPr>
              <w:jc w:val="right"/>
            </w:pPr>
            <w:r>
              <w:rPr>
                <w:rFonts w:ascii="宋体" w:hAnsi="宋体" w:eastAsia="宋体" w:cs="宋体"/>
                <w:b w:val="0"/>
                <w:i w:val="0"/>
                <w:color w:val="000000"/>
                <w:sz w:val="19"/>
              </w:rPr>
              <w:t>4.28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48.86</w:t>
            </w:r>
          </w:p>
        </w:tc>
        <w:tc>
          <w:tcPr>
            <w:tcW w:w="1600" w:type="dxa"/>
            <w:vAlign w:val="center"/>
          </w:tcPr>
          <w:p>
            <w:pPr>
              <w:jc w:val="right"/>
            </w:pPr>
            <w:r>
              <w:rPr>
                <w:rFonts w:ascii="宋体" w:hAnsi="宋体" w:eastAsia="宋体" w:cs="宋体"/>
                <w:b w:val="0"/>
                <w:i w:val="0"/>
                <w:color w:val="000000"/>
                <w:sz w:val="19"/>
              </w:rPr>
              <w:t>44.57</w:t>
            </w:r>
          </w:p>
        </w:tc>
        <w:tc>
          <w:tcPr>
            <w:tcW w:w="1600" w:type="dxa"/>
            <w:vAlign w:val="center"/>
          </w:tcPr>
          <w:p>
            <w:pPr>
              <w:jc w:val="right"/>
            </w:pPr>
            <w:r>
              <w:rPr>
                <w:rFonts w:ascii="宋体" w:hAnsi="宋体" w:eastAsia="宋体" w:cs="宋体"/>
                <w:b w:val="0"/>
                <w:i w:val="0"/>
                <w:color w:val="000000"/>
                <w:sz w:val="19"/>
              </w:rPr>
              <w:t>4.28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25.40</w:t>
            </w:r>
          </w:p>
        </w:tc>
        <w:tc>
          <w:tcPr>
            <w:tcW w:w="1600" w:type="dxa"/>
            <w:vAlign w:val="center"/>
          </w:tcPr>
          <w:p>
            <w:pPr>
              <w:jc w:val="right"/>
            </w:pPr>
            <w:r>
              <w:rPr>
                <w:rFonts w:ascii="宋体" w:hAnsi="宋体" w:eastAsia="宋体" w:cs="宋体"/>
                <w:b w:val="0"/>
                <w:i w:val="0"/>
                <w:color w:val="000000"/>
                <w:sz w:val="19"/>
              </w:rPr>
              <w:t>21.11</w:t>
            </w:r>
          </w:p>
        </w:tc>
        <w:tc>
          <w:tcPr>
            <w:tcW w:w="1600" w:type="dxa"/>
            <w:vAlign w:val="center"/>
          </w:tcPr>
          <w:p>
            <w:pPr>
              <w:jc w:val="right"/>
            </w:pPr>
            <w:r>
              <w:rPr>
                <w:rFonts w:ascii="宋体" w:hAnsi="宋体" w:eastAsia="宋体" w:cs="宋体"/>
                <w:b w:val="0"/>
                <w:i w:val="0"/>
                <w:color w:val="000000"/>
                <w:sz w:val="19"/>
              </w:rPr>
              <w:t>4.28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23.46</w:t>
            </w:r>
          </w:p>
        </w:tc>
        <w:tc>
          <w:tcPr>
            <w:tcW w:w="1600" w:type="dxa"/>
            <w:vAlign w:val="center"/>
          </w:tcPr>
          <w:p>
            <w:pPr>
              <w:jc w:val="right"/>
            </w:pPr>
            <w:r>
              <w:rPr>
                <w:rFonts w:ascii="宋体" w:hAnsi="宋体" w:eastAsia="宋体" w:cs="宋体"/>
                <w:b w:val="0"/>
                <w:i w:val="0"/>
                <w:color w:val="000000"/>
                <w:sz w:val="19"/>
              </w:rPr>
              <w:t>23.46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w:t>
            </w:r>
          </w:p>
        </w:tc>
        <w:tc>
          <w:tcPr>
            <w:tcW w:w="3480" w:type="dxa"/>
            <w:vAlign w:val="center"/>
          </w:tcPr>
          <w:p>
            <w:pPr>
              <w:jc w:val="left"/>
            </w:pPr>
            <w:r>
              <w:rPr>
                <w:rFonts w:ascii="宋体" w:hAnsi="宋体" w:eastAsia="宋体" w:cs="宋体"/>
                <w:b w:val="0"/>
                <w:i w:val="0"/>
                <w:color w:val="000000"/>
                <w:sz w:val="19"/>
              </w:rPr>
              <w:t>农林水支出</w:t>
            </w:r>
          </w:p>
        </w:tc>
        <w:tc>
          <w:tcPr>
            <w:tcW w:w="1600" w:type="dxa"/>
            <w:vAlign w:val="center"/>
          </w:tcPr>
          <w:p>
            <w:pPr>
              <w:jc w:val="right"/>
            </w:pPr>
            <w:r>
              <w:rPr>
                <w:rFonts w:ascii="宋体" w:hAnsi="宋体" w:eastAsia="宋体" w:cs="宋体"/>
                <w:b w:val="0"/>
                <w:i w:val="0"/>
                <w:color w:val="000000"/>
                <w:sz w:val="19"/>
              </w:rPr>
              <w:t>3.40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3.40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21305</w:t>
            </w:r>
          </w:p>
        </w:tc>
        <w:tc>
          <w:tcPr>
            <w:tcW w:w="3480" w:type="dxa"/>
            <w:vAlign w:val="center"/>
          </w:tcPr>
          <w:p>
            <w:pPr>
              <w:jc w:val="left"/>
            </w:pPr>
            <w:r>
              <w:rPr>
                <w:rFonts w:ascii="宋体" w:hAnsi="宋体" w:eastAsia="宋体" w:cs="宋体"/>
                <w:b w:val="0"/>
                <w:i w:val="0"/>
                <w:color w:val="000000"/>
                <w:sz w:val="19"/>
              </w:rPr>
              <w:t>巩固脱贫攻坚成果衔接乡村振兴</w:t>
            </w:r>
          </w:p>
        </w:tc>
        <w:tc>
          <w:tcPr>
            <w:tcW w:w="1600" w:type="dxa"/>
            <w:vAlign w:val="center"/>
          </w:tcPr>
          <w:p>
            <w:pPr>
              <w:jc w:val="right"/>
            </w:pPr>
            <w:r>
              <w:rPr>
                <w:rFonts w:ascii="宋体" w:hAnsi="宋体" w:eastAsia="宋体" w:cs="宋体"/>
                <w:b w:val="0"/>
                <w:i w:val="0"/>
                <w:color w:val="000000"/>
                <w:sz w:val="19"/>
              </w:rPr>
              <w:t>3.40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3.40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2130501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0.90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0.90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40.21</w:t>
            </w:r>
          </w:p>
        </w:tc>
        <w:tc>
          <w:tcPr>
            <w:tcW w:w="1600" w:type="dxa"/>
            <w:vAlign w:val="center"/>
          </w:tcPr>
          <w:p>
            <w:pPr>
              <w:jc w:val="right"/>
            </w:pPr>
            <w:r>
              <w:rPr>
                <w:rFonts w:ascii="宋体" w:hAnsi="宋体" w:eastAsia="宋体" w:cs="宋体"/>
                <w:b w:val="0"/>
                <w:i w:val="0"/>
                <w:color w:val="000000"/>
                <w:sz w:val="19"/>
              </w:rPr>
              <w:t>40.21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40.21</w:t>
            </w:r>
          </w:p>
        </w:tc>
        <w:tc>
          <w:tcPr>
            <w:tcW w:w="1600" w:type="dxa"/>
            <w:vAlign w:val="center"/>
          </w:tcPr>
          <w:p>
            <w:pPr>
              <w:jc w:val="right"/>
            </w:pPr>
            <w:r>
              <w:rPr>
                <w:rFonts w:ascii="宋体" w:hAnsi="宋体" w:eastAsia="宋体" w:cs="宋体"/>
                <w:b w:val="0"/>
                <w:i w:val="0"/>
                <w:color w:val="000000"/>
                <w:sz w:val="19"/>
              </w:rPr>
              <w:t>40.21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40.21</w:t>
            </w:r>
          </w:p>
        </w:tc>
        <w:tc>
          <w:tcPr>
            <w:tcW w:w="1600" w:type="dxa"/>
            <w:vAlign w:val="center"/>
          </w:tcPr>
          <w:p>
            <w:pPr>
              <w:jc w:val="right"/>
            </w:pPr>
            <w:r>
              <w:rPr>
                <w:rFonts w:ascii="宋体" w:hAnsi="宋体" w:eastAsia="宋体" w:cs="宋体"/>
                <w:b w:val="0"/>
                <w:i w:val="0"/>
                <w:color w:val="000000"/>
                <w:sz w:val="19"/>
              </w:rPr>
              <w:t>40.21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229</w:t>
            </w:r>
          </w:p>
        </w:tc>
        <w:tc>
          <w:tcPr>
            <w:tcW w:w="3480" w:type="dxa"/>
            <w:vAlign w:val="center"/>
          </w:tcPr>
          <w:p>
            <w:pPr>
              <w:jc w:val="left"/>
            </w:pPr>
            <w:r>
              <w:rPr>
                <w:rFonts w:ascii="宋体" w:hAnsi="宋体" w:eastAsia="宋体" w:cs="宋体"/>
                <w:b w:val="0"/>
                <w:i w:val="0"/>
                <w:color w:val="000000"/>
                <w:sz w:val="19"/>
              </w:rPr>
              <w:t>其他支出</w:t>
            </w:r>
          </w:p>
        </w:tc>
        <w:tc>
          <w:tcPr>
            <w:tcW w:w="1600" w:type="dxa"/>
            <w:vAlign w:val="center"/>
          </w:tcPr>
          <w:p>
            <w:pPr>
              <w:jc w:val="right"/>
            </w:pPr>
            <w:r>
              <w:rPr>
                <w:rFonts w:ascii="宋体" w:hAnsi="宋体" w:eastAsia="宋体" w:cs="宋体"/>
                <w:b w:val="0"/>
                <w:i w:val="0"/>
                <w:color w:val="000000"/>
                <w:sz w:val="19"/>
              </w:rPr>
              <w:t>100.98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100.98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22960</w:t>
            </w:r>
          </w:p>
        </w:tc>
        <w:tc>
          <w:tcPr>
            <w:tcW w:w="3480" w:type="dxa"/>
            <w:vAlign w:val="center"/>
          </w:tcPr>
          <w:p>
            <w:pPr>
              <w:jc w:val="left"/>
            </w:pPr>
            <w:r>
              <w:rPr>
                <w:rFonts w:ascii="宋体" w:hAnsi="宋体" w:eastAsia="宋体" w:cs="宋体"/>
                <w:b w:val="0"/>
                <w:i w:val="0"/>
                <w:color w:val="000000"/>
                <w:sz w:val="19"/>
              </w:rPr>
              <w:t>彩票公益金安排的支出</w:t>
            </w:r>
          </w:p>
        </w:tc>
        <w:tc>
          <w:tcPr>
            <w:tcW w:w="1600" w:type="dxa"/>
            <w:vAlign w:val="center"/>
          </w:tcPr>
          <w:p>
            <w:pPr>
              <w:jc w:val="right"/>
            </w:pPr>
            <w:r>
              <w:rPr>
                <w:rFonts w:ascii="宋体" w:hAnsi="宋体" w:eastAsia="宋体" w:cs="宋体"/>
                <w:b w:val="0"/>
                <w:i w:val="0"/>
                <w:color w:val="000000"/>
                <w:sz w:val="19"/>
              </w:rPr>
              <w:t>100.98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100.98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2296002</w:t>
            </w:r>
          </w:p>
        </w:tc>
        <w:tc>
          <w:tcPr>
            <w:tcW w:w="3480" w:type="dxa"/>
            <w:vAlign w:val="center"/>
          </w:tcPr>
          <w:p>
            <w:pPr>
              <w:jc w:val="left"/>
            </w:pPr>
            <w:r>
              <w:rPr>
                <w:rFonts w:ascii="宋体" w:hAnsi="宋体" w:eastAsia="宋体" w:cs="宋体"/>
                <w:b w:val="0"/>
                <w:i w:val="0"/>
                <w:color w:val="000000"/>
                <w:sz w:val="19"/>
              </w:rPr>
              <w:t>用于社会福利的彩票公益金支出</w:t>
            </w:r>
          </w:p>
        </w:tc>
        <w:tc>
          <w:tcPr>
            <w:tcW w:w="1600" w:type="dxa"/>
            <w:vAlign w:val="center"/>
          </w:tcPr>
          <w:p>
            <w:pPr>
              <w:jc w:val="right"/>
            </w:pPr>
            <w:r>
              <w:rPr>
                <w:rFonts w:ascii="宋体" w:hAnsi="宋体" w:eastAsia="宋体" w:cs="宋体"/>
                <w:b w:val="0"/>
                <w:i w:val="0"/>
                <w:color w:val="000000"/>
                <w:sz w:val="19"/>
              </w:rPr>
              <w:t>100.98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100.98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单位：许昌市民政局（本级）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1,336.75</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42.75</w:t>
            </w:r>
          </w:p>
        </w:tc>
        <w:tc>
          <w:tcPr>
            <w:tcW w:w="1420" w:type="dxa"/>
            <w:vAlign w:val="center"/>
          </w:tcPr>
          <w:p>
            <w:pPr>
              <w:jc w:val="right"/>
            </w:pPr>
            <w:r>
              <w:rPr>
                <w:rFonts w:ascii="宋体" w:hAnsi="宋体" w:eastAsia="宋体" w:cs="宋体"/>
                <w:b w:val="0"/>
                <w:i w:val="0"/>
                <w:color w:val="000000"/>
                <w:sz w:val="18"/>
              </w:rPr>
              <w:t>42.75</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100.98</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1,264.20</w:t>
            </w:r>
          </w:p>
        </w:tc>
        <w:tc>
          <w:tcPr>
            <w:tcW w:w="1420" w:type="dxa"/>
            <w:vAlign w:val="center"/>
          </w:tcPr>
          <w:p>
            <w:pPr>
              <w:jc w:val="right"/>
            </w:pPr>
            <w:r>
              <w:rPr>
                <w:rFonts w:ascii="宋体" w:hAnsi="宋体" w:eastAsia="宋体" w:cs="宋体"/>
                <w:b w:val="0"/>
                <w:i w:val="0"/>
                <w:color w:val="000000"/>
                <w:sz w:val="18"/>
              </w:rPr>
              <w:t>1,264.20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48.85</w:t>
            </w:r>
          </w:p>
        </w:tc>
        <w:tc>
          <w:tcPr>
            <w:tcW w:w="1420" w:type="dxa"/>
            <w:vAlign w:val="center"/>
          </w:tcPr>
          <w:p>
            <w:pPr>
              <w:jc w:val="right"/>
            </w:pPr>
            <w:r>
              <w:rPr>
                <w:rFonts w:ascii="宋体" w:hAnsi="宋体" w:eastAsia="宋体" w:cs="宋体"/>
                <w:b w:val="0"/>
                <w:i w:val="0"/>
                <w:color w:val="000000"/>
                <w:sz w:val="18"/>
              </w:rPr>
              <w:t>48.85</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3.40</w:t>
            </w:r>
          </w:p>
        </w:tc>
        <w:tc>
          <w:tcPr>
            <w:tcW w:w="1420" w:type="dxa"/>
            <w:vAlign w:val="center"/>
          </w:tcPr>
          <w:p>
            <w:pPr>
              <w:jc w:val="right"/>
            </w:pPr>
            <w:r>
              <w:rPr>
                <w:rFonts w:ascii="宋体" w:hAnsi="宋体" w:eastAsia="宋体" w:cs="宋体"/>
                <w:b w:val="0"/>
                <w:i w:val="0"/>
                <w:color w:val="000000"/>
                <w:sz w:val="18"/>
              </w:rPr>
              <w:t>3.40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40.21</w:t>
            </w:r>
          </w:p>
        </w:tc>
        <w:tc>
          <w:tcPr>
            <w:tcW w:w="1420" w:type="dxa"/>
            <w:vAlign w:val="center"/>
          </w:tcPr>
          <w:p>
            <w:pPr>
              <w:jc w:val="right"/>
            </w:pPr>
            <w:r>
              <w:rPr>
                <w:rFonts w:ascii="宋体" w:hAnsi="宋体" w:eastAsia="宋体" w:cs="宋体"/>
                <w:b w:val="0"/>
                <w:i w:val="0"/>
                <w:color w:val="000000"/>
                <w:sz w:val="18"/>
              </w:rPr>
              <w:t>40.21</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100.98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100.98</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1,437.73</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1,500.40</w:t>
            </w:r>
          </w:p>
        </w:tc>
        <w:tc>
          <w:tcPr>
            <w:tcW w:w="1420" w:type="dxa"/>
            <w:vAlign w:val="center"/>
          </w:tcPr>
          <w:p>
            <w:pPr>
              <w:jc w:val="right"/>
            </w:pPr>
            <w:r>
              <w:rPr>
                <w:rFonts w:ascii="宋体" w:hAnsi="宋体" w:eastAsia="宋体" w:cs="宋体"/>
                <w:b w:val="0"/>
                <w:i w:val="0"/>
                <w:color w:val="000000"/>
                <w:sz w:val="18"/>
              </w:rPr>
              <w:t>1,399.42</w:t>
            </w:r>
          </w:p>
        </w:tc>
        <w:tc>
          <w:tcPr>
            <w:tcW w:w="1420" w:type="dxa"/>
            <w:vAlign w:val="center"/>
          </w:tcPr>
          <w:p>
            <w:pPr>
              <w:jc w:val="right"/>
            </w:pPr>
            <w:r>
              <w:rPr>
                <w:rFonts w:ascii="宋体" w:hAnsi="宋体" w:eastAsia="宋体" w:cs="宋体"/>
                <w:b w:val="0"/>
                <w:i w:val="0"/>
                <w:color w:val="000000"/>
                <w:sz w:val="18"/>
              </w:rPr>
              <w:t>100.98</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62.67</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62.67</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1,500.40</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1,500.40</w:t>
            </w:r>
          </w:p>
        </w:tc>
        <w:tc>
          <w:tcPr>
            <w:tcW w:w="1420" w:type="dxa"/>
            <w:vAlign w:val="center"/>
          </w:tcPr>
          <w:p>
            <w:pPr>
              <w:jc w:val="right"/>
            </w:pPr>
            <w:r>
              <w:rPr>
                <w:rFonts w:ascii="宋体" w:hAnsi="宋体" w:eastAsia="宋体" w:cs="宋体"/>
                <w:b w:val="0"/>
                <w:i w:val="0"/>
                <w:color w:val="000000"/>
                <w:sz w:val="18"/>
              </w:rPr>
              <w:t>1,399.42</w:t>
            </w:r>
          </w:p>
        </w:tc>
        <w:tc>
          <w:tcPr>
            <w:tcW w:w="1420" w:type="dxa"/>
            <w:vAlign w:val="center"/>
          </w:tcPr>
          <w:p>
            <w:pPr>
              <w:jc w:val="right"/>
            </w:pPr>
            <w:r>
              <w:rPr>
                <w:rFonts w:ascii="宋体" w:hAnsi="宋体" w:eastAsia="宋体" w:cs="宋体"/>
                <w:b w:val="0"/>
                <w:i w:val="0"/>
                <w:color w:val="000000"/>
                <w:sz w:val="18"/>
              </w:rPr>
              <w:t>100.98</w:t>
            </w:r>
          </w:p>
        </w:tc>
        <w:tc>
          <w:tcPr>
            <w:tcW w:w="1478" w:type="dxa"/>
            <w:vAlign w:val="center"/>
          </w:tcPr>
          <w:p>
            <w:pPr>
              <w:jc w:val="right"/>
            </w:pPr>
            <w:r>
              <w:rPr>
                <w:rFonts w:ascii="宋体" w:hAnsi="宋体" w:eastAsia="宋体" w:cs="宋体"/>
                <w:b w:val="0"/>
                <w:i w:val="0"/>
                <w:color w:val="000000"/>
                <w:sz w:val="18"/>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单位：许昌市民政局（本级）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1,399.42</w:t>
            </w:r>
          </w:p>
        </w:tc>
        <w:tc>
          <w:tcPr>
            <w:tcW w:w="2700" w:type="dxa"/>
            <w:vAlign w:val="center"/>
          </w:tcPr>
          <w:p>
            <w:pPr>
              <w:jc w:val="right"/>
            </w:pPr>
            <w:r>
              <w:rPr>
                <w:rFonts w:ascii="宋体" w:hAnsi="宋体" w:eastAsia="宋体" w:cs="宋体"/>
                <w:b/>
                <w:i w:val="0"/>
                <w:color w:val="000000"/>
                <w:sz w:val="25"/>
              </w:rPr>
              <w:t>1,130.44</w:t>
            </w:r>
          </w:p>
        </w:tc>
        <w:tc>
          <w:tcPr>
            <w:tcW w:w="2658" w:type="dxa"/>
            <w:vAlign w:val="center"/>
          </w:tcPr>
          <w:p>
            <w:pPr>
              <w:jc w:val="right"/>
            </w:pPr>
            <w:r>
              <w:rPr>
                <w:rFonts w:ascii="宋体" w:hAnsi="宋体" w:eastAsia="宋体" w:cs="宋体"/>
                <w:b/>
                <w:i w:val="0"/>
                <w:color w:val="000000"/>
                <w:sz w:val="25"/>
              </w:rPr>
              <w:t>268.98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42.75</w:t>
            </w:r>
          </w:p>
        </w:tc>
        <w:tc>
          <w:tcPr>
            <w:tcW w:w="2700" w:type="dxa"/>
            <w:vAlign w:val="center"/>
          </w:tcPr>
          <w:p>
            <w:pPr>
              <w:jc w:val="right"/>
            </w:pPr>
            <w:r>
              <w:rPr>
                <w:rFonts w:ascii="宋体" w:hAnsi="宋体" w:eastAsia="宋体" w:cs="宋体"/>
                <w:b w:val="0"/>
                <w:i w:val="0"/>
                <w:color w:val="000000"/>
                <w:sz w:val="25"/>
              </w:rPr>
              <w:t>42.75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3.60</w:t>
            </w:r>
          </w:p>
        </w:tc>
        <w:tc>
          <w:tcPr>
            <w:tcW w:w="2700" w:type="dxa"/>
            <w:vAlign w:val="center"/>
          </w:tcPr>
          <w:p>
            <w:pPr>
              <w:jc w:val="right"/>
            </w:pPr>
            <w:r>
              <w:rPr>
                <w:rFonts w:ascii="宋体" w:hAnsi="宋体" w:eastAsia="宋体" w:cs="宋体"/>
                <w:b w:val="0"/>
                <w:i w:val="0"/>
                <w:color w:val="000000"/>
                <w:sz w:val="25"/>
              </w:rPr>
              <w:t>3.60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3.60</w:t>
            </w:r>
          </w:p>
        </w:tc>
        <w:tc>
          <w:tcPr>
            <w:tcW w:w="2700" w:type="dxa"/>
            <w:vAlign w:val="center"/>
          </w:tcPr>
          <w:p>
            <w:pPr>
              <w:jc w:val="right"/>
            </w:pPr>
            <w:r>
              <w:rPr>
                <w:rFonts w:ascii="宋体" w:hAnsi="宋体" w:eastAsia="宋体" w:cs="宋体"/>
                <w:b w:val="0"/>
                <w:i w:val="0"/>
                <w:color w:val="000000"/>
                <w:sz w:val="25"/>
              </w:rPr>
              <w:t>3.60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39.15</w:t>
            </w:r>
          </w:p>
        </w:tc>
        <w:tc>
          <w:tcPr>
            <w:tcW w:w="2700" w:type="dxa"/>
            <w:vAlign w:val="center"/>
          </w:tcPr>
          <w:p>
            <w:pPr>
              <w:jc w:val="right"/>
            </w:pPr>
            <w:r>
              <w:rPr>
                <w:rFonts w:ascii="宋体" w:hAnsi="宋体" w:eastAsia="宋体" w:cs="宋体"/>
                <w:b w:val="0"/>
                <w:i w:val="0"/>
                <w:color w:val="000000"/>
                <w:sz w:val="25"/>
              </w:rPr>
              <w:t>39.15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39.15</w:t>
            </w:r>
          </w:p>
        </w:tc>
        <w:tc>
          <w:tcPr>
            <w:tcW w:w="2700" w:type="dxa"/>
            <w:vAlign w:val="center"/>
          </w:tcPr>
          <w:p>
            <w:pPr>
              <w:jc w:val="right"/>
            </w:pPr>
            <w:r>
              <w:rPr>
                <w:rFonts w:ascii="宋体" w:hAnsi="宋体" w:eastAsia="宋体" w:cs="宋体"/>
                <w:b w:val="0"/>
                <w:i w:val="0"/>
                <w:color w:val="000000"/>
                <w:sz w:val="25"/>
              </w:rPr>
              <w:t>39.15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1,264.21</w:t>
            </w:r>
          </w:p>
        </w:tc>
        <w:tc>
          <w:tcPr>
            <w:tcW w:w="2700" w:type="dxa"/>
            <w:vAlign w:val="center"/>
          </w:tcPr>
          <w:p>
            <w:pPr>
              <w:jc w:val="right"/>
            </w:pPr>
            <w:r>
              <w:rPr>
                <w:rFonts w:ascii="宋体" w:hAnsi="宋体" w:eastAsia="宋体" w:cs="宋体"/>
                <w:b w:val="0"/>
                <w:i w:val="0"/>
                <w:color w:val="000000"/>
                <w:sz w:val="25"/>
              </w:rPr>
              <w:t>1,002.91</w:t>
            </w:r>
          </w:p>
        </w:tc>
        <w:tc>
          <w:tcPr>
            <w:tcW w:w="2658" w:type="dxa"/>
            <w:vAlign w:val="center"/>
          </w:tcPr>
          <w:p>
            <w:pPr>
              <w:jc w:val="right"/>
            </w:pPr>
            <w:r>
              <w:rPr>
                <w:rFonts w:ascii="宋体" w:hAnsi="宋体" w:eastAsia="宋体" w:cs="宋体"/>
                <w:b w:val="0"/>
                <w:i w:val="0"/>
                <w:color w:val="000000"/>
                <w:sz w:val="25"/>
              </w:rPr>
              <w:t>261.30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20802</w:t>
            </w:r>
          </w:p>
        </w:tc>
        <w:tc>
          <w:tcPr>
            <w:tcW w:w="4700" w:type="dxa"/>
            <w:vAlign w:val="center"/>
          </w:tcPr>
          <w:p>
            <w:pPr>
              <w:jc w:val="left"/>
            </w:pPr>
            <w:r>
              <w:rPr>
                <w:rFonts w:ascii="宋体" w:hAnsi="宋体" w:eastAsia="宋体" w:cs="宋体"/>
                <w:b w:val="0"/>
                <w:i w:val="0"/>
                <w:color w:val="000000"/>
                <w:sz w:val="25"/>
              </w:rPr>
              <w:t>民政管理事务</w:t>
            </w:r>
          </w:p>
        </w:tc>
        <w:tc>
          <w:tcPr>
            <w:tcW w:w="2700" w:type="dxa"/>
            <w:vAlign w:val="center"/>
          </w:tcPr>
          <w:p>
            <w:pPr>
              <w:jc w:val="right"/>
            </w:pPr>
            <w:r>
              <w:rPr>
                <w:rFonts w:ascii="宋体" w:hAnsi="宋体" w:eastAsia="宋体" w:cs="宋体"/>
                <w:b w:val="0"/>
                <w:i w:val="0"/>
                <w:color w:val="000000"/>
                <w:sz w:val="25"/>
              </w:rPr>
              <w:t>989.55</w:t>
            </w:r>
          </w:p>
        </w:tc>
        <w:tc>
          <w:tcPr>
            <w:tcW w:w="2700" w:type="dxa"/>
            <w:vAlign w:val="center"/>
          </w:tcPr>
          <w:p>
            <w:pPr>
              <w:jc w:val="right"/>
            </w:pPr>
            <w:r>
              <w:rPr>
                <w:rFonts w:ascii="宋体" w:hAnsi="宋体" w:eastAsia="宋体" w:cs="宋体"/>
                <w:b w:val="0"/>
                <w:i w:val="0"/>
                <w:color w:val="000000"/>
                <w:sz w:val="25"/>
              </w:rPr>
              <w:t>728.25</w:t>
            </w:r>
          </w:p>
        </w:tc>
        <w:tc>
          <w:tcPr>
            <w:tcW w:w="2658" w:type="dxa"/>
            <w:vAlign w:val="center"/>
          </w:tcPr>
          <w:p>
            <w:pPr>
              <w:jc w:val="right"/>
            </w:pPr>
            <w:r>
              <w:rPr>
                <w:rFonts w:ascii="宋体" w:hAnsi="宋体" w:eastAsia="宋体" w:cs="宋体"/>
                <w:b w:val="0"/>
                <w:i w:val="0"/>
                <w:color w:val="000000"/>
                <w:sz w:val="25"/>
              </w:rPr>
              <w:t>261.30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2080201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728.25</w:t>
            </w:r>
          </w:p>
        </w:tc>
        <w:tc>
          <w:tcPr>
            <w:tcW w:w="2700" w:type="dxa"/>
            <w:vAlign w:val="center"/>
          </w:tcPr>
          <w:p>
            <w:pPr>
              <w:jc w:val="right"/>
            </w:pPr>
            <w:r>
              <w:rPr>
                <w:rFonts w:ascii="宋体" w:hAnsi="宋体" w:eastAsia="宋体" w:cs="宋体"/>
                <w:b w:val="0"/>
                <w:i w:val="0"/>
                <w:color w:val="000000"/>
                <w:sz w:val="25"/>
              </w:rPr>
              <w:t>728.25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2080202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261.30</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261.30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274.66</w:t>
            </w:r>
          </w:p>
        </w:tc>
        <w:tc>
          <w:tcPr>
            <w:tcW w:w="2700" w:type="dxa"/>
            <w:vAlign w:val="center"/>
          </w:tcPr>
          <w:p>
            <w:pPr>
              <w:jc w:val="right"/>
            </w:pPr>
            <w:r>
              <w:rPr>
                <w:rFonts w:ascii="宋体" w:hAnsi="宋体" w:eastAsia="宋体" w:cs="宋体"/>
                <w:b w:val="0"/>
                <w:i w:val="0"/>
                <w:color w:val="000000"/>
                <w:sz w:val="25"/>
              </w:rPr>
              <w:t>274.66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2080501</w:t>
            </w:r>
          </w:p>
        </w:tc>
        <w:tc>
          <w:tcPr>
            <w:tcW w:w="4700" w:type="dxa"/>
            <w:vAlign w:val="center"/>
          </w:tcPr>
          <w:p>
            <w:pPr>
              <w:jc w:val="left"/>
            </w:pPr>
            <w:r>
              <w:rPr>
                <w:rFonts w:ascii="宋体" w:hAnsi="宋体" w:eastAsia="宋体" w:cs="宋体"/>
                <w:b w:val="0"/>
                <w:i w:val="0"/>
                <w:color w:val="000000"/>
                <w:sz w:val="25"/>
              </w:rPr>
              <w:t>行政单位离退休</w:t>
            </w:r>
          </w:p>
        </w:tc>
        <w:tc>
          <w:tcPr>
            <w:tcW w:w="2700" w:type="dxa"/>
            <w:vAlign w:val="center"/>
          </w:tcPr>
          <w:p>
            <w:pPr>
              <w:jc w:val="right"/>
            </w:pPr>
            <w:r>
              <w:rPr>
                <w:rFonts w:ascii="宋体" w:hAnsi="宋体" w:eastAsia="宋体" w:cs="宋体"/>
                <w:b w:val="0"/>
                <w:i w:val="0"/>
                <w:color w:val="000000"/>
                <w:sz w:val="25"/>
              </w:rPr>
              <w:t>233.03</w:t>
            </w:r>
          </w:p>
        </w:tc>
        <w:tc>
          <w:tcPr>
            <w:tcW w:w="2700" w:type="dxa"/>
            <w:vAlign w:val="center"/>
          </w:tcPr>
          <w:p>
            <w:pPr>
              <w:jc w:val="right"/>
            </w:pPr>
            <w:r>
              <w:rPr>
                <w:rFonts w:ascii="宋体" w:hAnsi="宋体" w:eastAsia="宋体" w:cs="宋体"/>
                <w:b w:val="0"/>
                <w:i w:val="0"/>
                <w:color w:val="000000"/>
                <w:sz w:val="25"/>
              </w:rPr>
              <w:t>233.03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41.63</w:t>
            </w:r>
          </w:p>
        </w:tc>
        <w:tc>
          <w:tcPr>
            <w:tcW w:w="2700" w:type="dxa"/>
            <w:vAlign w:val="center"/>
          </w:tcPr>
          <w:p>
            <w:pPr>
              <w:jc w:val="right"/>
            </w:pPr>
            <w:r>
              <w:rPr>
                <w:rFonts w:ascii="宋体" w:hAnsi="宋体" w:eastAsia="宋体" w:cs="宋体"/>
                <w:b w:val="0"/>
                <w:i w:val="0"/>
                <w:color w:val="000000"/>
                <w:sz w:val="25"/>
              </w:rPr>
              <w:t>41.63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48.86</w:t>
            </w:r>
          </w:p>
        </w:tc>
        <w:tc>
          <w:tcPr>
            <w:tcW w:w="2700" w:type="dxa"/>
            <w:vAlign w:val="center"/>
          </w:tcPr>
          <w:p>
            <w:pPr>
              <w:jc w:val="right"/>
            </w:pPr>
            <w:r>
              <w:rPr>
                <w:rFonts w:ascii="宋体" w:hAnsi="宋体" w:eastAsia="宋体" w:cs="宋体"/>
                <w:b w:val="0"/>
                <w:i w:val="0"/>
                <w:color w:val="000000"/>
                <w:sz w:val="25"/>
              </w:rPr>
              <w:t>44.57</w:t>
            </w:r>
          </w:p>
        </w:tc>
        <w:tc>
          <w:tcPr>
            <w:tcW w:w="2658" w:type="dxa"/>
            <w:vAlign w:val="center"/>
          </w:tcPr>
          <w:p>
            <w:pPr>
              <w:jc w:val="right"/>
            </w:pPr>
            <w:r>
              <w:rPr>
                <w:rFonts w:ascii="宋体" w:hAnsi="宋体" w:eastAsia="宋体" w:cs="宋体"/>
                <w:b w:val="0"/>
                <w:i w:val="0"/>
                <w:color w:val="000000"/>
                <w:sz w:val="25"/>
              </w:rPr>
              <w:t>4.28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48.86</w:t>
            </w:r>
          </w:p>
        </w:tc>
        <w:tc>
          <w:tcPr>
            <w:tcW w:w="2700" w:type="dxa"/>
            <w:vAlign w:val="center"/>
          </w:tcPr>
          <w:p>
            <w:pPr>
              <w:jc w:val="right"/>
            </w:pPr>
            <w:r>
              <w:rPr>
                <w:rFonts w:ascii="宋体" w:hAnsi="宋体" w:eastAsia="宋体" w:cs="宋体"/>
                <w:b w:val="0"/>
                <w:i w:val="0"/>
                <w:color w:val="000000"/>
                <w:sz w:val="25"/>
              </w:rPr>
              <w:t>44.57</w:t>
            </w:r>
          </w:p>
        </w:tc>
        <w:tc>
          <w:tcPr>
            <w:tcW w:w="2658" w:type="dxa"/>
            <w:vAlign w:val="center"/>
          </w:tcPr>
          <w:p>
            <w:pPr>
              <w:jc w:val="right"/>
            </w:pPr>
            <w:r>
              <w:rPr>
                <w:rFonts w:ascii="宋体" w:hAnsi="宋体" w:eastAsia="宋体" w:cs="宋体"/>
                <w:b w:val="0"/>
                <w:i w:val="0"/>
                <w:color w:val="000000"/>
                <w:sz w:val="25"/>
              </w:rPr>
              <w:t>4.28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25.40</w:t>
            </w:r>
          </w:p>
        </w:tc>
        <w:tc>
          <w:tcPr>
            <w:tcW w:w="2700" w:type="dxa"/>
            <w:vAlign w:val="center"/>
          </w:tcPr>
          <w:p>
            <w:pPr>
              <w:jc w:val="right"/>
            </w:pPr>
            <w:r>
              <w:rPr>
                <w:rFonts w:ascii="宋体" w:hAnsi="宋体" w:eastAsia="宋体" w:cs="宋体"/>
                <w:b w:val="0"/>
                <w:i w:val="0"/>
                <w:color w:val="000000"/>
                <w:sz w:val="25"/>
              </w:rPr>
              <w:t>21.11</w:t>
            </w:r>
          </w:p>
        </w:tc>
        <w:tc>
          <w:tcPr>
            <w:tcW w:w="2658" w:type="dxa"/>
            <w:vAlign w:val="center"/>
          </w:tcPr>
          <w:p>
            <w:pPr>
              <w:jc w:val="right"/>
            </w:pPr>
            <w:r>
              <w:rPr>
                <w:rFonts w:ascii="宋体" w:hAnsi="宋体" w:eastAsia="宋体" w:cs="宋体"/>
                <w:b w:val="0"/>
                <w:i w:val="0"/>
                <w:color w:val="000000"/>
                <w:sz w:val="25"/>
              </w:rPr>
              <w:t>4.28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23.46</w:t>
            </w:r>
          </w:p>
        </w:tc>
        <w:tc>
          <w:tcPr>
            <w:tcW w:w="2700" w:type="dxa"/>
            <w:vAlign w:val="center"/>
          </w:tcPr>
          <w:p>
            <w:pPr>
              <w:jc w:val="right"/>
            </w:pPr>
            <w:r>
              <w:rPr>
                <w:rFonts w:ascii="宋体" w:hAnsi="宋体" w:eastAsia="宋体" w:cs="宋体"/>
                <w:b w:val="0"/>
                <w:i w:val="0"/>
                <w:color w:val="000000"/>
                <w:sz w:val="25"/>
              </w:rPr>
              <w:t>23.46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w:t>
            </w:r>
          </w:p>
        </w:tc>
        <w:tc>
          <w:tcPr>
            <w:tcW w:w="4700" w:type="dxa"/>
            <w:vAlign w:val="center"/>
          </w:tcPr>
          <w:p>
            <w:pPr>
              <w:jc w:val="left"/>
            </w:pPr>
            <w:r>
              <w:rPr>
                <w:rFonts w:ascii="宋体" w:hAnsi="宋体" w:eastAsia="宋体" w:cs="宋体"/>
                <w:b w:val="0"/>
                <w:i w:val="0"/>
                <w:color w:val="000000"/>
                <w:sz w:val="25"/>
              </w:rPr>
              <w:t>农林水支出</w:t>
            </w:r>
          </w:p>
        </w:tc>
        <w:tc>
          <w:tcPr>
            <w:tcW w:w="2700" w:type="dxa"/>
            <w:vAlign w:val="center"/>
          </w:tcPr>
          <w:p>
            <w:pPr>
              <w:jc w:val="right"/>
            </w:pPr>
            <w:r>
              <w:rPr>
                <w:rFonts w:ascii="宋体" w:hAnsi="宋体" w:eastAsia="宋体" w:cs="宋体"/>
                <w:b w:val="0"/>
                <w:i w:val="0"/>
                <w:color w:val="000000"/>
                <w:sz w:val="25"/>
              </w:rPr>
              <w:t>3.40</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3.40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21305</w:t>
            </w:r>
          </w:p>
        </w:tc>
        <w:tc>
          <w:tcPr>
            <w:tcW w:w="4700" w:type="dxa"/>
            <w:vAlign w:val="center"/>
          </w:tcPr>
          <w:p>
            <w:pPr>
              <w:jc w:val="left"/>
            </w:pPr>
            <w:r>
              <w:rPr>
                <w:rFonts w:ascii="宋体" w:hAnsi="宋体" w:eastAsia="宋体" w:cs="宋体"/>
                <w:b w:val="0"/>
                <w:i w:val="0"/>
                <w:color w:val="000000"/>
                <w:sz w:val="25"/>
              </w:rPr>
              <w:t>巩固脱贫攻坚成果衔接乡村振兴</w:t>
            </w:r>
          </w:p>
        </w:tc>
        <w:tc>
          <w:tcPr>
            <w:tcW w:w="2700" w:type="dxa"/>
            <w:vAlign w:val="center"/>
          </w:tcPr>
          <w:p>
            <w:pPr>
              <w:jc w:val="right"/>
            </w:pPr>
            <w:r>
              <w:rPr>
                <w:rFonts w:ascii="宋体" w:hAnsi="宋体" w:eastAsia="宋体" w:cs="宋体"/>
                <w:b w:val="0"/>
                <w:i w:val="0"/>
                <w:color w:val="000000"/>
                <w:sz w:val="25"/>
              </w:rPr>
              <w:t>3.40</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3.40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2130501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0.90</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0.90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2.50</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40.21</w:t>
            </w:r>
          </w:p>
        </w:tc>
        <w:tc>
          <w:tcPr>
            <w:tcW w:w="2700" w:type="dxa"/>
            <w:vAlign w:val="center"/>
          </w:tcPr>
          <w:p>
            <w:pPr>
              <w:jc w:val="right"/>
            </w:pPr>
            <w:r>
              <w:rPr>
                <w:rFonts w:ascii="宋体" w:hAnsi="宋体" w:eastAsia="宋体" w:cs="宋体"/>
                <w:b w:val="0"/>
                <w:i w:val="0"/>
                <w:color w:val="000000"/>
                <w:sz w:val="25"/>
              </w:rPr>
              <w:t>40.21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40.21</w:t>
            </w:r>
          </w:p>
        </w:tc>
        <w:tc>
          <w:tcPr>
            <w:tcW w:w="2700" w:type="dxa"/>
            <w:vAlign w:val="center"/>
          </w:tcPr>
          <w:p>
            <w:pPr>
              <w:jc w:val="right"/>
            </w:pPr>
            <w:r>
              <w:rPr>
                <w:rFonts w:ascii="宋体" w:hAnsi="宋体" w:eastAsia="宋体" w:cs="宋体"/>
                <w:b w:val="0"/>
                <w:i w:val="0"/>
                <w:color w:val="000000"/>
                <w:sz w:val="25"/>
              </w:rPr>
              <w:t>40.21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40.21</w:t>
            </w:r>
          </w:p>
        </w:tc>
        <w:tc>
          <w:tcPr>
            <w:tcW w:w="2700" w:type="dxa"/>
            <w:vAlign w:val="center"/>
          </w:tcPr>
          <w:p>
            <w:pPr>
              <w:jc w:val="right"/>
            </w:pPr>
            <w:r>
              <w:rPr>
                <w:rFonts w:ascii="宋体" w:hAnsi="宋体" w:eastAsia="宋体" w:cs="宋体"/>
                <w:b w:val="0"/>
                <w:i w:val="0"/>
                <w:color w:val="000000"/>
                <w:sz w:val="25"/>
              </w:rPr>
              <w:t>40.21</w:t>
            </w:r>
          </w:p>
        </w:tc>
        <w:tc>
          <w:tcPr>
            <w:tcW w:w="2658" w:type="dxa"/>
            <w:vAlign w:val="center"/>
          </w:tcPr>
          <w:p>
            <w:pPr>
              <w:jc w:val="right"/>
            </w:pPr>
            <w:r>
              <w:rPr>
                <w:rFonts w:ascii="宋体" w:hAnsi="宋体" w:eastAsia="宋体" w:cs="宋体"/>
                <w:b w:val="0"/>
                <w:i w:val="0"/>
                <w:color w:val="000000"/>
                <w:sz w:val="25"/>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单位：许昌市民政局（本级）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743.88</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104.50</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171.17</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23.74</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253.76</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4.45</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192.28</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1.27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1.27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41.63</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5.84</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21.11</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23.46</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0.26</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12.87</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40.21</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0.70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280.78</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23.83</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0.09</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209.53</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0.94</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3.36</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0.10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7.90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3.60</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0.17</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3.36</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1.22</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34.50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43.89</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5.18</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1,024.66</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105.78</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单位：许昌市民政局（本级）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pPr>
              <w:jc w:val="right"/>
            </w:pPr>
            <w:r>
              <w:rPr>
                <w:rFonts w:ascii="宋体" w:hAnsi="宋体" w:eastAsia="宋体" w:cs="宋体"/>
                <w:b/>
                <w:i w:val="0"/>
                <w:color w:val="000000"/>
                <w:sz w:val="20"/>
              </w:rPr>
              <w:t>0.00</w:t>
            </w:r>
          </w:p>
        </w:tc>
        <w:tc>
          <w:tcPr>
            <w:tcW w:w="1560" w:type="dxa"/>
            <w:vAlign w:val="center"/>
          </w:tcPr>
          <w:p>
            <w:pPr>
              <w:jc w:val="right"/>
            </w:pPr>
            <w:r>
              <w:rPr>
                <w:rFonts w:ascii="宋体" w:hAnsi="宋体" w:eastAsia="宋体" w:cs="宋体"/>
                <w:b/>
                <w:i w:val="0"/>
                <w:color w:val="000000"/>
                <w:sz w:val="20"/>
              </w:rPr>
              <w:t>100.98</w:t>
            </w:r>
          </w:p>
        </w:tc>
        <w:tc>
          <w:tcPr>
            <w:tcW w:w="1560" w:type="dxa"/>
            <w:vAlign w:val="center"/>
          </w:tcPr>
          <w:p>
            <w:pPr>
              <w:jc w:val="right"/>
            </w:pPr>
            <w:r>
              <w:rPr>
                <w:rFonts w:ascii="宋体" w:hAnsi="宋体" w:eastAsia="宋体" w:cs="宋体"/>
                <w:b/>
                <w:i w:val="0"/>
                <w:color w:val="000000"/>
                <w:sz w:val="20"/>
              </w:rPr>
              <w:t>100.98</w:t>
            </w:r>
          </w:p>
        </w:tc>
        <w:tc>
          <w:tcPr>
            <w:tcW w:w="1560" w:type="dxa"/>
            <w:vAlign w:val="center"/>
          </w:tcPr>
          <w:p>
            <w:pPr>
              <w:jc w:val="right"/>
            </w:pPr>
            <w:r>
              <w:rPr>
                <w:rFonts w:ascii="宋体" w:hAnsi="宋体" w:eastAsia="宋体" w:cs="宋体"/>
                <w:b/>
                <w:i w:val="0"/>
                <w:color w:val="000000"/>
                <w:sz w:val="20"/>
              </w:rPr>
              <w:t>0.00</w:t>
            </w:r>
          </w:p>
        </w:tc>
        <w:tc>
          <w:tcPr>
            <w:tcW w:w="1560" w:type="dxa"/>
            <w:vAlign w:val="center"/>
          </w:tcPr>
          <w:p>
            <w:pPr>
              <w:jc w:val="right"/>
            </w:pPr>
            <w:r>
              <w:rPr>
                <w:rFonts w:ascii="宋体" w:hAnsi="宋体" w:eastAsia="宋体" w:cs="宋体"/>
                <w:b/>
                <w:i w:val="0"/>
                <w:color w:val="000000"/>
                <w:sz w:val="20"/>
              </w:rPr>
              <w:t>100.98</w:t>
            </w:r>
          </w:p>
        </w:tc>
        <w:tc>
          <w:tcPr>
            <w:tcW w:w="1598" w:type="dxa"/>
            <w:vAlign w:val="center"/>
          </w:tcPr>
          <w:p>
            <w:pPr>
              <w:jc w:val="right"/>
            </w:pPr>
            <w:r>
              <w:rPr>
                <w:rFonts w:ascii="宋体" w:hAnsi="宋体" w:eastAsia="宋体" w:cs="宋体"/>
                <w:b/>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pPr>
              <w:jc w:val="left"/>
            </w:pPr>
            <w:r>
              <w:rPr>
                <w:rFonts w:ascii="宋体" w:hAnsi="宋体" w:eastAsia="宋体" w:cs="宋体"/>
                <w:b w:val="0"/>
                <w:i w:val="0"/>
                <w:color w:val="000000"/>
                <w:sz w:val="20"/>
              </w:rPr>
              <w:t>229</w:t>
            </w:r>
          </w:p>
        </w:tc>
        <w:tc>
          <w:tcPr>
            <w:tcW w:w="3660" w:type="dxa"/>
            <w:vAlign w:val="center"/>
          </w:tcPr>
          <w:p>
            <w:pPr>
              <w:jc w:val="left"/>
            </w:pPr>
            <w:r>
              <w:rPr>
                <w:rFonts w:ascii="宋体" w:hAnsi="宋体" w:eastAsia="宋体" w:cs="宋体"/>
                <w:b w:val="0"/>
                <w:i w:val="0"/>
                <w:color w:val="000000"/>
                <w:sz w:val="20"/>
              </w:rPr>
              <w:t>其他支出</w:t>
            </w:r>
          </w:p>
        </w:tc>
        <w:tc>
          <w:tcPr>
            <w:tcW w:w="1560" w:type="dxa"/>
            <w:vAlign w:val="center"/>
          </w:tcPr>
          <w:p>
            <w:pPr>
              <w:jc w:val="right"/>
            </w:pPr>
            <w:r>
              <w:rPr>
                <w:rFonts w:ascii="宋体" w:hAnsi="宋体" w:eastAsia="宋体" w:cs="宋体"/>
                <w:b w:val="0"/>
                <w:i w:val="0"/>
                <w:color w:val="000000"/>
                <w:sz w:val="20"/>
              </w:rPr>
              <w:t>0.00</w:t>
            </w:r>
          </w:p>
        </w:tc>
        <w:tc>
          <w:tcPr>
            <w:tcW w:w="1560" w:type="dxa"/>
            <w:vAlign w:val="center"/>
          </w:tcPr>
          <w:p>
            <w:pPr>
              <w:jc w:val="right"/>
            </w:pPr>
            <w:r>
              <w:rPr>
                <w:rFonts w:ascii="宋体" w:hAnsi="宋体" w:eastAsia="宋体" w:cs="宋体"/>
                <w:b w:val="0"/>
                <w:i w:val="0"/>
                <w:color w:val="000000"/>
                <w:sz w:val="20"/>
              </w:rPr>
              <w:t>100.98</w:t>
            </w:r>
          </w:p>
        </w:tc>
        <w:tc>
          <w:tcPr>
            <w:tcW w:w="1560" w:type="dxa"/>
            <w:vAlign w:val="center"/>
          </w:tcPr>
          <w:p>
            <w:pPr>
              <w:jc w:val="right"/>
            </w:pPr>
            <w:r>
              <w:rPr>
                <w:rFonts w:ascii="宋体" w:hAnsi="宋体" w:eastAsia="宋体" w:cs="宋体"/>
                <w:b w:val="0"/>
                <w:i w:val="0"/>
                <w:color w:val="000000"/>
                <w:sz w:val="20"/>
              </w:rPr>
              <w:t>100.98</w:t>
            </w:r>
          </w:p>
        </w:tc>
        <w:tc>
          <w:tcPr>
            <w:tcW w:w="1560" w:type="dxa"/>
            <w:vAlign w:val="center"/>
          </w:tcPr>
          <w:p>
            <w:pPr>
              <w:jc w:val="right"/>
            </w:pPr>
            <w:r>
              <w:rPr>
                <w:rFonts w:ascii="宋体" w:hAnsi="宋体" w:eastAsia="宋体" w:cs="宋体"/>
                <w:b w:val="0"/>
                <w:i w:val="0"/>
                <w:color w:val="000000"/>
                <w:sz w:val="20"/>
              </w:rPr>
              <w:t>0.00</w:t>
            </w:r>
          </w:p>
        </w:tc>
        <w:tc>
          <w:tcPr>
            <w:tcW w:w="1560" w:type="dxa"/>
            <w:vAlign w:val="center"/>
          </w:tcPr>
          <w:p>
            <w:pPr>
              <w:jc w:val="right"/>
            </w:pPr>
            <w:r>
              <w:rPr>
                <w:rFonts w:ascii="宋体" w:hAnsi="宋体" w:eastAsia="宋体" w:cs="宋体"/>
                <w:b w:val="0"/>
                <w:i w:val="0"/>
                <w:color w:val="000000"/>
                <w:sz w:val="20"/>
              </w:rPr>
              <w:t>100.98</w:t>
            </w:r>
          </w:p>
        </w:tc>
        <w:tc>
          <w:tcPr>
            <w:tcW w:w="1598"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pPr>
              <w:jc w:val="left"/>
            </w:pPr>
            <w:r>
              <w:rPr>
                <w:rFonts w:ascii="宋体" w:hAnsi="宋体" w:eastAsia="宋体" w:cs="宋体"/>
                <w:b w:val="0"/>
                <w:i w:val="0"/>
                <w:color w:val="000000"/>
                <w:sz w:val="20"/>
              </w:rPr>
              <w:t>22960</w:t>
            </w:r>
          </w:p>
        </w:tc>
        <w:tc>
          <w:tcPr>
            <w:tcW w:w="3660" w:type="dxa"/>
            <w:vAlign w:val="center"/>
          </w:tcPr>
          <w:p>
            <w:pPr>
              <w:jc w:val="left"/>
            </w:pPr>
            <w:r>
              <w:rPr>
                <w:rFonts w:ascii="宋体" w:hAnsi="宋体" w:eastAsia="宋体" w:cs="宋体"/>
                <w:b w:val="0"/>
                <w:i w:val="0"/>
                <w:color w:val="000000"/>
                <w:sz w:val="20"/>
              </w:rPr>
              <w:t>彩票公益金安排的支出</w:t>
            </w:r>
          </w:p>
        </w:tc>
        <w:tc>
          <w:tcPr>
            <w:tcW w:w="1560" w:type="dxa"/>
            <w:vAlign w:val="center"/>
          </w:tcPr>
          <w:p>
            <w:pPr>
              <w:jc w:val="right"/>
            </w:pPr>
            <w:r>
              <w:rPr>
                <w:rFonts w:ascii="宋体" w:hAnsi="宋体" w:eastAsia="宋体" w:cs="宋体"/>
                <w:b w:val="0"/>
                <w:i w:val="0"/>
                <w:color w:val="000000"/>
                <w:sz w:val="20"/>
              </w:rPr>
              <w:t>0.00</w:t>
            </w:r>
          </w:p>
        </w:tc>
        <w:tc>
          <w:tcPr>
            <w:tcW w:w="1560" w:type="dxa"/>
            <w:vAlign w:val="center"/>
          </w:tcPr>
          <w:p>
            <w:pPr>
              <w:jc w:val="right"/>
            </w:pPr>
            <w:r>
              <w:rPr>
                <w:rFonts w:ascii="宋体" w:hAnsi="宋体" w:eastAsia="宋体" w:cs="宋体"/>
                <w:b w:val="0"/>
                <w:i w:val="0"/>
                <w:color w:val="000000"/>
                <w:sz w:val="20"/>
              </w:rPr>
              <w:t>100.98</w:t>
            </w:r>
          </w:p>
        </w:tc>
        <w:tc>
          <w:tcPr>
            <w:tcW w:w="1560" w:type="dxa"/>
            <w:vAlign w:val="center"/>
          </w:tcPr>
          <w:p>
            <w:pPr>
              <w:jc w:val="right"/>
            </w:pPr>
            <w:r>
              <w:rPr>
                <w:rFonts w:ascii="宋体" w:hAnsi="宋体" w:eastAsia="宋体" w:cs="宋体"/>
                <w:b w:val="0"/>
                <w:i w:val="0"/>
                <w:color w:val="000000"/>
                <w:sz w:val="20"/>
              </w:rPr>
              <w:t>100.98</w:t>
            </w:r>
          </w:p>
        </w:tc>
        <w:tc>
          <w:tcPr>
            <w:tcW w:w="1560" w:type="dxa"/>
            <w:vAlign w:val="center"/>
          </w:tcPr>
          <w:p>
            <w:pPr>
              <w:jc w:val="right"/>
            </w:pPr>
            <w:r>
              <w:rPr>
                <w:rFonts w:ascii="宋体" w:hAnsi="宋体" w:eastAsia="宋体" w:cs="宋体"/>
                <w:b w:val="0"/>
                <w:i w:val="0"/>
                <w:color w:val="000000"/>
                <w:sz w:val="20"/>
              </w:rPr>
              <w:t>0.00</w:t>
            </w:r>
          </w:p>
        </w:tc>
        <w:tc>
          <w:tcPr>
            <w:tcW w:w="1560" w:type="dxa"/>
            <w:vAlign w:val="center"/>
          </w:tcPr>
          <w:p>
            <w:pPr>
              <w:jc w:val="right"/>
            </w:pPr>
            <w:r>
              <w:rPr>
                <w:rFonts w:ascii="宋体" w:hAnsi="宋体" w:eastAsia="宋体" w:cs="宋体"/>
                <w:b w:val="0"/>
                <w:i w:val="0"/>
                <w:color w:val="000000"/>
                <w:sz w:val="20"/>
              </w:rPr>
              <w:t>100.98</w:t>
            </w:r>
          </w:p>
        </w:tc>
        <w:tc>
          <w:tcPr>
            <w:tcW w:w="1598"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pPr>
              <w:jc w:val="left"/>
            </w:pPr>
            <w:r>
              <w:rPr>
                <w:rFonts w:ascii="宋体" w:hAnsi="宋体" w:eastAsia="宋体" w:cs="宋体"/>
                <w:b w:val="0"/>
                <w:i w:val="0"/>
                <w:color w:val="000000"/>
                <w:sz w:val="20"/>
              </w:rPr>
              <w:t>2296002</w:t>
            </w:r>
          </w:p>
        </w:tc>
        <w:tc>
          <w:tcPr>
            <w:tcW w:w="3660" w:type="dxa"/>
            <w:vAlign w:val="center"/>
          </w:tcPr>
          <w:p>
            <w:pPr>
              <w:jc w:val="left"/>
            </w:pPr>
            <w:r>
              <w:rPr>
                <w:rFonts w:ascii="宋体" w:hAnsi="宋体" w:eastAsia="宋体" w:cs="宋体"/>
                <w:b w:val="0"/>
                <w:i w:val="0"/>
                <w:color w:val="000000"/>
                <w:sz w:val="20"/>
              </w:rPr>
              <w:t>用于社会福利的彩票公益金支出</w:t>
            </w:r>
          </w:p>
        </w:tc>
        <w:tc>
          <w:tcPr>
            <w:tcW w:w="1560" w:type="dxa"/>
            <w:vAlign w:val="center"/>
          </w:tcPr>
          <w:p>
            <w:pPr>
              <w:jc w:val="right"/>
            </w:pPr>
            <w:r>
              <w:rPr>
                <w:rFonts w:ascii="宋体" w:hAnsi="宋体" w:eastAsia="宋体" w:cs="宋体"/>
                <w:b w:val="0"/>
                <w:i w:val="0"/>
                <w:color w:val="000000"/>
                <w:sz w:val="20"/>
              </w:rPr>
              <w:t>0.00</w:t>
            </w:r>
          </w:p>
        </w:tc>
        <w:tc>
          <w:tcPr>
            <w:tcW w:w="1560" w:type="dxa"/>
            <w:vAlign w:val="center"/>
          </w:tcPr>
          <w:p>
            <w:pPr>
              <w:jc w:val="right"/>
            </w:pPr>
            <w:r>
              <w:rPr>
                <w:rFonts w:ascii="宋体" w:hAnsi="宋体" w:eastAsia="宋体" w:cs="宋体"/>
                <w:b w:val="0"/>
                <w:i w:val="0"/>
                <w:color w:val="000000"/>
                <w:sz w:val="20"/>
              </w:rPr>
              <w:t>100.98</w:t>
            </w:r>
          </w:p>
        </w:tc>
        <w:tc>
          <w:tcPr>
            <w:tcW w:w="1560" w:type="dxa"/>
            <w:vAlign w:val="center"/>
          </w:tcPr>
          <w:p>
            <w:pPr>
              <w:jc w:val="right"/>
            </w:pPr>
            <w:r>
              <w:rPr>
                <w:rFonts w:ascii="宋体" w:hAnsi="宋体" w:eastAsia="宋体" w:cs="宋体"/>
                <w:b w:val="0"/>
                <w:i w:val="0"/>
                <w:color w:val="000000"/>
                <w:sz w:val="20"/>
              </w:rPr>
              <w:t>100.98</w:t>
            </w:r>
          </w:p>
        </w:tc>
        <w:tc>
          <w:tcPr>
            <w:tcW w:w="1560" w:type="dxa"/>
            <w:vAlign w:val="center"/>
          </w:tcPr>
          <w:p>
            <w:pPr>
              <w:jc w:val="right"/>
            </w:pPr>
            <w:r>
              <w:rPr>
                <w:rFonts w:ascii="宋体" w:hAnsi="宋体" w:eastAsia="宋体" w:cs="宋体"/>
                <w:b w:val="0"/>
                <w:i w:val="0"/>
                <w:color w:val="000000"/>
                <w:sz w:val="20"/>
              </w:rPr>
              <w:t>0.00</w:t>
            </w:r>
          </w:p>
        </w:tc>
        <w:tc>
          <w:tcPr>
            <w:tcW w:w="1560" w:type="dxa"/>
            <w:vAlign w:val="center"/>
          </w:tcPr>
          <w:p>
            <w:pPr>
              <w:jc w:val="right"/>
            </w:pPr>
            <w:r>
              <w:rPr>
                <w:rFonts w:ascii="宋体" w:hAnsi="宋体" w:eastAsia="宋体" w:cs="宋体"/>
                <w:b w:val="0"/>
                <w:i w:val="0"/>
                <w:color w:val="000000"/>
                <w:sz w:val="20"/>
              </w:rPr>
              <w:t>100.98</w:t>
            </w:r>
          </w:p>
        </w:tc>
        <w:tc>
          <w:tcPr>
            <w:tcW w:w="1598" w:type="dxa"/>
            <w:vAlign w:val="center"/>
          </w:tcPr>
          <w:p>
            <w:pPr>
              <w:jc w:val="right"/>
            </w:pPr>
            <w:r>
              <w:rPr>
                <w:rFonts w:ascii="宋体" w:hAnsi="宋体" w:eastAsia="宋体" w:cs="宋体"/>
                <w:b w:val="0"/>
                <w:i w:val="0"/>
                <w:color w:val="000000"/>
                <w:sz w:val="20"/>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单位：许昌市民政局（本级）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单位：许昌市民政局（本级）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5.00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4.00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4.00</w:t>
            </w:r>
          </w:p>
        </w:tc>
        <w:tc>
          <w:tcPr>
            <w:tcW w:w="1160" w:type="dxa"/>
            <w:vAlign w:val="center"/>
          </w:tcPr>
          <w:p>
            <w:pPr>
              <w:jc w:val="right"/>
            </w:pPr>
            <w:r>
              <w:rPr>
                <w:rFonts w:ascii="宋体" w:hAnsi="宋体" w:eastAsia="宋体" w:cs="宋体"/>
                <w:b w:val="0"/>
                <w:i w:val="0"/>
                <w:color w:val="000000"/>
                <w:sz w:val="17"/>
              </w:rPr>
              <w:t>1.00</w:t>
            </w:r>
          </w:p>
        </w:tc>
        <w:tc>
          <w:tcPr>
            <w:tcW w:w="1160" w:type="dxa"/>
            <w:vAlign w:val="center"/>
          </w:tcPr>
          <w:p>
            <w:pPr>
              <w:jc w:val="right"/>
            </w:pPr>
            <w:r>
              <w:rPr>
                <w:rFonts w:ascii="宋体" w:hAnsi="宋体" w:eastAsia="宋体" w:cs="宋体"/>
                <w:b w:val="0"/>
                <w:i w:val="0"/>
                <w:color w:val="000000"/>
                <w:sz w:val="17"/>
              </w:rPr>
              <w:t>2.17</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1.22</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1.22</w:t>
            </w:r>
          </w:p>
        </w:tc>
        <w:tc>
          <w:tcPr>
            <w:tcW w:w="1198" w:type="dxa"/>
            <w:vAlign w:val="center"/>
          </w:tcPr>
          <w:p>
            <w:pPr>
              <w:jc w:val="right"/>
            </w:pPr>
            <w:r>
              <w:rPr>
                <w:rFonts w:ascii="宋体" w:hAnsi="宋体" w:eastAsia="宋体" w:cs="宋体"/>
                <w:b w:val="0"/>
                <w:i w:val="0"/>
                <w:color w:val="000000"/>
                <w:sz w:val="17"/>
              </w:rPr>
              <w:t>0.94</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2023年度收、支总计均为1500.40万元。与上年度相比，收、支总计各减少1315.65万元，下降46.72%。主要原因是项目经费减少。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1437.73万元，其中：财政拨款收入1437.73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2023年度支出合计1500.40万元，其中：基本支出1130.44万元，占75.34%；项目支出369.96万元，占24.66%；上缴上级支出0.00万元，占0.00%；经营支出0.00万元，占0.00%；对附属单位补助支出0.00万元，占0.00%。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2023年度财政拨款收、支总计均为1500.40万元。与上年度相比，财政拨款收、支总计各减少1315.65万元，下降46.72%。主要原因是项目经费减少。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2023年度一般公共预算财政拨款支出1399.42万元，占支出合计的93.27%。与上年度相比，一般公共预算财政拨款支出减少1168.35万元，下降45.50%。主要原因是项目经费减少。</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1399.42万元，主要用于以下方面：一般公共服务支出（类）42.75万元，占3.05%；社会保障和就业支出（类）1264.20万元，占90.34%；卫生健康支出（类）48.85万元，占3.49%；农林水支出（类）3.40万元，占0.24%；住房保障支出（类）40.21万元，占2.88%。</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2023年度一般公共预算财政拨款支出年初预算为1399.42万元，支出决算为1399.42万元，完成年初预算的100.00%。其中：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年初预算数为3.60万元，决算数3.60万元,完成年初预算的100.00%，决算数与年初预算数不存在差异。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2.一般公共服务支出（类）其他一般公共服务支出（款）其他一般公共服务支出（项）</w:t>
      </w:r>
      <w:r>
        <w:rPr>
          <w:rFonts w:hint="default" w:ascii="仿宋" w:hAnsi="仿宋" w:eastAsia="仿宋" w:cs="仿宋"/>
          <w:kern w:val="2"/>
          <w:sz w:val="32"/>
          <w:szCs w:val="32"/>
          <w:lang w:val="en-US" w:eastAsia="zh-CN"/>
        </w:rPr>
        <w:t>年初预算数为7.80万元，决算数39.15万元,完成年初预算的501.92%，决算数与年初预算数存在差异的主要原因是年中追加预算。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3.社会保障和就业支出（类）民政管理事务（款）行政运行（项）</w:t>
      </w:r>
      <w:r>
        <w:rPr>
          <w:rFonts w:hint="default" w:ascii="仿宋" w:hAnsi="仿宋" w:eastAsia="仿宋" w:cs="仿宋"/>
          <w:kern w:val="2"/>
          <w:sz w:val="32"/>
          <w:szCs w:val="32"/>
          <w:lang w:val="en-US" w:eastAsia="zh-CN"/>
        </w:rPr>
        <w:t>年初预算数为645.71万元，决算数728.25万元,完成年初预算的112.78%，决算数与年初预算数存在差异的主要原因是年中追加预算。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4.社会保障和就业支出（类）民政管理事务（款）一般行政管理事务（项）</w:t>
      </w:r>
      <w:r>
        <w:rPr>
          <w:rFonts w:hint="default" w:ascii="仿宋" w:hAnsi="仿宋" w:eastAsia="仿宋" w:cs="仿宋"/>
          <w:kern w:val="2"/>
          <w:sz w:val="32"/>
          <w:szCs w:val="32"/>
          <w:lang w:val="en-US" w:eastAsia="zh-CN"/>
        </w:rPr>
        <w:t>年初预算数为0.00万元，决算数261.30万元,决算数与年初预算数存在差异的主要原因是年中追加预算。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5.社会保障和就业支出（类）行政事业单位养老支出（款）行政单位离退休（项）</w:t>
      </w:r>
      <w:r>
        <w:rPr>
          <w:rFonts w:hint="default" w:ascii="仿宋" w:hAnsi="仿宋" w:eastAsia="仿宋" w:cs="仿宋"/>
          <w:kern w:val="2"/>
          <w:sz w:val="32"/>
          <w:szCs w:val="32"/>
          <w:lang w:val="en-US" w:eastAsia="zh-CN"/>
        </w:rPr>
        <w:t>年初预算数为191.47万元，决算数233.03万元,完成年初预算的121.71%，决算数与年初预算数存在差异的主要原因是退休人员增加，年中追加预算。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年初预算数为42.54万元，决算数41.63万元,完成年初预算的97.86%，决算数与年初预算数存在差异的主要原因是退休人员增加。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7.卫生健康支出（类）行政事业单位医疗（款）行政单位医疗（项）</w:t>
      </w:r>
      <w:r>
        <w:rPr>
          <w:rFonts w:hint="default" w:ascii="仿宋" w:hAnsi="仿宋" w:eastAsia="仿宋" w:cs="仿宋"/>
          <w:kern w:val="2"/>
          <w:sz w:val="32"/>
          <w:szCs w:val="32"/>
          <w:lang w:val="en-US" w:eastAsia="zh-CN"/>
        </w:rPr>
        <w:t>年初预算数为21.96万元，决算数25.40万元,完成年初预算的115.66%，决算数与年初预算数存在差异的主要原因是社保基数调整。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8.卫生健康支出（类）行政事业单位医疗（款）公务员医疗补助（项）</w:t>
      </w:r>
      <w:r>
        <w:rPr>
          <w:rFonts w:hint="default" w:ascii="仿宋" w:hAnsi="仿宋" w:eastAsia="仿宋" w:cs="仿宋"/>
          <w:kern w:val="2"/>
          <w:sz w:val="32"/>
          <w:szCs w:val="32"/>
          <w:lang w:val="en-US" w:eastAsia="zh-CN"/>
        </w:rPr>
        <w:t>年初预算数为24.40万元，决算数23.46万元,完成年初预算的96.15%，决算数与年初预算数存在差异的主要原因是退休人员增加。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9.农林水支出（类）巩固脱贫攻坚成果衔接乡村振兴（款）行政运行（项）</w:t>
      </w:r>
      <w:r>
        <w:rPr>
          <w:rFonts w:hint="default" w:ascii="仿宋" w:hAnsi="仿宋" w:eastAsia="仿宋" w:cs="仿宋"/>
          <w:kern w:val="2"/>
          <w:sz w:val="32"/>
          <w:szCs w:val="32"/>
          <w:lang w:val="en-US" w:eastAsia="zh-CN"/>
        </w:rPr>
        <w:t>年初预算数为0.00万元，决算数0.90万元,决算数与年初预算数存在差异的主要原因是年中追加预算。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10.农林水支出（类）巩固脱贫攻坚成果衔接乡村振兴（款）一般行政管理事务（项）</w:t>
      </w:r>
      <w:r>
        <w:rPr>
          <w:rFonts w:hint="default" w:ascii="仿宋" w:hAnsi="仿宋" w:eastAsia="仿宋" w:cs="仿宋"/>
          <w:kern w:val="2"/>
          <w:sz w:val="32"/>
          <w:szCs w:val="32"/>
          <w:lang w:val="en-US" w:eastAsia="zh-CN"/>
        </w:rPr>
        <w:t>年初预算数为0.00万元，决算数2.50万元,决算数与年初预算数存在差异的主要原因是年中追加预算。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11.住房保障支出（类）住房改革支出（款）住房公积金（项）</w:t>
      </w:r>
      <w:r>
        <w:rPr>
          <w:rFonts w:hint="default" w:ascii="仿宋" w:hAnsi="仿宋" w:eastAsia="仿宋" w:cs="仿宋"/>
          <w:kern w:val="2"/>
          <w:sz w:val="32"/>
          <w:szCs w:val="32"/>
          <w:lang w:val="en-US" w:eastAsia="zh-CN"/>
        </w:rPr>
        <w:t>年初预算数为41.82万元，决算数40.21万元,完成年初预算的96.15%，决算数与年初预算数存在差异的主要原因是退休人员增加。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1130.44万元。其中：人员经费1024.66万元，主要包括：基本工资、津贴补贴、奖金、机关事业单位基本养老保险缴费、职工基本医疗保险缴费、公务员医疗补助缴费、其他社会保障缴费、住房公积金、离休费、退休费、生活补助、奖励金、其他对个人和家庭的补助支出。公用经费105.78万元，主要包括：办公费、印刷费、邮电费、差旅费、维修（护）费、培训费、公务接待费、劳务费、委托业务费、工会经费、福利费、公务用车运行维护费、其他交通费用、其他商品和服务支出、办公设备购置。</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2023年度政府性基金预算财政拨款支出年初预算数为100.98万元，支出决算为100.98万元，完成年初预算的100.00%。主要用于福彩公益金专项支出 年末没有结转和结余资金。</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2023年度“三公”经费财政拨款支出预算为5.00万元，支出决算为2.17万元，完成预算的43.40%。2023年度“三公”经费支出决算数与预算数存在差异的主要原因是公车出行任务和本年度接待任务较少。</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1.22万元,完成预算的30.50%，占56.22%；公务接待费支出决算0.94万元，完成预算的94.00%，占43.32%。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预算为4.00万元，支出决算为1.22万元，完成预算的30.50%。决算数与预算数存在差异的主要原因是我单位本年度公车出行任务减少。其中：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1.22万元。主要用于支付公务用车加油、保养、保险等费用。2023年期末，单位开支财政拨款的公务用车保有量为</w:t>
      </w:r>
      <w:r>
        <w:rPr>
          <w:rFonts w:hint="eastAsia" w:ascii="仿宋" w:hAnsi="仿宋" w:eastAsia="仿宋" w:cs="仿宋"/>
          <w:kern w:val="2"/>
          <w:sz w:val="32"/>
          <w:szCs w:val="32"/>
          <w:lang w:val="en-US" w:eastAsia="zh-CN"/>
        </w:rPr>
        <w:t>1</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预算为1.00万元，支出决算为0.94万元</w:t>
      </w:r>
      <w:r>
        <w:rPr>
          <w:rFonts w:hint="eastAsia" w:ascii="仿宋" w:hAnsi="仿宋" w:eastAsia="仿宋" w:cs="仿宋"/>
          <w:kern w:val="0"/>
          <w:sz w:val="32"/>
          <w:szCs w:val="32"/>
          <w:lang w:val="en-US" w:eastAsia="zh-CN"/>
        </w:rPr>
        <w:t>，完成预算的94.00%</w:t>
      </w:r>
      <w:r>
        <w:rPr>
          <w:rFonts w:hint="eastAsia" w:ascii="仿宋" w:hAnsi="仿宋" w:eastAsia="仿宋" w:cs="仿宋"/>
          <w:b w:val="0"/>
          <w:bCs w:val="0"/>
          <w:kern w:val="0"/>
          <w:sz w:val="32"/>
          <w:szCs w:val="32"/>
          <w:lang w:val="en-US" w:eastAsia="zh-CN"/>
        </w:rPr>
        <w:t>。决算数与预算数存在差异的主要原因是我单位本年度接待任务少。其中：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0.94</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主要用于接待人员用餐。</w:t>
      </w:r>
      <w:r>
        <w:rPr>
          <w:rFonts w:hint="eastAsia" w:ascii="仿宋" w:hAnsi="仿宋" w:eastAsia="仿宋" w:cs="仿宋"/>
          <w:kern w:val="0"/>
          <w:sz w:val="32"/>
          <w:szCs w:val="32"/>
          <w:lang w:val="en-US" w:eastAsia="zh-CN"/>
        </w:rPr>
        <w:t>2023年共接待国内来访团组9个、来宾71人次（不包括陪同人员）</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2023年度机关运行经费支出105.78万元，较2022年度增长20.52万元，增长24.07%，主要原因是根据实际业务需求增加。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2023年期末，本单位共有车辆1辆，其中：省级领导干部用车0辆、主要领导干部用车0辆、机要通信用车1辆、应急保障车0辆、执法执勤用车0辆、特种专业技术用车0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1500.40万元。自评得分为96.08分，等级为“优”。从单位整体自评情况来看，已完成预期目标：保障困难群众、残疾人、高龄老人、受艾滋病影响人员基本生活水平；提高困难群众、残疾人、高龄老人、受艾滋病影响人员生活幸福感和满足感；增强社会稳定性，完成既定目标和任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基于项目预期目标的实现程度，我单位对2023年度单位预算项目支出（含单位参与分配的转移支付项目）开展绩效自评，涉及项目28个，项目金额3730.95万元。其中：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许昌市智慧养老机构和智慧养老社区建设项目尾款，自评得分100，等级为“优”，该项目在市区范围内分别选择群众认可度强、活跃度高的10家养老机构和10个社区配置智慧养老设备，提升老年人的参与感和幸福感，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残疾人“两项补贴”市级补助资金剩余部分-重度残疾人护理补贴（上级配套支出）,自评得分97.62，等级为“优”，该项目督促各地不断完善机制，按时发放残疾人两项补贴资金，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2023年省级困难群众救助补助资金-新1，自评得分97.22，等级为“优”，该项目规范城乡低保政策实施，合理确定保障标准，使低保对象基本生活得到有效保障，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（4）下达2023年残疾人“两项补贴”补助资金，自评得分99.71，等级为“优”，该项目督促各地不断完善机制，按时发放残疾人两项补贴资金，项目资金已按照规定用途使用，已达到预期目标。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（5）高龄津贴市级配套资金（上级配套支出），自评得分97.81，等级为“优”该项目引导各区稳步提升高龄老人生活水平，项目资金已按照规定用途使用，已达到预期目标。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6）提前下达2023年中央集中彩票公益金支持社会福利事业发展专项资金（上级提前下达），自评得分94.64，等级为“优”，该项目开展“孤儿助学工程”资助考上普通全日制本科、专科学校的孤儿完成学业，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（7）下达2023年受艾滋病影响人员生活定量补助资金，自评得分97.19，等级为“优”，该项目按时足额发放受艾滋病影响人员基本生活定量补助，项目资金已按照规定用途使用，已达到预期目标。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8）提前下达2023年残疾人“两项补贴”市级补助资金-困难残疾人生活补贴（上级配套支出），自评得分99，等级为“优”，该项目督促各地不断完善机制，按时发放残疾人两项补贴资金，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9）提前下达2023年受艾滋病影响人员生活定量补助市级资金（上级配套支出），自评得分99.88，等级为“优”，该项目按时足额发放受艾滋病影响人员基本生活定量补助，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10）慈善总会财政补助资金（基本运转支出），自评得分99.74，等级为“优”，该项目保障总会工作人员的待遇，根据工作年限、学历、技术职称制定实施工作人员待遇增长机制，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11）2023年省级困难群众救助补助资金-新，自评得分100，等级为“优”，该项目提高孤儿基本生活保障水平，孤儿生活保障政策规范高效实施，使孤儿和艾滋病病毒感染儿童生活基本得到保障，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12）残疾人“两项补贴”市级补助资金剩余部分-困难残疾人生活补贴（上级配套支出），自评得分98.13，等级为“优”，该项目督促各地不断完善机制，按时发放残疾人两项补贴资金，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13）支持社会组织参与社会公益服务项目补助（结转上级资金），自评得分98.75，等级为“优”，该项目通过政府购买服务方式，支持社会组织参与农村留守儿童关爱服务，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（14）民政值班应急智慧系统（结转本级资金），自评得分100，等级为“优”，该项目民政值班应急指挥视频会议系统1套，项目资金已按照规定用途使用，已达到预期目标。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（15）春节期间慰问困难群众资金（基本运转支出），自评得分98.75，等级为“优”，该项目冬春慰问困难群众，项目资金已按照规定用途使用，已达到预期目标。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16）拨付2023年1-3月份免除的市区城乡居民基本殡葬服务费（区级专项上解资金），自评得分96.24，等级为“优”，该项目免除基本殡葬服务费，提高全市火化率，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17）追加慈善总会工作经费（结转本级资金），自评得分98.49，等级为“优”，该项目保障总会工作人员的待遇，根据工作年限、学历、技术职称制定实施工作人员待遇增长机制，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（18）下达2023年80岁以上老人高龄津贴补助资金，自评得分99.74，等级为“优”，该项目引导各区稳步提升高龄老人生活水平，项目资金已按照规定用途使用，已达到预期目标。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19）提前下达2023年残疾人“两项补贴”市级补助资金-重度残疾人护理补贴（上级配套支出），自评得分98.97，等级为“优”，该项目督促各地不断完善机制，按时发放残疾人两项补贴资金，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（20）2022年10-12月份基本殡葬免除费（区级上解），自评得分96.25，等级为“优”，该项目免除基本殡葬服务费，提高全市火化率，项目资金已按照规定用途使用，已达到预期目标。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（21）2023年市城区城市低保家庭冬季供暖补贴（市级奖补支出），自评得分98.33，等级为“优”，该项目为城区城市低保对象发放取暖补贴，项目资金已按照规定用途使用，已达到预期目标。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（22）惠民殡葬服务费（市级奖补支出），自评得分90.14，等级为“优”，该项目免除基本殡葬服务费，提高全市火化率，项目资金已按照规定用途使用，已达到预期目标。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（23）拨付2023年1-3月份免除的市区城乡居民基本殡葬服务费（上级配套支出），自评得分99，等级为“优”，该项目免除基本殡葬服务费，提高全市火化率，项目资金已按照规定用途使用，已达到预期目标。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24）2023年受艾滋病影响人员生活定量补助市级资金剩余部分（上级配套支出），自评得分98.75，等级为“优”，该项目按时足额发放受艾滋病影响人员基本生活定量补助，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25）提前下达2023年困难群众救助补助资金（上级提前下达），自评得分97.28，等级为“优”，该项目规范城乡低保政策实施，合理确定保障标准，使低保对象基本生活得到有效保障，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26）2022年中央集中彩票公益金支持社会福利事业专项资金-防疫物资采购项目（结转上级资金），自评得分96.25，等级为“优”，该项目养老服务设施改造、设备购置，配备疫情防控、消防安全物资设施设备，提升养老服务设施服务能力，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27）关于调整提前下达2023年中央集中彩票公益金支持社会福利事业专项资金-老年人福利类项目资金，自评得分98.91，等级为“优”，该项目通过政府购买服务、委托运营等方式选择专业机构运营社区养老服务设施，提供助餐、助洁、健康管理、文化娱乐等服务，推进运营服务提质，项目资金已按照规定用途使用，已达到预期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（28）高龄津贴市级配套资金（上级配套支出），自评得分98.46，等级为“优”该项目引导各区稳步提升高龄老人生活水平，项目资金已按照规定用途使用，已达到预期目标。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从项目绩效自评情况来看，项目资金自评情况为优秀，预期绩效目标已按照要求和规定完成，下一步我单位将继续保持对项目资金的合理安排，进一步完善项目绩效成果。</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4"/>
        <w:gridCol w:w="845"/>
        <w:gridCol w:w="228"/>
        <w:gridCol w:w="228"/>
        <w:gridCol w:w="1291"/>
        <w:gridCol w:w="867"/>
        <w:gridCol w:w="841"/>
        <w:gridCol w:w="548"/>
        <w:gridCol w:w="683"/>
        <w:gridCol w:w="858"/>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1"/>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hint="eastAsia" w:ascii="宋体" w:hAnsi="宋体" w:eastAsia="宋体" w:cs="宋体"/>
                <w:b/>
                <w:bCs/>
                <w:i w:val="0"/>
                <w:iCs w:val="0"/>
                <w:color w:val="000000"/>
                <w:kern w:val="0"/>
                <w:sz w:val="38"/>
                <w:szCs w:val="38"/>
                <w:u w:val="none"/>
                <w:lang w:val="en-US" w:eastAsia="zh-CN"/>
              </w:rPr>
              <w:t>单位</w:t>
            </w:r>
            <w:r>
              <w:rPr>
                <w:rFonts w:ascii="宋体" w:hAnsi="宋体" w:eastAsia="宋体" w:cs="宋体"/>
                <w:b/>
                <w:bCs/>
                <w:i w:val="0"/>
                <w:iCs w:val="0"/>
                <w:color w:val="000000"/>
                <w:kern w:val="0"/>
                <w:sz w:val="38"/>
                <w:szCs w:val="38"/>
                <w:u w:val="none"/>
                <w:lang w:val="en-US" w:eastAsia="zh-CN"/>
              </w:rPr>
              <w:t>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w:t>
            </w:r>
            <w:r>
              <w:rPr>
                <w:rFonts w:ascii="宋体" w:hAnsi="宋体" w:eastAsia="宋体" w:cs="宋体"/>
                <w:i w:val="0"/>
                <w:iCs w:val="0"/>
                <w:color w:val="000000"/>
                <w:kern w:val="0"/>
                <w:sz w:val="18"/>
                <w:szCs w:val="18"/>
                <w:u w:val="none"/>
                <w:lang w:val="en-US" w:eastAsia="zh-CN"/>
              </w:rPr>
              <w:t>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w:t>
            </w:r>
            <w:r>
              <w:rPr>
                <w:rFonts w:ascii="宋体" w:hAnsi="宋体" w:eastAsia="宋体" w:cs="宋体"/>
                <w:i w:val="0"/>
                <w:iCs w:val="0"/>
                <w:color w:val="000000"/>
                <w:kern w:val="0"/>
                <w:sz w:val="18"/>
                <w:szCs w:val="18"/>
                <w:u w:val="none"/>
                <w:lang w:val="en-US" w:eastAsia="zh-CN"/>
              </w:rPr>
              <w:t>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1405.29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1500.4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1500.4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49.02%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目标1：完善社会救助，进一步提高社会救助水平以及效率，统筹社会城乡居民最低生活保障、提高农村低保水平和标准，持续开展党风廉政建设。</w:t>
            </w:r>
            <w:r>
              <w:br w:type="textWrapping"/>
            </w:r>
            <w:r>
              <w:rPr>
                <w:rFonts w:ascii="宋体" w:hAnsi="宋体" w:eastAsia="宋体" w:cs="宋体"/>
                <w:i w:val="0"/>
                <w:iCs w:val="0"/>
                <w:color w:val="000000"/>
                <w:kern w:val="0"/>
                <w:sz w:val="18"/>
                <w:szCs w:val="18"/>
                <w:u w:val="none"/>
                <w:lang w:val="en-US" w:eastAsia="zh-CN"/>
              </w:rPr>
              <w:t>目标2：加强社会福利和促进慈善业发展，高龄人员和孤儿生活、医疗健康、入学等补贴按相应标准落实，统筹推进残疾人福利制度建设和康复辅助器具产业发展，严格落实安全生产工作责任及疫情防控相关制度和措施。</w:t>
            </w:r>
            <w:r>
              <w:br w:type="textWrapping"/>
            </w:r>
            <w:r>
              <w:rPr>
                <w:rFonts w:ascii="宋体" w:hAnsi="宋体" w:eastAsia="宋体" w:cs="宋体"/>
                <w:i w:val="0"/>
                <w:iCs w:val="0"/>
                <w:color w:val="000000"/>
                <w:kern w:val="0"/>
                <w:sz w:val="18"/>
                <w:szCs w:val="18"/>
                <w:u w:val="none"/>
                <w:lang w:val="en-US" w:eastAsia="zh-CN"/>
              </w:rPr>
              <w:t>目标3：推进社会事务专项管理。深化社会组织管理制度改革，推进殡葬改革及相关宣传活动；加强区域地名和界线管理；加强流浪乞讨人员救助管理；进一步规范婚姻、收养登记工作。</w:t>
            </w:r>
            <w:r>
              <w:br w:type="textWrapping"/>
            </w:r>
            <w:r>
              <w:rPr>
                <w:rFonts w:ascii="宋体" w:hAnsi="宋体" w:eastAsia="宋体" w:cs="宋体"/>
                <w:i w:val="0"/>
                <w:iCs w:val="0"/>
                <w:color w:val="000000"/>
                <w:kern w:val="0"/>
                <w:sz w:val="18"/>
                <w:szCs w:val="18"/>
                <w:u w:val="none"/>
                <w:lang w:val="en-US" w:eastAsia="zh-CN"/>
              </w:rPr>
              <w:t>目标4：监督管理养老服务工作，拟订全市养老服务体系建设规划、标准并组织实施，承担老年人福利和特殊困难老年人救助工作。</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按相关规定完善社会救助，进一步提高社会救助水平以及效率，统筹社会城乡居民最低生活保障、提高农村低保水平和标准，持续开展党风廉政建设；加强社会福利和促进慈善业发展，高龄人员和孤儿生活、医疗健康、入学等补贴按相应标准落实，统筹推进残疾人福利制度建设和康复辅助器具产业发展，严格落实安全生产工作责任及疫情防控相关制度和措施；推进社会事务专项管理。深化社会组织管理制度改革，推进殡葬改革及相关宣传活动；加强区域地名和界线管理；加强流浪乞讨人员救助管理；进一步规范婚姻、收养登记工作；监督管理养老服务工作，拟订全市养老服务体系建设规划、标准并组织实施，承担老年人福利和特殊困难老年人救助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养老服务工作全面推进</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加强养老服务体系建设，深化敬老院公建民营，抓好机构疫情防控和安全生产</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养老服务体系建设已逐步完善，深化敬老院公建民营，机构疫情防控和安全生产进一步保障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儿童福利保障措施稳步实施</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落实孤儿基本生活保障制度，强化未成年人保护工作组织领导和政策宣传</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孤儿基本生活保障制度不断完善，未成年人保护工作组织领导和政策宣传有所提升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殡葬改革工作实现新突破</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稳定提高火化率，加快推进公益性公墓建设</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火花率稳步提升，公益性公墓已完成建设并投入使用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基层社会治理水平进一步提升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加强养老服务体系建设，持续开展社区规范化建设工作，加强社区治理创新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加强养老服务体系建设，持续开展社区规范化建设工作，社区治理创新进一步加强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完善养老服务综合监管制度和养老服务设施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不断完善养老服务综合监管制度和养老服务设施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完善地名信息数据库、不规范地名清理整治和平安边界建设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不断完善地名信息数据库、不规范地名清理整治和平安边界建设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相关建设项目加快进度和投入使用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相关建设项目进一步加快进度和投入使用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推进殡葬、婚俗改革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殡葬、婚俗改革进一步提高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提高事实无人养儿童、未成年人、农村留守儿童和困境儿童的关心和爱护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事实无人养儿童、未成年人、农村留守儿童和困境儿童的关心和爱护进一步提升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提高对残疾、老龄、孤儿、流浪乞讨人员、低收入家庭等弱势群体的关心和救助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对残疾、老龄、孤儿、流浪乞讨人员、低收入家庭等弱势群体的关心和救助进一步提升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完善婚姻登记、殡葬、行政区域界位等工作的指导和综合管理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婚姻登记、殡葬、行政区域界位等工作的指导和综合管理进一步完善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民政工作运转效率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民政工作运转效率进一步提升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提高民政救助对象经济收入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民政救助对象经济收入不断提升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底层弱势群体生活有所进步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底层弱势群体生活不断进步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增加社会稳定性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社会稳定性不断加强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群众满意度逐步提高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上级部门满意度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上级部门满意度不断提高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bl>
    <w:p>
      <w:pPr>
        <w:pStyle w:val="10"/>
        <w:sectPr>
          <w:pgSz w:w="11906" w:h="16838"/>
          <w:pgMar w:top="1440" w:right="1800" w:bottom="1440" w:left="1800" w:header="851" w:footer="992" w:gutter="0"/>
          <w:cols w:space="425" w:num="1"/>
          <w:docGrid w:type="lines" w:linePitch="312" w:charSpace="0"/>
        </w:sectPr>
      </w:pPr>
    </w:p>
    <w:tbl>
      <w:tblPr>
        <w:tblStyle w:val="11"/>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9"/>
        <w:gridCol w:w="435"/>
        <w:gridCol w:w="608"/>
        <w:gridCol w:w="390"/>
        <w:gridCol w:w="590"/>
        <w:gridCol w:w="1266"/>
        <w:gridCol w:w="500"/>
        <w:gridCol w:w="583"/>
        <w:gridCol w:w="634"/>
        <w:gridCol w:w="730"/>
        <w:gridCol w:w="504"/>
        <w:gridCol w:w="824"/>
        <w:gridCol w:w="504"/>
        <w:gridCol w:w="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许昌市智慧养老机构和智慧养老社区建设项目尾款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8.27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8.27</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8.27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按照部门预算编制和资金管理办法的要求，进行项目论证、评审、立项等必要程序。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目标：《许昌市智慧养老机构和智慧养老社区建设》，在市区范围内分别选择群众认可度强、活跃度高的10家养老机构和10个社区配置智慧养老设备，提升老年人的参与感和幸福感</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已按照要求和进度在市区范围内分别选择群众认可度强、活跃度高的10家养老机构和10个社区配置智慧养老设备，提升老年人的参与感和幸福感。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项目（合同）总金额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165.389万元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165.39万元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待支付尾款（质保金）比例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待支付尾款（质保金）金额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8.26945万元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8.27万元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质保设备（设施）数量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570台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570台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质保期内设备（设施）故障发生率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故障响应时间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≤1小时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故障修复平均时效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≤12小时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质保期限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365天</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365天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质保金支付时间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≤30天</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设备正常运行率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涉及群众满意度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使用单位满意度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2023年省级困难群众救助补助资金-新1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按照部门预算编制和资金管理办法的要求，进行项目论证、评审、立项等必要程序。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1.规范城乡低保政策实施，合理确定保障标准，使低保对象基本生活得到有效保障。                                        </w:t>
            </w:r>
            <w:r>
              <w:br w:type="textWrapping"/>
            </w:r>
            <w:r>
              <w:rPr>
                <w:rFonts w:ascii="宋体" w:hAnsi="宋体" w:eastAsia="宋体" w:cs="宋体"/>
                <w:i w:val="0"/>
                <w:iCs w:val="0"/>
                <w:color w:val="000000"/>
                <w:kern w:val="0"/>
                <w:sz w:val="18"/>
                <w:szCs w:val="18"/>
                <w:u w:val="none"/>
                <w:lang w:val="en-US" w:eastAsia="zh-CN"/>
              </w:rPr>
              <w:t>2.统筹城乡特困人员救助供养工作，合理确定保障标准。</w:t>
            </w:r>
            <w:r>
              <w:br w:type="textWrapping"/>
            </w:r>
            <w:r>
              <w:rPr>
                <w:rFonts w:ascii="宋体" w:hAnsi="宋体" w:eastAsia="宋体" w:cs="宋体"/>
                <w:i w:val="0"/>
                <w:iCs w:val="0"/>
                <w:color w:val="000000"/>
                <w:kern w:val="0"/>
                <w:sz w:val="18"/>
                <w:szCs w:val="18"/>
                <w:u w:val="none"/>
                <w:lang w:val="en-US" w:eastAsia="zh-CN"/>
              </w:rPr>
              <w:t>3.规范实施临时救助政策，实现及时高效，救急解难。</w:t>
            </w:r>
            <w:r>
              <w:br w:type="textWrapping"/>
            </w:r>
            <w:r>
              <w:rPr>
                <w:rFonts w:ascii="宋体" w:hAnsi="宋体" w:eastAsia="宋体" w:cs="宋体"/>
                <w:i w:val="0"/>
                <w:iCs w:val="0"/>
                <w:color w:val="000000"/>
                <w:kern w:val="0"/>
                <w:sz w:val="18"/>
                <w:szCs w:val="18"/>
                <w:u w:val="none"/>
                <w:lang w:val="en-US" w:eastAsia="zh-CN"/>
              </w:rPr>
              <w:t>4.对流浪未成年人提供特殊优先保护及教育矫治等专业服务，确保其健康成长。</w:t>
            </w:r>
            <w:r>
              <w:br w:type="textWrapping"/>
            </w:r>
            <w:r>
              <w:rPr>
                <w:rFonts w:ascii="宋体" w:hAnsi="宋体" w:eastAsia="宋体" w:cs="宋体"/>
                <w:i w:val="0"/>
                <w:iCs w:val="0"/>
                <w:color w:val="000000"/>
                <w:kern w:val="0"/>
                <w:sz w:val="18"/>
                <w:szCs w:val="18"/>
                <w:u w:val="none"/>
                <w:lang w:val="en-US" w:eastAsia="zh-CN"/>
              </w:rPr>
              <w:t>5.对存在流浪风险的未成年人开展摸底排查、家庭监护评估、监护监督等工作，为其提供临时照料、医疗救治、心理疏导、行为矫治、社会融入、家庭关系协调、法律援助等专业服务，从源头上预防未成年人外出流浪。</w:t>
            </w:r>
            <w:r>
              <w:br w:type="textWrapping"/>
            </w:r>
            <w:r>
              <w:rPr>
                <w:rFonts w:ascii="宋体" w:hAnsi="宋体" w:eastAsia="宋体" w:cs="宋体"/>
                <w:i w:val="0"/>
                <w:iCs w:val="0"/>
                <w:color w:val="000000"/>
                <w:kern w:val="0"/>
                <w:sz w:val="18"/>
                <w:szCs w:val="18"/>
                <w:u w:val="none"/>
                <w:lang w:val="en-US" w:eastAsia="zh-CN"/>
              </w:rPr>
              <w:t>6.引导市县提高孤儿基本生活保障水平，孤儿生活保障政策规范高效实施，使孤儿和艾滋病病毒感染儿童生活基本得到保障。</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规范城乡低保政策实施，合理确定保障标准，使低保对象基本生活得到有效保障；统筹城乡特困人员救助供养工作，合理确定保障标准；规范实施临时救助政策，实现及时高效，救急解难；对流浪未成年人提供特殊优先保护及教育矫治等专业服务，确保其健康成长；对存在流浪风险的未成年人开展摸底排查、家庭监护评估、监护监督等工作，为其提供临时照料、医疗救治、心理疏导、行为矫治、社会融入、家庭关系协调、法律援助等专业服务，从源头上预防未成年人外出流浪；引导市县提高孤儿基本生活保障水平，孤儿生活保障政策规范高效实施，使孤儿和艾滋病病毒感染儿童生活基本得到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院内孤儿数量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150人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认定准确率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困难群众基本生活救助和孤儿基本生活费按时发放率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每月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孤儿基本生活保障水平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有所保障</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孤儿基本生活保障保障水平不断提升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救助孤儿对社会救助实施的满意度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救助孤儿对社会救助实施的满意度不断提升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2023年市城区城市低保家庭冬季供暖补贴（市级奖补支出）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按照部门预算编制和资金管理办法的要求，进行项目论证、评审、立项等必要程序。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目标1：为城区城市低保对象发放取暖补贴</w:t>
            </w:r>
            <w:r>
              <w:br w:type="textWrapping"/>
            </w:r>
            <w:r>
              <w:rPr>
                <w:rFonts w:ascii="宋体" w:hAnsi="宋体" w:eastAsia="宋体" w:cs="宋体"/>
                <w:i w:val="0"/>
                <w:iCs w:val="0"/>
                <w:color w:val="000000"/>
                <w:kern w:val="0"/>
                <w:sz w:val="18"/>
                <w:szCs w:val="18"/>
                <w:u w:val="none"/>
                <w:lang w:val="en-US" w:eastAsia="zh-CN"/>
              </w:rPr>
              <w:t xml:space="preserve"> 目标2：保障城区城市低保对象温暖过冬</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已完成为城区城市低保对象发放取暖补贴；保障城区城市低保对象温暖过冬。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取暖补贴标准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≤160元/户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160元/户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指标1：低保家庭数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≥6000户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5750户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根据实际户数支出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补贴发放准确率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指标1：发放时间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每年12月底</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指标1：低保家庭生活情况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有所提升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救助对象对社会救助实施的满意度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救助对象对社会救助实施满意度不断提升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98.33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惠民殡葬服务费（市级奖补支出）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758.82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108.26</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14.27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758.82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108.26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14.27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目标1：免除基本殡葬服务费，提高全市火化率。</w:t>
            </w:r>
            <w:r>
              <w:br w:type="textWrapping"/>
            </w:r>
            <w:r>
              <w:rPr>
                <w:rFonts w:ascii="宋体" w:hAnsi="宋体" w:eastAsia="宋体" w:cs="宋体"/>
                <w:i w:val="0"/>
                <w:iCs w:val="0"/>
                <w:color w:val="000000"/>
                <w:kern w:val="0"/>
                <w:sz w:val="18"/>
                <w:szCs w:val="18"/>
                <w:u w:val="none"/>
                <w:lang w:val="en-US" w:eastAsia="zh-CN"/>
              </w:rPr>
              <w:t>目标2：不断完善机制，确保殡故人员享受应享受的优惠。</w:t>
            </w:r>
            <w:r>
              <w:br w:type="textWrapping"/>
            </w:r>
            <w:r>
              <w:rPr>
                <w:rFonts w:ascii="宋体" w:hAnsi="宋体" w:eastAsia="宋体" w:cs="宋体"/>
                <w:i w:val="0"/>
                <w:iCs w:val="0"/>
                <w:color w:val="000000"/>
                <w:kern w:val="0"/>
                <w:sz w:val="18"/>
                <w:szCs w:val="18"/>
                <w:u w:val="none"/>
                <w:lang w:val="en-US" w:eastAsia="zh-CN"/>
              </w:rPr>
              <w:t>目标3：指导各地加大对政策的宣传，倡导文明殡葬。</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已完成免除基本殡葬服务费，提高全市火化率；不断完善机制，确保殡故人员享受应享受的优惠；指导各地加大对政策的宣传，倡导文明殡葬。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基本殡葬免除服务费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≤1190元/具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660元/具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符合条件的纳入保障范围率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基本殡葬免费配套资金认定准确率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审批复核的及时性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30日内</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提高火化率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逐步提高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火化率不断提高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政策知晓率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殡葬家属满意度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殡葬家属满意度不断提升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拨付2023年1-3月份免除的市区城乡居民基本殡葬服务费（上级配套支出）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92.2</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目标1：免除基本殡葬服务费，提高全市火化率。</w:t>
            </w:r>
            <w:r>
              <w:br w:type="textWrapping"/>
            </w:r>
            <w:r>
              <w:rPr>
                <w:rFonts w:ascii="宋体" w:hAnsi="宋体" w:eastAsia="宋体" w:cs="宋体"/>
                <w:i w:val="0"/>
                <w:iCs w:val="0"/>
                <w:color w:val="000000"/>
                <w:kern w:val="0"/>
                <w:sz w:val="18"/>
                <w:szCs w:val="18"/>
                <w:u w:val="none"/>
                <w:lang w:val="en-US" w:eastAsia="zh-CN"/>
              </w:rPr>
              <w:t>目标2：不断完善机制，确保殡故人员享受应享受的优惠。</w:t>
            </w:r>
            <w:r>
              <w:br w:type="textWrapping"/>
            </w:r>
            <w:r>
              <w:rPr>
                <w:rFonts w:ascii="宋体" w:hAnsi="宋体" w:eastAsia="宋体" w:cs="宋体"/>
                <w:i w:val="0"/>
                <w:iCs w:val="0"/>
                <w:color w:val="000000"/>
                <w:kern w:val="0"/>
                <w:sz w:val="18"/>
                <w:szCs w:val="18"/>
                <w:u w:val="none"/>
                <w:lang w:val="en-US" w:eastAsia="zh-CN"/>
              </w:rPr>
              <w:t>目标3：指导各地加大对政策的宣传，倡导文明殡葬。</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已完成免除基本殡葬服务费，提高全市火化率；不断完善机制，确保殡故人员享受应享受的优惠；指导各地加大对政策的宣传，倡导文明殡葬。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92.2034万元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92.20万元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符合条件的人员纳入保障范围率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基本殡葬免费配套资金认定准确率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审批复核的及时性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30日内</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提高火化率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逐步提高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政策知晓率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11.29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政策知晓率不断提升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殡葬家属满意度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殡葬家属满意度不断提升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2023年受艾滋病影响人员生活定量补助市级资金剩余部分（上级配套支出）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按照部门预算编制和资金管理办法的要求，进行项目论证、评审、立项等必要程序。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目标1：按时足额发放受艾滋病影响人员基本生活定量补助</w:t>
            </w:r>
            <w:r>
              <w:br w:type="textWrapping"/>
            </w:r>
            <w:r>
              <w:rPr>
                <w:rFonts w:ascii="宋体" w:hAnsi="宋体" w:eastAsia="宋体" w:cs="宋体"/>
                <w:i w:val="0"/>
                <w:iCs w:val="0"/>
                <w:color w:val="000000"/>
                <w:kern w:val="0"/>
                <w:sz w:val="18"/>
                <w:szCs w:val="18"/>
                <w:u w:val="none"/>
                <w:lang w:val="en-US" w:eastAsia="zh-CN"/>
              </w:rPr>
              <w:t xml:space="preserve"> 目标2：保障特殊困难群体的基本生活</w:t>
            </w:r>
            <w:r>
              <w:br w:type="textWrapping"/>
            </w:r>
            <w:r>
              <w:rPr>
                <w:rFonts w:ascii="宋体" w:hAnsi="宋体" w:eastAsia="宋体" w:cs="宋体"/>
                <w:i w:val="0"/>
                <w:iCs w:val="0"/>
                <w:color w:val="000000"/>
                <w:kern w:val="0"/>
                <w:sz w:val="18"/>
                <w:szCs w:val="18"/>
                <w:u w:val="none"/>
                <w:lang w:val="en-US" w:eastAsia="zh-CN"/>
              </w:rPr>
              <w:t xml:space="preserve"> 目标3：提高困难群众的获得感</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已按时足额发放受艾滋病影响人员基本生活定量补助、保障特殊困难群体的基本生活、提高困难群众的获得感。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符合条件的受艾滋病影响人员补助数量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受艾滋病影响人员基本生活定量补助发放标准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受艾滋病影响人员基本生活定量补助对象认定准确率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受艾滋病影响人员基本生活定量补助资金社会化发放率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受艾滋病影响人员基本生活定量补助按时发放率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受艾滋病影响人员生活水平情况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有所提升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23.75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受艾滋病影响人员生活水平不断提高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受艾滋病影响人员基本生活定量补助的满意度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提前下达2023年困难群众救助补助资金（上级提前下达）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373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333.27</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89.35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373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333.27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89.35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1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1.规范城乡低保政策实施，合理确定保障标准，使低保对象基本生活得到有效保障。                                        </w:t>
            </w:r>
            <w:r>
              <w:br w:type="textWrapping"/>
            </w:r>
            <w:r>
              <w:rPr>
                <w:rFonts w:ascii="宋体" w:hAnsi="宋体" w:eastAsia="宋体" w:cs="宋体"/>
                <w:i w:val="0"/>
                <w:iCs w:val="0"/>
                <w:color w:val="000000"/>
                <w:kern w:val="0"/>
                <w:sz w:val="18"/>
                <w:szCs w:val="18"/>
                <w:u w:val="none"/>
                <w:lang w:val="en-US" w:eastAsia="zh-CN"/>
              </w:rPr>
              <w:t>2.统筹城乡特困人员救助供养工作，合理确定保障标准。</w:t>
            </w:r>
            <w:r>
              <w:br w:type="textWrapping"/>
            </w:r>
            <w:r>
              <w:rPr>
                <w:rFonts w:ascii="宋体" w:hAnsi="宋体" w:eastAsia="宋体" w:cs="宋体"/>
                <w:i w:val="0"/>
                <w:iCs w:val="0"/>
                <w:color w:val="000000"/>
                <w:kern w:val="0"/>
                <w:sz w:val="18"/>
                <w:szCs w:val="18"/>
                <w:u w:val="none"/>
                <w:lang w:val="en-US" w:eastAsia="zh-CN"/>
              </w:rPr>
              <w:t>3.规范实施临时救助政策，实现及时高效，救急解难。</w:t>
            </w:r>
            <w:r>
              <w:br w:type="textWrapping"/>
            </w:r>
            <w:r>
              <w:rPr>
                <w:rFonts w:ascii="宋体" w:hAnsi="宋体" w:eastAsia="宋体" w:cs="宋体"/>
                <w:i w:val="0"/>
                <w:iCs w:val="0"/>
                <w:color w:val="000000"/>
                <w:kern w:val="0"/>
                <w:sz w:val="18"/>
                <w:szCs w:val="18"/>
                <w:u w:val="none"/>
                <w:lang w:val="en-US" w:eastAsia="zh-CN"/>
              </w:rPr>
              <w:t>4.对流浪未成年人提供特殊优先保护及教育矫治等专业服务，确保其健康成长。</w:t>
            </w:r>
            <w:r>
              <w:br w:type="textWrapping"/>
            </w:r>
            <w:r>
              <w:rPr>
                <w:rFonts w:ascii="宋体" w:hAnsi="宋体" w:eastAsia="宋体" w:cs="宋体"/>
                <w:i w:val="0"/>
                <w:iCs w:val="0"/>
                <w:color w:val="000000"/>
                <w:kern w:val="0"/>
                <w:sz w:val="18"/>
                <w:szCs w:val="18"/>
                <w:u w:val="none"/>
                <w:lang w:val="en-US" w:eastAsia="zh-CN"/>
              </w:rPr>
              <w:t>5.对存在流浪风险的未成年人开展摸底排查、家庭监护评估、监护监督等工作，为其提供临时照料、医疗救治、心理疏导、行为矫治、社会融入、家庭关系协调、法律援助等专业服务，从源头上预防未成年人外出流浪。</w:t>
            </w:r>
            <w:r>
              <w:br w:type="textWrapping"/>
            </w:r>
            <w:r>
              <w:rPr>
                <w:rFonts w:ascii="宋体" w:hAnsi="宋体" w:eastAsia="宋体" w:cs="宋体"/>
                <w:i w:val="0"/>
                <w:iCs w:val="0"/>
                <w:color w:val="000000"/>
                <w:kern w:val="0"/>
                <w:sz w:val="18"/>
                <w:szCs w:val="18"/>
                <w:u w:val="none"/>
                <w:lang w:val="en-US" w:eastAsia="zh-CN"/>
              </w:rPr>
              <w:t>6.引导市县提高孤儿基本生活保障水平，孤儿生活保障政策规范高效实施，使孤儿和艾滋病病毒感染儿童生活基本得到保障。</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按要求规范城乡低保政策实施，合理确定保障标准，使低保对象基本生活得到有效保障；统筹城乡特困人员救助供养工作，合理确定保障标准；规范实施临时救助政策，实现及时高效，救急解难；对流浪未成年人提供特殊优先保护及教育矫治等专业服务，确保其健康成长；对存在流浪风险的未成年人开展摸底排查、家庭监护评估、监护监督等工作，为其提供临时照料、医疗救治、心理疏导、行为矫治、社会融入、家庭关系协调、法律援助等专业服务，从源头上预防未成年人外出流浪；引导市县提高孤儿基本生活保障水平，孤儿生活保障政策规范高效实施，使孤儿和艾滋病病毒感染儿童生活基本得到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373万元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333.27万元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低保对象人数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5360人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4.47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-10.67%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按照资金支付进度完成相应低保人数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临时救助人次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≥200次/年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180次/年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按照资金支付进度完成相应救助人次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城乡低保标准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稳步提高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建立社会救助家庭经济状况核对机制的县（市、区）比例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建立社会救助家庭经济状况核对机制的县（市、区）比例不断完善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困难群众认定准确率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困难群众基本生活救助和孤儿基本生活费按时发放率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及时发放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困难群众生活水平情况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有所提升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帮助查明身份滞留乞讨人员返乡情况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即使送返</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救助对象对社会救助实施的满意度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4.44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救助对象对社会救助实施的满意度不断提升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97.28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2022年中央集中彩票公益金支持社会福利事业专项资金-防疫物资采购项目（结转上级资金）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28.28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28.28</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28.28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按照部门预算编制和资金管理办法的要求，进行项目论证、评审、立项等必要程序。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养老服务设施改造、设备购置，配备疫情防控、消防安全物资设施设备，提升养老服务设施服务能力。</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已按照要求对养老服务设施改造、设备购置，配备疫情防控、消防安全物资设施设备，提升养老服务设施服务能力。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采购成本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≤28.28万元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28.28万元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配备物资的养老机构数量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199个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199个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购置设备质量合格率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资金分解下达时效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≤30天</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养老机构应急救援能力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显著提升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养老机构应急救援能力不断提升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养老机构受助老年人满意度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关于调整提前下达2023年中央集中彩票公益金支持社会福利事业专项资金-老年人福利类项目资金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按照部门预算编制和资金管理办法的要求，进行项目论证、评审、立项等必要程序。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政府购买服务、委托运营等方式选择专业机构运营社区养老服务设施，提供助餐、助洁、健康管理、文化娱乐等服务，推进运营服务提质。支持养老服务技能进街道、进社区、进家庭，帮助老年人及其家庭成员、护理人员逐步提高服务能力。</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按要求通过政府购买服务、委托运营等方式选择专业机构运营社区养老服务设施，提供助餐、助洁、健康管理、文化娱乐等服务，推进运营服务提质。支持养老服务技能进街道、进社区、进家庭，帮助老年人及其家庭成员、护理人员逐步提高服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支持项目数量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项目方案编制完整性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采购后一年内</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养老服务有效供给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养老服务有效供给 持续增加</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养老服务有效供给不断完善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服务人群覆盖面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持续扩大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居家社区养老服务条件和服务水平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持续提升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受益人群满意度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受益人群满意度不断提升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98.91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2022年10-12月份基本殡葬免除费（区级上解）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161.46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161.46</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161.46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161.46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目标1：免除基本殡葬服务费，提高全市火化率。</w:t>
            </w:r>
            <w:r>
              <w:br w:type="textWrapping"/>
            </w:r>
            <w:r>
              <w:rPr>
                <w:rFonts w:ascii="宋体" w:hAnsi="宋体" w:eastAsia="宋体" w:cs="宋体"/>
                <w:i w:val="0"/>
                <w:iCs w:val="0"/>
                <w:color w:val="000000"/>
                <w:kern w:val="0"/>
                <w:sz w:val="18"/>
                <w:szCs w:val="18"/>
                <w:u w:val="none"/>
                <w:lang w:val="en-US" w:eastAsia="zh-CN"/>
              </w:rPr>
              <w:t>目标2：不断完善机制，确保殡故人员享受应享受的优惠。</w:t>
            </w:r>
            <w:r>
              <w:br w:type="textWrapping"/>
            </w:r>
            <w:r>
              <w:rPr>
                <w:rFonts w:ascii="宋体" w:hAnsi="宋体" w:eastAsia="宋体" w:cs="宋体"/>
                <w:i w:val="0"/>
                <w:iCs w:val="0"/>
                <w:color w:val="000000"/>
                <w:kern w:val="0"/>
                <w:sz w:val="18"/>
                <w:szCs w:val="18"/>
                <w:u w:val="none"/>
                <w:lang w:val="en-US" w:eastAsia="zh-CN"/>
              </w:rPr>
              <w:t>目标3：指导各地加大对政策的宣传，倡导文明殡葬。</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按照要求免除基本殡葬服务费，提高全市火化率；不断完善机制，确保殡故人员享受应享受的优惠；指导各地加大对政策的宣传，倡导文明殡葬。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161.46万元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161.46万元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符合条件的人员纳入保障范围率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基本殡葬免费配套资金认定准确率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审批复核的及时性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30日内</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提高火化率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逐步提高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火化率逐步提升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殡葬家属满意度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提前下达2023年残疾人“两项补贴”市级补助资金-重度残疾人护理补贴（上级配套支出）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105</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按照部门预算编制和资金管理办法的要求，进行项目论证、评审、立项等必要程序。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目标1：督促各地不断完善机制，按时发放残疾人两项补贴资金；</w:t>
            </w:r>
            <w:r>
              <w:br w:type="textWrapping"/>
            </w:r>
            <w:r>
              <w:rPr>
                <w:rFonts w:ascii="宋体" w:hAnsi="宋体" w:eastAsia="宋体" w:cs="宋体"/>
                <w:i w:val="0"/>
                <w:iCs w:val="0"/>
                <w:color w:val="000000"/>
                <w:kern w:val="0"/>
                <w:sz w:val="18"/>
                <w:szCs w:val="18"/>
                <w:u w:val="none"/>
                <w:lang w:val="en-US" w:eastAsia="zh-CN"/>
              </w:rPr>
              <w:t xml:space="preserve"> 目标2：指导各地严格按照残疾人两项补贴程序和要求，依法审定补贴对象；</w:t>
            </w:r>
            <w:r>
              <w:br w:type="textWrapping"/>
            </w:r>
            <w:r>
              <w:rPr>
                <w:rFonts w:ascii="宋体" w:hAnsi="宋体" w:eastAsia="宋体" w:cs="宋体"/>
                <w:i w:val="0"/>
                <w:iCs w:val="0"/>
                <w:color w:val="000000"/>
                <w:kern w:val="0"/>
                <w:sz w:val="18"/>
                <w:szCs w:val="18"/>
                <w:u w:val="none"/>
                <w:lang w:val="en-US" w:eastAsia="zh-CN"/>
              </w:rPr>
              <w:t xml:space="preserve"> 目标3：指导各地加大对政策的宣传，提高政策的知晓率。</w:t>
            </w:r>
            <w:r>
              <w:br w:type="textWrapping"/>
            </w:r>
            <w:r>
              <w:rPr>
                <w:rFonts w:ascii="宋体" w:hAnsi="宋体" w:eastAsia="宋体" w:cs="宋体"/>
                <w:i w:val="0"/>
                <w:iCs w:val="0"/>
                <w:color w:val="000000"/>
                <w:kern w:val="0"/>
                <w:sz w:val="18"/>
                <w:szCs w:val="18"/>
                <w:u w:val="none"/>
                <w:lang w:val="en-US" w:eastAsia="zh-CN"/>
              </w:rPr>
              <w:t xml:space="preserve"> ……</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按要求督促各地不断完善机制，按时发放残疾人两项补贴资金；指导各地严格按照残疾人两项补贴程序和要求，依法审定补贴对象；指导各地加大对政策的宣传，提高政策的知晓率。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105万元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指标1：符合条件的残疾人申请纳入保障范围率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指标1：残疾人“两项补贴”对象认定准确率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指标2：残疾人“两项补贴”发放率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不低于上年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指标3：残疾人“两项补贴”发放标准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不低于上年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指标1：审批复核的及时性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指标2：向各区财政部门下达两项补贴资金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指标1：政策知晓率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稳步提升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指标2：领取残疾人两项补贴对象生活水平和照护服务水平提升情况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11.76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残疾人两项体贴对象生活水平和招呼服务水平不断提升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指标1：残疾人两项补贴对象满意度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残疾人两项体贴对象满意度不断提升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98.97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下达2023年80岁以上老人高龄津贴补助资金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257</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引导各区稳步提升高龄老人生活水平。</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已完成引导各区稳步提升高龄老人生活水平。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257万元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年度累计发放高龄津贴的80岁以上老年人口数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≥2.85万人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2.85万人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80-89岁老年人每月发放标准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90-99岁老年人每月发放标准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100岁老年人每月发放标准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高龄津贴资金社会化发放率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高龄津贴资金政策的合规性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补助资金及时发放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高龄老人生活水平提升情况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稳步提升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80岁以上老年人满意度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80岁以上老年人满意度不断提升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追加慈善总会工作经费（结转本级资金）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目标1：保障总会工作人员的待遇，根据工作年限、学历、技术职称制定实施工作人员待遇增长机制。</w:t>
            </w:r>
            <w:r>
              <w:br w:type="textWrapping"/>
            </w:r>
            <w:r>
              <w:rPr>
                <w:rFonts w:ascii="宋体" w:hAnsi="宋体" w:eastAsia="宋体" w:cs="宋体"/>
                <w:i w:val="0"/>
                <w:iCs w:val="0"/>
                <w:color w:val="000000"/>
                <w:kern w:val="0"/>
                <w:sz w:val="18"/>
                <w:szCs w:val="18"/>
                <w:u w:val="none"/>
                <w:lang w:val="en-US" w:eastAsia="zh-CN"/>
              </w:rPr>
              <w:t xml:space="preserve"> 目标2：为总会工作人员缴纳保险、住房公积金。</w:t>
            </w:r>
            <w:r>
              <w:br w:type="textWrapping"/>
            </w:r>
            <w:r>
              <w:rPr>
                <w:rFonts w:ascii="宋体" w:hAnsi="宋体" w:eastAsia="宋体" w:cs="宋体"/>
                <w:i w:val="0"/>
                <w:iCs w:val="0"/>
                <w:color w:val="000000"/>
                <w:kern w:val="0"/>
                <w:sz w:val="18"/>
                <w:szCs w:val="18"/>
                <w:u w:val="none"/>
                <w:lang w:val="en-US" w:eastAsia="zh-CN"/>
              </w:rPr>
              <w:t xml:space="preserve"> 目标3：维护总工会日常办公运行。</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已完成保障总会工作人员的待遇，根据工作年限、学历、技术职称制定实施工作人员待遇增长机制；为总会工作人员缴纳保险、住房公积金；维护总工会日常办公运行。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追加预算安排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慈善总会发放工资人数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补助发放准确率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日常办公运行维护费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工资、补贴发放及时情况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及时发放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工作人员幸福感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不断提升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23.75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工作人员幸福感不断提升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工作人员满意度不断提升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98.49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拨付2023年1-3月份免除的市区城乡居民基本殡葬服务费（区级专项上解资金）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136.11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98.5</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72.37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136.11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72.37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按照部门预算编制和资金管理办法的要求，进行项目论证、评审、立项等必要程序。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目标1：免除基本殡葬服务费，提高全市火化率。</w:t>
            </w:r>
            <w:r>
              <w:br w:type="textWrapping"/>
            </w:r>
            <w:r>
              <w:rPr>
                <w:rFonts w:ascii="宋体" w:hAnsi="宋体" w:eastAsia="宋体" w:cs="宋体"/>
                <w:i w:val="0"/>
                <w:iCs w:val="0"/>
                <w:color w:val="000000"/>
                <w:kern w:val="0"/>
                <w:sz w:val="18"/>
                <w:szCs w:val="18"/>
                <w:u w:val="none"/>
                <w:lang w:val="en-US" w:eastAsia="zh-CN"/>
              </w:rPr>
              <w:t>目标2：不断完善机制，确保殡故人员享受应享受的优惠。</w:t>
            </w:r>
            <w:r>
              <w:br w:type="textWrapping"/>
            </w:r>
            <w:r>
              <w:rPr>
                <w:rFonts w:ascii="宋体" w:hAnsi="宋体" w:eastAsia="宋体" w:cs="宋体"/>
                <w:i w:val="0"/>
                <w:iCs w:val="0"/>
                <w:color w:val="000000"/>
                <w:kern w:val="0"/>
                <w:sz w:val="18"/>
                <w:szCs w:val="18"/>
                <w:u w:val="none"/>
                <w:lang w:val="en-US" w:eastAsia="zh-CN"/>
              </w:rPr>
              <w:t>目标3：指导各地加大对政策的宣传，倡导文明殡葬。</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已按要求免除基本殡葬服务费，提高全市火化率；不断完善机制，确保殡故人员享受应享受的优惠；指导各地加大对政策的宣传，倡导文明殡葬。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136.1106万元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98.50万元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符合条件的人员纳入保障范围率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基本殡葬免费配套资金认定准确率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审批复核的及时性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30日内</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提高火化率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逐步提高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政策知晓率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11.29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政策知晓率不断提升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殡葬家属满意度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殡葬家属满意度不断提升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春节期间慰问困难群众资金（基本运转支出）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209.14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209.13</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209.14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209.13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目标1：冬春慰问困难群众</w:t>
            </w:r>
            <w:r>
              <w:br w:type="textWrapping"/>
            </w:r>
            <w:r>
              <w:rPr>
                <w:rFonts w:ascii="宋体" w:hAnsi="宋体" w:eastAsia="宋体" w:cs="宋体"/>
                <w:i w:val="0"/>
                <w:iCs w:val="0"/>
                <w:color w:val="000000"/>
                <w:kern w:val="0"/>
                <w:sz w:val="18"/>
                <w:szCs w:val="18"/>
                <w:u w:val="none"/>
                <w:lang w:val="en-US" w:eastAsia="zh-CN"/>
              </w:rPr>
              <w:t>目标2：有效提高困难群众的获得感</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按照时间要求冬春慰问困难群众，有效提高困难群众的获得感幸福感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冬春慰问困难群众预算安排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209.13万元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冬春困难群众春节慰问户数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≥3500户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3500户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冬春困难群众春节慰问标准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资金按时发放率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提高困难群众的获得感、满意度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稳步提升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23.75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不断提高困难群众获得感、幸福感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民政值班应急智慧系统（结转本级资金）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30.2</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按照部门预算编制和资金管理办法的要求，进行项目论证、评审、立项等必要程序。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目标1：民政值班应急指挥视频会议系统1套</w:t>
            </w:r>
            <w:r>
              <w:br w:type="textWrapping"/>
            </w:r>
            <w:r>
              <w:rPr>
                <w:rFonts w:ascii="宋体" w:hAnsi="宋体" w:eastAsia="宋体" w:cs="宋体"/>
                <w:i w:val="0"/>
                <w:iCs w:val="0"/>
                <w:color w:val="000000"/>
                <w:kern w:val="0"/>
                <w:sz w:val="18"/>
                <w:szCs w:val="18"/>
                <w:u w:val="none"/>
                <w:lang w:val="en-US" w:eastAsia="zh-CN"/>
              </w:rPr>
              <w:t>目标2：值班点名与应急指挥调度能力</w:t>
            </w:r>
            <w:r>
              <w:br w:type="textWrapping"/>
            </w:r>
            <w:r>
              <w:rPr>
                <w:rFonts w:ascii="宋体" w:hAnsi="宋体" w:eastAsia="宋体" w:cs="宋体"/>
                <w:i w:val="0"/>
                <w:iCs w:val="0"/>
                <w:color w:val="000000"/>
                <w:kern w:val="0"/>
                <w:sz w:val="18"/>
                <w:szCs w:val="18"/>
                <w:u w:val="none"/>
                <w:lang w:val="en-US" w:eastAsia="zh-CN"/>
              </w:rPr>
              <w:t>目标3：市县区视频会议能力</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已按照文件要求完成民政值班应急指挥视频会议系统1套，提升值班点名与应急指挥调度能力，提升市县区视频会议能力。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民政电视电话会议系统升级改造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30.2万元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1套机柜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1套多点控制器MCU</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1台智慧屏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1台移动支架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1套集成与辅材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相关设备合格率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规定时间内完成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12月31日前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显著提高值班点名与应急指挥工作效率与信息化水平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部门人员体验满意度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支持社会组织参与社会公益服务项目补助（结转上级资金）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1.97</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按照部门预算编制和资金管理办法的要求，进行项目论证、评审、立项等必要程序。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通过政府购买服务方式，支持社会组织参与农村留守儿童关爱服务</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已按照要求通过政府购买服务方式，支持社会组织参与农村留守儿童关爱服务，提升儿童幸福感。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受关爱农村留守儿童数量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247个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247个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针对农村留守儿童年龄和性别特点，分时段开展形式多样符合儿童身心特点的活动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对需要上门探访的儿童进行上门探访，进行面对面咨询辅导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对所有服务对象进行基本状况评估，并建立基本情况档案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许昌地区农村留守儿童身心健康发展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有所提升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23.75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不断提高许昌农村留守儿童身心健康发展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受关爱农村留守儿童满意度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残疾人“两项补贴”市级补助资金剩余部分-困难残疾人生活补贴（上级配套支出）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29.72</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90.06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90.06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目标1：督促各地不断完善机制，按时发放残疾人两项补贴资金；</w:t>
            </w:r>
            <w:r>
              <w:br w:type="textWrapping"/>
            </w:r>
            <w:r>
              <w:rPr>
                <w:rFonts w:ascii="宋体" w:hAnsi="宋体" w:eastAsia="宋体" w:cs="宋体"/>
                <w:i w:val="0"/>
                <w:iCs w:val="0"/>
                <w:color w:val="000000"/>
                <w:kern w:val="0"/>
                <w:sz w:val="18"/>
                <w:szCs w:val="18"/>
                <w:u w:val="none"/>
                <w:lang w:val="en-US" w:eastAsia="zh-CN"/>
              </w:rPr>
              <w:t xml:space="preserve"> 目标2：指导各地严格按照残疾人两项补贴程序和要求，依法审定补贴对象；</w:t>
            </w:r>
            <w:r>
              <w:br w:type="textWrapping"/>
            </w:r>
            <w:r>
              <w:rPr>
                <w:rFonts w:ascii="宋体" w:hAnsi="宋体" w:eastAsia="宋体" w:cs="宋体"/>
                <w:i w:val="0"/>
                <w:iCs w:val="0"/>
                <w:color w:val="000000"/>
                <w:kern w:val="0"/>
                <w:sz w:val="18"/>
                <w:szCs w:val="18"/>
                <w:u w:val="none"/>
                <w:lang w:val="en-US" w:eastAsia="zh-CN"/>
              </w:rPr>
              <w:t xml:space="preserve"> 目标3：指导各地加大对政策的宣传，提高政策的知晓率。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按要求督促各地不断完善机制，按时发放残疾人两项补贴资金；指导各地严格按照残疾人两项补贴程序和要求，依法审定补贴对象；指导各地加大对政策的宣传，提高政策的知晓率。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指标1：符合条件的残疾人受助残疾人数量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≥4400人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4400人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指标1：残疾人“两项补贴”对象认定准确率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指标2：残疾人“两项补贴”发放率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指标3：残疾人“两项补贴”发放标准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75元/月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指标1：审批复核的及时性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指标2：向各区财政部门下达两项补贴资金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指标1：领取残疾人两项补贴对象生活水平和照护服务水平提升情况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稳步提升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指标2：政策知晓率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9.41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政策知晓率不断提高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指标1：残疾人两项补贴对象满意度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残疾人两项补贴对象满意度不断提升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2023年省级困难群众救助补助资金-新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按照部门预算编制和资金管理办法的要求，进行项目论证、评审、立项等必要程序。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br w:type="textWrapping"/>
            </w:r>
            <w:r>
              <w:rPr>
                <w:rFonts w:ascii="宋体" w:hAnsi="宋体" w:eastAsia="宋体" w:cs="宋体"/>
                <w:i w:val="0"/>
                <w:iCs w:val="0"/>
                <w:color w:val="000000"/>
                <w:kern w:val="0"/>
                <w:sz w:val="18"/>
                <w:szCs w:val="18"/>
                <w:u w:val="none"/>
                <w:lang w:val="en-US" w:eastAsia="zh-CN"/>
              </w:rPr>
              <w:t>1.提高孤儿基本生活保障水平，孤儿生活保障政策规范高效实施，使孤儿和艾滋病病毒感染儿童生活基本得到保障。</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完成提高孤儿基本生活保障水平，孤儿生活保障政策规范高效实施，使孤儿和艾滋病病毒感染儿童生活基本得到保障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院内孤儿数量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150人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孤儿基本生活水平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不低于上年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认定准确率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按时发放率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孤儿生活水平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不断提升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院内孤儿满意度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慈善总会财政补助资金（基本运转支出）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按照部门预算编制和资金管理办法的要求，进行项目论证、评审、立项等必要程序。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目标1：保障总会工作人员的待遇，根据工作年限、学历、技术职称制定实施工作人员待遇增长机制；</w:t>
            </w:r>
            <w:r>
              <w:br w:type="textWrapping"/>
            </w:r>
            <w:r>
              <w:rPr>
                <w:rFonts w:ascii="宋体" w:hAnsi="宋体" w:eastAsia="宋体" w:cs="宋体"/>
                <w:i w:val="0"/>
                <w:iCs w:val="0"/>
                <w:color w:val="000000"/>
                <w:kern w:val="0"/>
                <w:sz w:val="18"/>
                <w:szCs w:val="18"/>
                <w:u w:val="none"/>
                <w:lang w:val="en-US" w:eastAsia="zh-CN"/>
              </w:rPr>
              <w:t xml:space="preserve"> 目标2：为总会工作人员缴纳保险、住房公积金；</w:t>
            </w:r>
            <w:r>
              <w:br w:type="textWrapping"/>
            </w:r>
            <w:r>
              <w:rPr>
                <w:rFonts w:ascii="宋体" w:hAnsi="宋体" w:eastAsia="宋体" w:cs="宋体"/>
                <w:i w:val="0"/>
                <w:iCs w:val="0"/>
                <w:color w:val="000000"/>
                <w:kern w:val="0"/>
                <w:sz w:val="18"/>
                <w:szCs w:val="18"/>
                <w:u w:val="none"/>
                <w:lang w:val="en-US" w:eastAsia="zh-CN"/>
              </w:rPr>
              <w:t xml:space="preserve"> 目标3：维护总会日常办公运行。</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已完成保障总会工作人员的待遇，根据工作年限、学历、技术职称制定实施工作人员待遇增长机制；为总会工作人员缴纳保险、住房公积金；维护总会日常办公运行。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指标1：慈善总会工资发放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指标2：社会保险缴纳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指标3：日常办公运行维护费（办公费，水电费等）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指标2：日常办公运行维护费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指标1：慈善总会发放工资人数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指标1：补助发放准确率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指标2：维护总会日常办公运行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指标1：补助发放及时情况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及时发放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指标2：2022年全年维护日常办公运行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指标1：工作人员生活水平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不断提升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指标1：工作人员满意度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工作人员满意度不断提升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提前下达2023年受艾滋病影响人员生活定量补助市级资金（上级配套支出）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目标1：按时足额发放受艾滋病影响人员基本生活定量补助</w:t>
            </w:r>
            <w:r>
              <w:br w:type="textWrapping"/>
            </w:r>
            <w:r>
              <w:rPr>
                <w:rFonts w:ascii="宋体" w:hAnsi="宋体" w:eastAsia="宋体" w:cs="宋体"/>
                <w:i w:val="0"/>
                <w:iCs w:val="0"/>
                <w:color w:val="000000"/>
                <w:kern w:val="0"/>
                <w:sz w:val="18"/>
                <w:szCs w:val="18"/>
                <w:u w:val="none"/>
                <w:lang w:val="en-US" w:eastAsia="zh-CN"/>
              </w:rPr>
              <w:t xml:space="preserve"> 目标2：保障特殊困难群体的基本生活</w:t>
            </w:r>
            <w:r>
              <w:br w:type="textWrapping"/>
            </w:r>
            <w:r>
              <w:rPr>
                <w:rFonts w:ascii="宋体" w:hAnsi="宋体" w:eastAsia="宋体" w:cs="宋体"/>
                <w:i w:val="0"/>
                <w:iCs w:val="0"/>
                <w:color w:val="000000"/>
                <w:kern w:val="0"/>
                <w:sz w:val="18"/>
                <w:szCs w:val="18"/>
                <w:u w:val="none"/>
                <w:lang w:val="en-US" w:eastAsia="zh-CN"/>
              </w:rPr>
              <w:t xml:space="preserve"> 目标3：提高困难群众的获得感</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已按要求按时足额发放受艾滋病影响人员基本生活定量补助；保障特殊困难群体的基本生活；提高困难群众的获得感。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符合条件的受艾滋病影响人员申请补贴纳入保障范围率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受艾滋病影响人员基本生活定量补助发放标准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200元/月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200元/月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受艾滋病影响人员基本生活定量补助对象认定准确率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受艾滋病影响人员基本生活定量补助资金社会化发放率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受艾滋病影响人员生活水平情况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有所提升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政策知晓率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受艾滋病影响人员基本生活定量补助的满意度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受艾滋病影响人员基本生活定量补助的满意度不断提升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提前下达2023年残疾人“两项补贴”市级补助资金-困难残疾人生活补贴（上级配套支出）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69</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按照部门预算编制和资金管理办法的要求，进行项目论证、评审、立项等必要程序。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目标1：督促各地不断完善机制，按时发放残疾人两项补贴资金；</w:t>
            </w:r>
            <w:r>
              <w:br w:type="textWrapping"/>
            </w:r>
            <w:r>
              <w:rPr>
                <w:rFonts w:ascii="宋体" w:hAnsi="宋体" w:eastAsia="宋体" w:cs="宋体"/>
                <w:i w:val="0"/>
                <w:iCs w:val="0"/>
                <w:color w:val="000000"/>
                <w:kern w:val="0"/>
                <w:sz w:val="18"/>
                <w:szCs w:val="18"/>
                <w:u w:val="none"/>
                <w:lang w:val="en-US" w:eastAsia="zh-CN"/>
              </w:rPr>
              <w:t xml:space="preserve"> 目标2：指导各地严格按照残疾人两项补贴程序和要求，依法审定补贴对象；</w:t>
            </w:r>
            <w:r>
              <w:br w:type="textWrapping"/>
            </w:r>
            <w:r>
              <w:rPr>
                <w:rFonts w:ascii="宋体" w:hAnsi="宋体" w:eastAsia="宋体" w:cs="宋体"/>
                <w:i w:val="0"/>
                <w:iCs w:val="0"/>
                <w:color w:val="000000"/>
                <w:kern w:val="0"/>
                <w:sz w:val="18"/>
                <w:szCs w:val="18"/>
                <w:u w:val="none"/>
                <w:lang w:val="en-US" w:eastAsia="zh-CN"/>
              </w:rPr>
              <w:t xml:space="preserve"> 目标3：指导各地加大对政策的宣传，提高政策的知晓率。</w:t>
            </w:r>
            <w:r>
              <w:br w:type="textWrapping"/>
            </w:r>
            <w:r>
              <w:rPr>
                <w:rFonts w:ascii="宋体" w:hAnsi="宋体" w:eastAsia="宋体" w:cs="宋体"/>
                <w:i w:val="0"/>
                <w:iCs w:val="0"/>
                <w:color w:val="000000"/>
                <w:kern w:val="0"/>
                <w:sz w:val="18"/>
                <w:szCs w:val="18"/>
                <w:u w:val="none"/>
                <w:lang w:val="en-US" w:eastAsia="zh-CN"/>
              </w:rPr>
              <w:t xml:space="preserve"> ……</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已督促各地不断完善机制，按时发放残疾人两项补贴资金；指导各地严格按照残疾人两项补贴程序和要求，依法审定补贴对象；指导各地加大对政策的宣传，提高政策的知晓率。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69万元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指标1：符合条件的残疾人申请纳入保障范围率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指标1：残疾人“两项补贴”对象认定准确率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指标2：残疾人“两项补贴”发放率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不低于上年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指标3：残疾人“两项补贴”发放标准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不低于上年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指标1：审批复核的及时性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指标2：向各区财政部门下达两项补贴资金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指标2：政策知晓率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11.29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政策知晓率不断提升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指标1：领取残疾人两项补贴对象生活水平和照护服务水平提升情况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稳步提升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指标1：残疾人两项补贴对象满意度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残疾人两项补贴对象满意度不断提升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下达2023年受艾滋病影响人员生活定量补助资金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163</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目标1：按时足额发放受艾滋病影响人员基本生活定量补助</w:t>
            </w:r>
            <w:r>
              <w:br w:type="textWrapping"/>
            </w:r>
            <w:r>
              <w:rPr>
                <w:rFonts w:ascii="宋体" w:hAnsi="宋体" w:eastAsia="宋体" w:cs="宋体"/>
                <w:i w:val="0"/>
                <w:iCs w:val="0"/>
                <w:color w:val="000000"/>
                <w:kern w:val="0"/>
                <w:sz w:val="18"/>
                <w:szCs w:val="18"/>
                <w:u w:val="none"/>
                <w:lang w:val="en-US" w:eastAsia="zh-CN"/>
              </w:rPr>
              <w:t xml:space="preserve"> 目标2：保障特殊困难群体的基本生活</w:t>
            </w:r>
            <w:r>
              <w:br w:type="textWrapping"/>
            </w:r>
            <w:r>
              <w:rPr>
                <w:rFonts w:ascii="宋体" w:hAnsi="宋体" w:eastAsia="宋体" w:cs="宋体"/>
                <w:i w:val="0"/>
                <w:iCs w:val="0"/>
                <w:color w:val="000000"/>
                <w:kern w:val="0"/>
                <w:sz w:val="18"/>
                <w:szCs w:val="18"/>
                <w:u w:val="none"/>
                <w:lang w:val="en-US" w:eastAsia="zh-CN"/>
              </w:rPr>
              <w:t xml:space="preserve"> 目标3：提高困难群众的获得感</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已完成按时足额发放受艾滋病影响人员基本生活定量补助；保障特殊困难群体的基本生活；提高困难群众的获得感。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163万元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受艾滋病影响人员申请补贴纳入保障人数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受艾滋病影响人员基本生活定量补助发放标准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200元/人/月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200元/人/月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受艾滋病影响人员基本生活定量补助对象认定准确率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受艾滋病影响人员基本生活定量补助资金社会化发放率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受艾滋病影响人员基本生活定量补助按时发放率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受艾滋病影响人员生活水平情况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有所提升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受艾滋病影响人员生活水平情况不断提升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受艾滋病影响人员基本生活定量补助的满意度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4.69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受艾滋病影响人员基本生活定量补助满意度不断提升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提前下达2023年中央集中彩票公益金支持社会福利事业发展专项资金（上级提前下达）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176.5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131</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74.22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176.5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74.22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按照部门预算编制和资金管理办法的要求，进行项目论证、评审、立项等必要程序。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目标1：开展“孤儿助学工程”资助考上普通全日制本科、专科学校的孤儿完成学业。</w:t>
            </w:r>
            <w:r>
              <w:br w:type="textWrapping"/>
            </w:r>
            <w:r>
              <w:rPr>
                <w:rFonts w:ascii="宋体" w:hAnsi="宋体" w:eastAsia="宋体" w:cs="宋体"/>
                <w:i w:val="0"/>
                <w:iCs w:val="0"/>
                <w:color w:val="000000"/>
                <w:kern w:val="0"/>
                <w:sz w:val="18"/>
                <w:szCs w:val="18"/>
                <w:u w:val="none"/>
                <w:lang w:val="en-US" w:eastAsia="zh-CN"/>
              </w:rPr>
              <w:t>目标2; 开展“明天计划”资助0-18周岁孤儿医疗康复费用的自付部分，不断提高其医疗保障水平。</w:t>
            </w:r>
            <w:r>
              <w:br w:type="textWrapping"/>
            </w:r>
            <w:r>
              <w:rPr>
                <w:rFonts w:ascii="宋体" w:hAnsi="宋体" w:eastAsia="宋体" w:cs="宋体"/>
                <w:i w:val="0"/>
                <w:iCs w:val="0"/>
                <w:color w:val="000000"/>
                <w:kern w:val="0"/>
                <w:sz w:val="18"/>
                <w:szCs w:val="18"/>
                <w:u w:val="none"/>
                <w:lang w:val="en-US" w:eastAsia="zh-CN"/>
              </w:rPr>
              <w:t>目标3：精神卫生康复中心大楼配置设施设备，能够为全市范围内的精神障碍患者提供多种类型的康复诊疗服务。</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已按要求开展“孤儿助学工程”资助考上普通全日制本科、专科学校的孤儿完成学业；精神卫生康复中心大楼配置设施设备，能够为全市范围内的精神障碍患者提供多种类型的康复诊疗服务。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391万元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自主孤儿医疗康复例数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≥10例</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精神卫生康复中心设备采购数量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明天计划补助准确率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孤儿助学工程发放率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资金及时拨付率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充分发挥精神障碍人员就注重的民政兜底作用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效果显著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精神障碍患者的精神状况不断提升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孤儿助学服务对象满意度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孤儿助学服务对象满意度不断提升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受助精神障碍患者满意度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受助精神障碍患者满意度不断提高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94.64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提前下达2023年高龄津贴市级资金（上级配套支出）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324</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按照部门预算编制和资金管理办法的要求，进行项目论证、评审、立项等必要程序。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引导各区稳步提升高龄老人生活水平。</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按要求完成引导各区稳步提升高龄老人生活水平。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324万元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指标1：年度累计发放高龄津贴的80岁以上老年人口数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≥2.85万人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2.85万人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指标1：80-89岁老年人每月发放标准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指标2：90-99岁老年人每月发放标准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指标3：100岁老年人每月发放标准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指标4：高龄津贴资金社会化发放率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指标5：高龄津贴资金政策的合规性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指标1：补助资金及时发放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指标2：政策知晓率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11.37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政策知晓率不断提高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指标1：高龄老人生活水平提升情况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稳步提升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高龄老人生活水平不断提升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指标1：80岁以上老年人满意度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老年人满意度不断提升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高龄津贴市级配套资金（上级配套支出）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82</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引导各区稳步提升高龄老人生活水平。</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已完成引导各区稳步提升高龄老人生活水平。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82万元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指标1：年度累计发放高龄津贴的80岁以上老年人口数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≥2.85万人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2.85万人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指标1：80-89岁老年人每月发放标准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指标2：90-99岁老年人每月发放标准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指标4：高龄津贴资金社会化发放率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指标3：100岁老年人每月发放标准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指标5：高龄津贴资金政策的合规性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指标1：补助资金及时发放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指标1：高龄老人生活水平提升情况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稳步提升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高龄老人生活水平不断提升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指标2：政策知晓率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11.37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政策知晓率不断提升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指标1：80岁以上老年人满意度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80岁以上老年人满意度不断提升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97.81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下达2023年残疾人“两项补贴”补助资金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355</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按照部门预算编制和资金管理办法的要求，进行项目论证、评审、立项等必要程序。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目标1：督促各地不断完善机制，按时发放残疾人两项补贴资金；</w:t>
            </w:r>
            <w:r>
              <w:br w:type="textWrapping"/>
            </w:r>
            <w:r>
              <w:rPr>
                <w:rFonts w:ascii="宋体" w:hAnsi="宋体" w:eastAsia="宋体" w:cs="宋体"/>
                <w:i w:val="0"/>
                <w:iCs w:val="0"/>
                <w:color w:val="000000"/>
                <w:kern w:val="0"/>
                <w:sz w:val="18"/>
                <w:szCs w:val="18"/>
                <w:u w:val="none"/>
                <w:lang w:val="en-US" w:eastAsia="zh-CN"/>
              </w:rPr>
              <w:t xml:space="preserve"> 目标2：指导各地严格按照残疾人两项补贴程序和要求，依法审定补贴对象；</w:t>
            </w:r>
            <w:r>
              <w:br w:type="textWrapping"/>
            </w:r>
            <w:r>
              <w:rPr>
                <w:rFonts w:ascii="宋体" w:hAnsi="宋体" w:eastAsia="宋体" w:cs="宋体"/>
                <w:i w:val="0"/>
                <w:iCs w:val="0"/>
                <w:color w:val="000000"/>
                <w:kern w:val="0"/>
                <w:sz w:val="18"/>
                <w:szCs w:val="18"/>
                <w:u w:val="none"/>
                <w:lang w:val="en-US" w:eastAsia="zh-CN"/>
              </w:rPr>
              <w:t xml:space="preserve"> 目标3：指导各地加大对政策的宣传，提高政策的知晓率。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已按要求督促各地不断完善机制，按时发放残疾人两项补贴资金；指导各地严格按照残疾人两项补贴程序和要求，依法审定补贴对象；指导各地加大对政策的宣传，提高政策的知晓率。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355万元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残疾人“两项补贴”发放标准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≥60元/人/月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60元/人/月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补贴人数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≥1.2万人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1.2万人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残疾人“两项补贴”对象认定准确率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审批复核的及时性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30日内</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向各区财政部门下达两项补贴资金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15日内</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保障残疾人基本生活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保持稳定</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残疾人两项补贴对象满意度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残疾人亮相补贴对象满意度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99.71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残疾人“两项补贴”市级补助资金剩余部分-重度残疾人护理补贴（上级配套支出）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44.37</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94.4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44.37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94.4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按照部门预算编制和资金管理办法的要求，进行项目论证、评审、立项等必要程序。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目标1：.督促各地不断完善机制，按时发放残疾人两项补贴资金；</w:t>
            </w:r>
            <w:r>
              <w:br w:type="textWrapping"/>
            </w:r>
            <w:r>
              <w:rPr>
                <w:rFonts w:ascii="宋体" w:hAnsi="宋体" w:eastAsia="宋体" w:cs="宋体"/>
                <w:i w:val="0"/>
                <w:iCs w:val="0"/>
                <w:color w:val="000000"/>
                <w:kern w:val="0"/>
                <w:sz w:val="18"/>
                <w:szCs w:val="18"/>
                <w:u w:val="none"/>
                <w:lang w:val="en-US" w:eastAsia="zh-CN"/>
              </w:rPr>
              <w:t xml:space="preserve"> 目标2：指导各地严格按照残疾人两项补贴程序和要求，依法审定补贴对象；</w:t>
            </w:r>
            <w:r>
              <w:br w:type="textWrapping"/>
            </w:r>
            <w:r>
              <w:rPr>
                <w:rFonts w:ascii="宋体" w:hAnsi="宋体" w:eastAsia="宋体" w:cs="宋体"/>
                <w:i w:val="0"/>
                <w:iCs w:val="0"/>
                <w:color w:val="000000"/>
                <w:kern w:val="0"/>
                <w:sz w:val="18"/>
                <w:szCs w:val="18"/>
                <w:u w:val="none"/>
                <w:lang w:val="en-US" w:eastAsia="zh-CN"/>
              </w:rPr>
              <w:t xml:space="preserve"> 目标3：指导各地加大对政策的宣传，提高政策的知晓率。</w:t>
            </w:r>
            <w:r>
              <w:br w:type="textWrapping"/>
            </w:r>
            <w:r>
              <w:rPr>
                <w:rFonts w:ascii="宋体" w:hAnsi="宋体" w:eastAsia="宋体" w:cs="宋体"/>
                <w:i w:val="0"/>
                <w:iCs w:val="0"/>
                <w:color w:val="000000"/>
                <w:kern w:val="0"/>
                <w:sz w:val="18"/>
                <w:szCs w:val="18"/>
                <w:u w:val="none"/>
                <w:lang w:val="en-US" w:eastAsia="zh-CN"/>
              </w:rPr>
              <w:t xml:space="preserve"> ……</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已完成督促各地不断完善机制，按时发放残疾人两项补贴资金；指导各地严格按照残疾人两项补贴程序和要求，依法审定补贴对象；指导各地加大对政策的宣传，提高政策的知晓率。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预算安排资金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48万元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44.37万元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指标1：符合条件的受助残疾人数量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≥6200人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5720人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符合条件守住残疾人数量对应资金支付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指标1：残疾人“两项补贴”对象认定准确率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指标2：残疾人“两项补贴”发放率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指标3：残疾人“两项补贴”发放标准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75元/月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指标2：向各区财政部门下达两项补贴资金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指标1：审批复核的及时性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指标1：领取残疾人两项补贴对象生活水平和照护服务水平提升情况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稳步提升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指标2：政策知晓率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政策知晓率不断提升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指标1：残疾人两项补贴对象满意度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残疾两项体贴对象满意度不断提升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97.62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bl>
    <w:p>
      <w:pPr>
        <w:pStyle w:val="10"/>
        <w:sectPr>
          <w:pgSz w:w="11906" w:h="16838"/>
          <w:pgMar w:top="1440" w:right="1800" w:bottom="1440" w:left="1800" w:header="851" w:footer="992" w:gutter="0"/>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6"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Mzk0YWM4ODU0MmM3NWYxZGViYzAyZDVjYjhmMjkifQ=="/>
  </w:docVars>
  <w:rsids>
    <w:rsidRoot w:val="00000000"/>
    <w:rsid w:val="03703661"/>
    <w:rsid w:val="223A7E32"/>
    <w:rsid w:val="6F7A5CB5"/>
    <w:rsid w:val="7DFFEB22"/>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09590895-7a4c-4c8a-b9c1-1dd63f0736e5"/>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aad47747-6429-4b3e-a8eb-55cd8d38e9b7"/>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29</TotalTime>
  <ScaleCrop>false</ScaleCrop>
  <LinksUpToDate>false</LinksUpToDate>
  <CharactersWithSpaces>19465</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haunghe</cp:lastModifiedBy>
  <dcterms:modified xsi:type="dcterms:W3CDTF">2024-10-10T15:21:26Z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DF94CE1DC53D4C5F990C8EECCB3F5EB2_13</vt:lpwstr>
  </property>
</Properties>
</file>