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许昌市民政局部门决算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许昌市民政局概况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许昌市民政局概况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根据中共许昌市委、许昌市人民政府《关于印发〈许昌市人民政府职能转变和机构改革实施意见〉的通知》(许发〔2014〕26号),许昌市民政局主要职责是：担负社会救助、社会福利、社区建设、民间组织管理、双拥优抚安置和专项社会事务管理等社会管理和公共服务职能。</w:t>
      </w:r>
      <w:bookmarkStart w:id="0" w:name="_GoBack"/>
      <w:bookmarkEnd w:id="0"/>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民政局内设机构106个,包括：办公室、规划财务科、社会福利和慈善事业促进科、社会救助科、基层政权和社区建设科、区划地名科、社会事务科、养老服务科、儿童福利科、人事科等、专家门诊、中医科、内科、骨伤科、中医推拿科、针灸科、火化科、抚育部、社工科、培智学校、康复部、外联部等共106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从决算单位构成看，许昌市民政局部门决算包括：本级决算（1个）。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纳入本部门2023年度部门决算编制范围的单位共7个，二级预算单位有: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1.许昌市民政局（本级）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2.许昌市社会福利院</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3.许昌市按摩医院</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4.许昌市殡仪馆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5.许昌市殡葬管理所</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6.许昌市救助管理站</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7.许昌市低收入家庭认定指导中心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部门：许昌市民政局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4,801.92</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89.18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653.79</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1,390.28</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39.00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0.15</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5,864.52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74.08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88.16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720.48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6,846.14</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6,878.82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285.19</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252.51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7,131.33</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7,131.33</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部门：许昌市民政局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6,846.14</w:t>
            </w:r>
          </w:p>
        </w:tc>
        <w:tc>
          <w:tcPr>
            <w:tcW w:w="1440" w:type="dxa"/>
            <w:vAlign w:val="center"/>
          </w:tcPr>
          <w:p>
            <w:pPr>
              <w:jc w:val="right"/>
            </w:pPr>
            <w:r>
              <w:rPr>
                <w:rFonts w:ascii="宋体" w:hAnsi="宋体" w:eastAsia="宋体" w:cs="宋体"/>
                <w:b/>
                <w:i w:val="0"/>
                <w:color w:val="000000"/>
                <w:sz w:val="17"/>
              </w:rPr>
              <w:t>5,455.71</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1,390.28</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89.18</w:t>
            </w:r>
          </w:p>
        </w:tc>
        <w:tc>
          <w:tcPr>
            <w:tcW w:w="1440" w:type="dxa"/>
            <w:vAlign w:val="center"/>
          </w:tcPr>
          <w:p>
            <w:pPr>
              <w:jc w:val="right"/>
            </w:pPr>
            <w:r>
              <w:rPr>
                <w:rFonts w:ascii="宋体" w:hAnsi="宋体" w:eastAsia="宋体" w:cs="宋体"/>
                <w:b w:val="0"/>
                <w:i w:val="0"/>
                <w:color w:val="000000"/>
                <w:sz w:val="17"/>
              </w:rPr>
              <w:t>89.18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8.29</w:t>
            </w:r>
          </w:p>
        </w:tc>
        <w:tc>
          <w:tcPr>
            <w:tcW w:w="1440" w:type="dxa"/>
            <w:vAlign w:val="center"/>
          </w:tcPr>
          <w:p>
            <w:pPr>
              <w:jc w:val="right"/>
            </w:pPr>
            <w:r>
              <w:rPr>
                <w:rFonts w:ascii="宋体" w:hAnsi="宋体" w:eastAsia="宋体" w:cs="宋体"/>
                <w:b w:val="0"/>
                <w:i w:val="0"/>
                <w:color w:val="000000"/>
                <w:sz w:val="17"/>
              </w:rPr>
              <w:t>8.29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8.29</w:t>
            </w:r>
          </w:p>
        </w:tc>
        <w:tc>
          <w:tcPr>
            <w:tcW w:w="1440" w:type="dxa"/>
            <w:vAlign w:val="center"/>
          </w:tcPr>
          <w:p>
            <w:pPr>
              <w:jc w:val="right"/>
            </w:pPr>
            <w:r>
              <w:rPr>
                <w:rFonts w:ascii="宋体" w:hAnsi="宋体" w:eastAsia="宋体" w:cs="宋体"/>
                <w:b w:val="0"/>
                <w:i w:val="0"/>
                <w:color w:val="000000"/>
                <w:sz w:val="17"/>
              </w:rPr>
              <w:t>8.29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80.89</w:t>
            </w:r>
          </w:p>
        </w:tc>
        <w:tc>
          <w:tcPr>
            <w:tcW w:w="1440" w:type="dxa"/>
            <w:vAlign w:val="center"/>
          </w:tcPr>
          <w:p>
            <w:pPr>
              <w:jc w:val="right"/>
            </w:pPr>
            <w:r>
              <w:rPr>
                <w:rFonts w:ascii="宋体" w:hAnsi="宋体" w:eastAsia="宋体" w:cs="宋体"/>
                <w:b w:val="0"/>
                <w:i w:val="0"/>
                <w:color w:val="000000"/>
                <w:sz w:val="17"/>
              </w:rPr>
              <w:t>80.89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80.89</w:t>
            </w:r>
          </w:p>
        </w:tc>
        <w:tc>
          <w:tcPr>
            <w:tcW w:w="1440" w:type="dxa"/>
            <w:vAlign w:val="center"/>
          </w:tcPr>
          <w:p>
            <w:pPr>
              <w:jc w:val="right"/>
            </w:pPr>
            <w:r>
              <w:rPr>
                <w:rFonts w:ascii="宋体" w:hAnsi="宋体" w:eastAsia="宋体" w:cs="宋体"/>
                <w:b w:val="0"/>
                <w:i w:val="0"/>
                <w:color w:val="000000"/>
                <w:sz w:val="17"/>
              </w:rPr>
              <w:t>80.89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w:t>
            </w:r>
          </w:p>
        </w:tc>
        <w:tc>
          <w:tcPr>
            <w:tcW w:w="3140" w:type="dxa"/>
            <w:vAlign w:val="center"/>
          </w:tcPr>
          <w:p>
            <w:pPr>
              <w:jc w:val="left"/>
            </w:pPr>
            <w:r>
              <w:rPr>
                <w:rFonts w:ascii="宋体" w:hAnsi="宋体" w:eastAsia="宋体" w:cs="宋体"/>
                <w:b w:val="0"/>
                <w:i w:val="0"/>
                <w:color w:val="000000"/>
                <w:sz w:val="17"/>
              </w:rPr>
              <w:t>教育支出</w:t>
            </w:r>
          </w:p>
        </w:tc>
        <w:tc>
          <w:tcPr>
            <w:tcW w:w="1440" w:type="dxa"/>
            <w:vAlign w:val="center"/>
          </w:tcPr>
          <w:p>
            <w:pPr>
              <w:jc w:val="right"/>
            </w:pPr>
            <w:r>
              <w:rPr>
                <w:rFonts w:ascii="宋体" w:hAnsi="宋体" w:eastAsia="宋体" w:cs="宋体"/>
                <w:b w:val="0"/>
                <w:i w:val="0"/>
                <w:color w:val="000000"/>
                <w:sz w:val="17"/>
              </w:rPr>
              <w:t>39.00</w:t>
            </w:r>
          </w:p>
        </w:tc>
        <w:tc>
          <w:tcPr>
            <w:tcW w:w="1440" w:type="dxa"/>
            <w:vAlign w:val="center"/>
          </w:tcPr>
          <w:p>
            <w:pPr>
              <w:jc w:val="right"/>
            </w:pPr>
            <w:r>
              <w:rPr>
                <w:rFonts w:ascii="宋体" w:hAnsi="宋体" w:eastAsia="宋体" w:cs="宋体"/>
                <w:b w:val="0"/>
                <w:i w:val="0"/>
                <w:color w:val="000000"/>
                <w:sz w:val="17"/>
              </w:rPr>
              <w:t>39.00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20507</w:t>
            </w:r>
          </w:p>
        </w:tc>
        <w:tc>
          <w:tcPr>
            <w:tcW w:w="3140" w:type="dxa"/>
            <w:vAlign w:val="center"/>
          </w:tcPr>
          <w:p>
            <w:pPr>
              <w:jc w:val="left"/>
            </w:pPr>
            <w:r>
              <w:rPr>
                <w:rFonts w:ascii="宋体" w:hAnsi="宋体" w:eastAsia="宋体" w:cs="宋体"/>
                <w:b w:val="0"/>
                <w:i w:val="0"/>
                <w:color w:val="000000"/>
                <w:sz w:val="17"/>
              </w:rPr>
              <w:t>特殊教育</w:t>
            </w:r>
          </w:p>
        </w:tc>
        <w:tc>
          <w:tcPr>
            <w:tcW w:w="1440" w:type="dxa"/>
            <w:vAlign w:val="center"/>
          </w:tcPr>
          <w:p>
            <w:pPr>
              <w:jc w:val="right"/>
            </w:pPr>
            <w:r>
              <w:rPr>
                <w:rFonts w:ascii="宋体" w:hAnsi="宋体" w:eastAsia="宋体" w:cs="宋体"/>
                <w:b w:val="0"/>
                <w:i w:val="0"/>
                <w:color w:val="000000"/>
                <w:sz w:val="17"/>
              </w:rPr>
              <w:t>39.00</w:t>
            </w:r>
          </w:p>
        </w:tc>
        <w:tc>
          <w:tcPr>
            <w:tcW w:w="1440" w:type="dxa"/>
            <w:vAlign w:val="center"/>
          </w:tcPr>
          <w:p>
            <w:pPr>
              <w:jc w:val="right"/>
            </w:pPr>
            <w:r>
              <w:rPr>
                <w:rFonts w:ascii="宋体" w:hAnsi="宋体" w:eastAsia="宋体" w:cs="宋体"/>
                <w:b w:val="0"/>
                <w:i w:val="0"/>
                <w:color w:val="000000"/>
                <w:sz w:val="17"/>
              </w:rPr>
              <w:t>39.00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2050701</w:t>
            </w:r>
          </w:p>
        </w:tc>
        <w:tc>
          <w:tcPr>
            <w:tcW w:w="3140" w:type="dxa"/>
            <w:vAlign w:val="center"/>
          </w:tcPr>
          <w:p>
            <w:pPr>
              <w:jc w:val="left"/>
            </w:pPr>
            <w:r>
              <w:rPr>
                <w:rFonts w:ascii="宋体" w:hAnsi="宋体" w:eastAsia="宋体" w:cs="宋体"/>
                <w:b w:val="0"/>
                <w:i w:val="0"/>
                <w:color w:val="000000"/>
                <w:sz w:val="17"/>
              </w:rPr>
              <w:t>特殊学校教育</w:t>
            </w:r>
          </w:p>
        </w:tc>
        <w:tc>
          <w:tcPr>
            <w:tcW w:w="1440" w:type="dxa"/>
            <w:vAlign w:val="center"/>
          </w:tcPr>
          <w:p>
            <w:pPr>
              <w:jc w:val="right"/>
            </w:pPr>
            <w:r>
              <w:rPr>
                <w:rFonts w:ascii="宋体" w:hAnsi="宋体" w:eastAsia="宋体" w:cs="宋体"/>
                <w:b w:val="0"/>
                <w:i w:val="0"/>
                <w:color w:val="000000"/>
                <w:sz w:val="17"/>
              </w:rPr>
              <w:t>39.00</w:t>
            </w:r>
          </w:p>
        </w:tc>
        <w:tc>
          <w:tcPr>
            <w:tcW w:w="1440" w:type="dxa"/>
            <w:vAlign w:val="center"/>
          </w:tcPr>
          <w:p>
            <w:pPr>
              <w:jc w:val="right"/>
            </w:pPr>
            <w:r>
              <w:rPr>
                <w:rFonts w:ascii="宋体" w:hAnsi="宋体" w:eastAsia="宋体" w:cs="宋体"/>
                <w:b w:val="0"/>
                <w:i w:val="0"/>
                <w:color w:val="000000"/>
                <w:sz w:val="17"/>
              </w:rPr>
              <w:t>39.00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5,898.53</w:t>
            </w:r>
          </w:p>
        </w:tc>
        <w:tc>
          <w:tcPr>
            <w:tcW w:w="1440" w:type="dxa"/>
            <w:vAlign w:val="center"/>
          </w:tcPr>
          <w:p>
            <w:pPr>
              <w:jc w:val="right"/>
            </w:pPr>
            <w:r>
              <w:rPr>
                <w:rFonts w:ascii="宋体" w:hAnsi="宋体" w:eastAsia="宋体" w:cs="宋体"/>
                <w:b w:val="0"/>
                <w:i w:val="0"/>
                <w:color w:val="000000"/>
                <w:sz w:val="17"/>
              </w:rPr>
              <w:t>4,508.10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1,390.28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20802</w:t>
            </w:r>
          </w:p>
        </w:tc>
        <w:tc>
          <w:tcPr>
            <w:tcW w:w="3140" w:type="dxa"/>
            <w:vAlign w:val="center"/>
          </w:tcPr>
          <w:p>
            <w:pPr>
              <w:jc w:val="left"/>
            </w:pPr>
            <w:r>
              <w:rPr>
                <w:rFonts w:ascii="宋体" w:hAnsi="宋体" w:eastAsia="宋体" w:cs="宋体"/>
                <w:b w:val="0"/>
                <w:i w:val="0"/>
                <w:color w:val="000000"/>
                <w:sz w:val="17"/>
              </w:rPr>
              <w:t>民政管理事务</w:t>
            </w:r>
          </w:p>
        </w:tc>
        <w:tc>
          <w:tcPr>
            <w:tcW w:w="1440" w:type="dxa"/>
            <w:vAlign w:val="center"/>
          </w:tcPr>
          <w:p>
            <w:pPr>
              <w:jc w:val="right"/>
            </w:pPr>
            <w:r>
              <w:rPr>
                <w:rFonts w:ascii="宋体" w:hAnsi="宋体" w:eastAsia="宋体" w:cs="宋体"/>
                <w:b w:val="0"/>
                <w:i w:val="0"/>
                <w:color w:val="000000"/>
                <w:sz w:val="17"/>
              </w:rPr>
              <w:t>926.88</w:t>
            </w:r>
          </w:p>
        </w:tc>
        <w:tc>
          <w:tcPr>
            <w:tcW w:w="1440" w:type="dxa"/>
            <w:vAlign w:val="center"/>
          </w:tcPr>
          <w:p>
            <w:pPr>
              <w:jc w:val="right"/>
            </w:pPr>
            <w:r>
              <w:rPr>
                <w:rFonts w:ascii="宋体" w:hAnsi="宋体" w:eastAsia="宋体" w:cs="宋体"/>
                <w:b w:val="0"/>
                <w:i w:val="0"/>
                <w:color w:val="000000"/>
                <w:sz w:val="17"/>
              </w:rPr>
              <w:t>926.88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2080201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717.75</w:t>
            </w:r>
          </w:p>
        </w:tc>
        <w:tc>
          <w:tcPr>
            <w:tcW w:w="1440" w:type="dxa"/>
            <w:vAlign w:val="center"/>
          </w:tcPr>
          <w:p>
            <w:pPr>
              <w:jc w:val="right"/>
            </w:pPr>
            <w:r>
              <w:rPr>
                <w:rFonts w:ascii="宋体" w:hAnsi="宋体" w:eastAsia="宋体" w:cs="宋体"/>
                <w:b w:val="0"/>
                <w:i w:val="0"/>
                <w:color w:val="000000"/>
                <w:sz w:val="17"/>
              </w:rPr>
              <w:t>717.75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2080202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209.13</w:t>
            </w:r>
          </w:p>
        </w:tc>
        <w:tc>
          <w:tcPr>
            <w:tcW w:w="1440" w:type="dxa"/>
            <w:vAlign w:val="center"/>
          </w:tcPr>
          <w:p>
            <w:pPr>
              <w:jc w:val="right"/>
            </w:pPr>
            <w:r>
              <w:rPr>
                <w:rFonts w:ascii="宋体" w:hAnsi="宋体" w:eastAsia="宋体" w:cs="宋体"/>
                <w:b w:val="0"/>
                <w:i w:val="0"/>
                <w:color w:val="000000"/>
                <w:sz w:val="17"/>
              </w:rPr>
              <w:t>209.13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463.41</w:t>
            </w:r>
          </w:p>
        </w:tc>
        <w:tc>
          <w:tcPr>
            <w:tcW w:w="1440" w:type="dxa"/>
            <w:vAlign w:val="center"/>
          </w:tcPr>
          <w:p>
            <w:pPr>
              <w:jc w:val="right"/>
            </w:pPr>
            <w:r>
              <w:rPr>
                <w:rFonts w:ascii="宋体" w:hAnsi="宋体" w:eastAsia="宋体" w:cs="宋体"/>
                <w:b w:val="0"/>
                <w:i w:val="0"/>
                <w:color w:val="000000"/>
                <w:sz w:val="17"/>
              </w:rPr>
              <w:t>463.41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233.03</w:t>
            </w:r>
          </w:p>
        </w:tc>
        <w:tc>
          <w:tcPr>
            <w:tcW w:w="1440" w:type="dxa"/>
            <w:vAlign w:val="center"/>
          </w:tcPr>
          <w:p>
            <w:pPr>
              <w:jc w:val="right"/>
            </w:pPr>
            <w:r>
              <w:rPr>
                <w:rFonts w:ascii="宋体" w:hAnsi="宋体" w:eastAsia="宋体" w:cs="宋体"/>
                <w:b w:val="0"/>
                <w:i w:val="0"/>
                <w:color w:val="000000"/>
                <w:sz w:val="17"/>
              </w:rPr>
              <w:t>233.03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136.78</w:t>
            </w:r>
          </w:p>
        </w:tc>
        <w:tc>
          <w:tcPr>
            <w:tcW w:w="1440" w:type="dxa"/>
            <w:vAlign w:val="center"/>
          </w:tcPr>
          <w:p>
            <w:pPr>
              <w:jc w:val="right"/>
            </w:pPr>
            <w:r>
              <w:rPr>
                <w:rFonts w:ascii="宋体" w:hAnsi="宋体" w:eastAsia="宋体" w:cs="宋体"/>
                <w:b w:val="0"/>
                <w:i w:val="0"/>
                <w:color w:val="000000"/>
                <w:sz w:val="17"/>
              </w:rPr>
              <w:t>136.78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93.60</w:t>
            </w:r>
          </w:p>
        </w:tc>
        <w:tc>
          <w:tcPr>
            <w:tcW w:w="1440" w:type="dxa"/>
            <w:vAlign w:val="center"/>
          </w:tcPr>
          <w:p>
            <w:pPr>
              <w:jc w:val="right"/>
            </w:pPr>
            <w:r>
              <w:rPr>
                <w:rFonts w:ascii="宋体" w:hAnsi="宋体" w:eastAsia="宋体" w:cs="宋体"/>
                <w:b w:val="0"/>
                <w:i w:val="0"/>
                <w:color w:val="000000"/>
                <w:sz w:val="17"/>
              </w:rPr>
              <w:t>93.60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w:t>
            </w:r>
          </w:p>
        </w:tc>
        <w:tc>
          <w:tcPr>
            <w:tcW w:w="3140" w:type="dxa"/>
            <w:vAlign w:val="center"/>
          </w:tcPr>
          <w:p>
            <w:pPr>
              <w:jc w:val="left"/>
            </w:pPr>
            <w:r>
              <w:rPr>
                <w:rFonts w:ascii="宋体" w:hAnsi="宋体" w:eastAsia="宋体" w:cs="宋体"/>
                <w:b w:val="0"/>
                <w:i w:val="0"/>
                <w:color w:val="000000"/>
                <w:sz w:val="17"/>
              </w:rPr>
              <w:t>就业补助</w:t>
            </w:r>
          </w:p>
        </w:tc>
        <w:tc>
          <w:tcPr>
            <w:tcW w:w="1440" w:type="dxa"/>
            <w:vAlign w:val="center"/>
          </w:tcPr>
          <w:p>
            <w:pPr>
              <w:jc w:val="right"/>
            </w:pPr>
            <w:r>
              <w:rPr>
                <w:rFonts w:ascii="宋体" w:hAnsi="宋体" w:eastAsia="宋体" w:cs="宋体"/>
                <w:b w:val="0"/>
                <w:i w:val="0"/>
                <w:color w:val="000000"/>
                <w:sz w:val="17"/>
              </w:rPr>
              <w:t>0.82</w:t>
            </w:r>
          </w:p>
        </w:tc>
        <w:tc>
          <w:tcPr>
            <w:tcW w:w="1440" w:type="dxa"/>
            <w:vAlign w:val="center"/>
          </w:tcPr>
          <w:p>
            <w:pPr>
              <w:jc w:val="right"/>
            </w:pPr>
            <w:r>
              <w:rPr>
                <w:rFonts w:ascii="宋体" w:hAnsi="宋体" w:eastAsia="宋体" w:cs="宋体"/>
                <w:b w:val="0"/>
                <w:i w:val="0"/>
                <w:color w:val="000000"/>
                <w:sz w:val="17"/>
              </w:rPr>
              <w:t>0.82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2080799</w:t>
            </w:r>
          </w:p>
        </w:tc>
        <w:tc>
          <w:tcPr>
            <w:tcW w:w="3140" w:type="dxa"/>
            <w:vAlign w:val="center"/>
          </w:tcPr>
          <w:p>
            <w:pPr>
              <w:jc w:val="left"/>
            </w:pPr>
            <w:r>
              <w:rPr>
                <w:rFonts w:ascii="宋体" w:hAnsi="宋体" w:eastAsia="宋体" w:cs="宋体"/>
                <w:b w:val="0"/>
                <w:i w:val="0"/>
                <w:color w:val="000000"/>
                <w:sz w:val="17"/>
              </w:rPr>
              <w:t>其他就业补助支出</w:t>
            </w:r>
          </w:p>
        </w:tc>
        <w:tc>
          <w:tcPr>
            <w:tcW w:w="1440" w:type="dxa"/>
            <w:vAlign w:val="center"/>
          </w:tcPr>
          <w:p>
            <w:pPr>
              <w:jc w:val="right"/>
            </w:pPr>
            <w:r>
              <w:rPr>
                <w:rFonts w:ascii="宋体" w:hAnsi="宋体" w:eastAsia="宋体" w:cs="宋体"/>
                <w:b w:val="0"/>
                <w:i w:val="0"/>
                <w:color w:val="000000"/>
                <w:sz w:val="17"/>
              </w:rPr>
              <w:t>0.82</w:t>
            </w:r>
          </w:p>
        </w:tc>
        <w:tc>
          <w:tcPr>
            <w:tcW w:w="1440" w:type="dxa"/>
            <w:vAlign w:val="center"/>
          </w:tcPr>
          <w:p>
            <w:pPr>
              <w:jc w:val="right"/>
            </w:pPr>
            <w:r>
              <w:rPr>
                <w:rFonts w:ascii="宋体" w:hAnsi="宋体" w:eastAsia="宋体" w:cs="宋体"/>
                <w:b w:val="0"/>
                <w:i w:val="0"/>
                <w:color w:val="000000"/>
                <w:sz w:val="17"/>
              </w:rPr>
              <w:t>0.82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10.89</w:t>
            </w:r>
          </w:p>
        </w:tc>
        <w:tc>
          <w:tcPr>
            <w:tcW w:w="1440" w:type="dxa"/>
            <w:vAlign w:val="center"/>
          </w:tcPr>
          <w:p>
            <w:pPr>
              <w:jc w:val="right"/>
            </w:pPr>
            <w:r>
              <w:rPr>
                <w:rFonts w:ascii="宋体" w:hAnsi="宋体" w:eastAsia="宋体" w:cs="宋体"/>
                <w:b w:val="0"/>
                <w:i w:val="0"/>
                <w:color w:val="000000"/>
                <w:sz w:val="17"/>
              </w:rPr>
              <w:t>10.89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10.89</w:t>
            </w:r>
          </w:p>
        </w:tc>
        <w:tc>
          <w:tcPr>
            <w:tcW w:w="1440" w:type="dxa"/>
            <w:vAlign w:val="center"/>
          </w:tcPr>
          <w:p>
            <w:pPr>
              <w:jc w:val="right"/>
            </w:pPr>
            <w:r>
              <w:rPr>
                <w:rFonts w:ascii="宋体" w:hAnsi="宋体" w:eastAsia="宋体" w:cs="宋体"/>
                <w:b w:val="0"/>
                <w:i w:val="0"/>
                <w:color w:val="000000"/>
                <w:sz w:val="17"/>
              </w:rPr>
              <w:t>10.89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w:t>
            </w:r>
          </w:p>
        </w:tc>
        <w:tc>
          <w:tcPr>
            <w:tcW w:w="3140" w:type="dxa"/>
            <w:vAlign w:val="center"/>
          </w:tcPr>
          <w:p>
            <w:pPr>
              <w:jc w:val="left"/>
            </w:pPr>
            <w:r>
              <w:rPr>
                <w:rFonts w:ascii="宋体" w:hAnsi="宋体" w:eastAsia="宋体" w:cs="宋体"/>
                <w:b w:val="0"/>
                <w:i w:val="0"/>
                <w:color w:val="000000"/>
                <w:sz w:val="17"/>
              </w:rPr>
              <w:t>社会福利</w:t>
            </w:r>
          </w:p>
        </w:tc>
        <w:tc>
          <w:tcPr>
            <w:tcW w:w="1440" w:type="dxa"/>
            <w:vAlign w:val="center"/>
          </w:tcPr>
          <w:p>
            <w:pPr>
              <w:jc w:val="right"/>
            </w:pPr>
            <w:r>
              <w:rPr>
                <w:rFonts w:ascii="宋体" w:hAnsi="宋体" w:eastAsia="宋体" w:cs="宋体"/>
                <w:b w:val="0"/>
                <w:i w:val="0"/>
                <w:color w:val="000000"/>
                <w:sz w:val="17"/>
              </w:rPr>
              <w:t>3,777.97</w:t>
            </w:r>
          </w:p>
        </w:tc>
        <w:tc>
          <w:tcPr>
            <w:tcW w:w="1440" w:type="dxa"/>
            <w:vAlign w:val="center"/>
          </w:tcPr>
          <w:p>
            <w:pPr>
              <w:jc w:val="right"/>
            </w:pPr>
            <w:r>
              <w:rPr>
                <w:rFonts w:ascii="宋体" w:hAnsi="宋体" w:eastAsia="宋体" w:cs="宋体"/>
                <w:b w:val="0"/>
                <w:i w:val="0"/>
                <w:color w:val="000000"/>
                <w:sz w:val="17"/>
              </w:rPr>
              <w:t>2,387.54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1,390.28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2081001</w:t>
            </w:r>
          </w:p>
        </w:tc>
        <w:tc>
          <w:tcPr>
            <w:tcW w:w="3140" w:type="dxa"/>
            <w:vAlign w:val="center"/>
          </w:tcPr>
          <w:p>
            <w:pPr>
              <w:jc w:val="left"/>
            </w:pPr>
            <w:r>
              <w:rPr>
                <w:rFonts w:ascii="宋体" w:hAnsi="宋体" w:eastAsia="宋体" w:cs="宋体"/>
                <w:b w:val="0"/>
                <w:i w:val="0"/>
                <w:color w:val="000000"/>
                <w:sz w:val="17"/>
              </w:rPr>
              <w:t>儿童福利</w:t>
            </w:r>
          </w:p>
        </w:tc>
        <w:tc>
          <w:tcPr>
            <w:tcW w:w="1440" w:type="dxa"/>
            <w:vAlign w:val="center"/>
          </w:tcPr>
          <w:p>
            <w:pPr>
              <w:jc w:val="right"/>
            </w:pPr>
            <w:r>
              <w:rPr>
                <w:rFonts w:ascii="宋体" w:hAnsi="宋体" w:eastAsia="宋体" w:cs="宋体"/>
                <w:b w:val="0"/>
                <w:i w:val="0"/>
                <w:color w:val="000000"/>
                <w:sz w:val="17"/>
              </w:rPr>
              <w:t>141.46</w:t>
            </w:r>
          </w:p>
        </w:tc>
        <w:tc>
          <w:tcPr>
            <w:tcW w:w="1440" w:type="dxa"/>
            <w:vAlign w:val="center"/>
          </w:tcPr>
          <w:p>
            <w:pPr>
              <w:jc w:val="right"/>
            </w:pPr>
            <w:r>
              <w:rPr>
                <w:rFonts w:ascii="宋体" w:hAnsi="宋体" w:eastAsia="宋体" w:cs="宋体"/>
                <w:b w:val="0"/>
                <w:i w:val="0"/>
                <w:color w:val="000000"/>
                <w:sz w:val="17"/>
              </w:rPr>
              <w:t>141.46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2081004</w:t>
            </w:r>
          </w:p>
        </w:tc>
        <w:tc>
          <w:tcPr>
            <w:tcW w:w="3140" w:type="dxa"/>
            <w:vAlign w:val="center"/>
          </w:tcPr>
          <w:p>
            <w:pPr>
              <w:jc w:val="left"/>
            </w:pPr>
            <w:r>
              <w:rPr>
                <w:rFonts w:ascii="宋体" w:hAnsi="宋体" w:eastAsia="宋体" w:cs="宋体"/>
                <w:b w:val="0"/>
                <w:i w:val="0"/>
                <w:color w:val="000000"/>
                <w:sz w:val="17"/>
              </w:rPr>
              <w:t>殡葬</w:t>
            </w:r>
          </w:p>
        </w:tc>
        <w:tc>
          <w:tcPr>
            <w:tcW w:w="1440" w:type="dxa"/>
            <w:vAlign w:val="center"/>
          </w:tcPr>
          <w:p>
            <w:pPr>
              <w:jc w:val="right"/>
            </w:pPr>
            <w:r>
              <w:rPr>
                <w:rFonts w:ascii="宋体" w:hAnsi="宋体" w:eastAsia="宋体" w:cs="宋体"/>
                <w:b w:val="0"/>
                <w:i w:val="0"/>
                <w:color w:val="000000"/>
                <w:sz w:val="17"/>
              </w:rPr>
              <w:t>2,165.88</w:t>
            </w:r>
          </w:p>
        </w:tc>
        <w:tc>
          <w:tcPr>
            <w:tcW w:w="1440" w:type="dxa"/>
            <w:vAlign w:val="center"/>
          </w:tcPr>
          <w:p>
            <w:pPr>
              <w:jc w:val="right"/>
            </w:pPr>
            <w:r>
              <w:rPr>
                <w:rFonts w:ascii="宋体" w:hAnsi="宋体" w:eastAsia="宋体" w:cs="宋体"/>
                <w:b w:val="0"/>
                <w:i w:val="0"/>
                <w:color w:val="000000"/>
                <w:sz w:val="17"/>
              </w:rPr>
              <w:t>993.50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1,172.39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2081005</w:t>
            </w:r>
          </w:p>
        </w:tc>
        <w:tc>
          <w:tcPr>
            <w:tcW w:w="3140" w:type="dxa"/>
            <w:vAlign w:val="center"/>
          </w:tcPr>
          <w:p>
            <w:pPr>
              <w:jc w:val="left"/>
            </w:pPr>
            <w:r>
              <w:rPr>
                <w:rFonts w:ascii="宋体" w:hAnsi="宋体" w:eastAsia="宋体" w:cs="宋体"/>
                <w:b w:val="0"/>
                <w:i w:val="0"/>
                <w:color w:val="000000"/>
                <w:sz w:val="17"/>
              </w:rPr>
              <w:t>社会福利事业单位</w:t>
            </w:r>
          </w:p>
        </w:tc>
        <w:tc>
          <w:tcPr>
            <w:tcW w:w="1440" w:type="dxa"/>
            <w:vAlign w:val="center"/>
          </w:tcPr>
          <w:p>
            <w:pPr>
              <w:jc w:val="right"/>
            </w:pPr>
            <w:r>
              <w:rPr>
                <w:rFonts w:ascii="宋体" w:hAnsi="宋体" w:eastAsia="宋体" w:cs="宋体"/>
                <w:b w:val="0"/>
                <w:i w:val="0"/>
                <w:color w:val="000000"/>
                <w:sz w:val="17"/>
              </w:rPr>
              <w:t>1,465.59</w:t>
            </w:r>
          </w:p>
        </w:tc>
        <w:tc>
          <w:tcPr>
            <w:tcW w:w="1440" w:type="dxa"/>
            <w:vAlign w:val="center"/>
          </w:tcPr>
          <w:p>
            <w:pPr>
              <w:jc w:val="right"/>
            </w:pPr>
            <w:r>
              <w:rPr>
                <w:rFonts w:ascii="宋体" w:hAnsi="宋体" w:eastAsia="宋体" w:cs="宋体"/>
                <w:b w:val="0"/>
                <w:i w:val="0"/>
                <w:color w:val="000000"/>
                <w:sz w:val="17"/>
              </w:rPr>
              <w:t>1,247.54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217.89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2081006</w:t>
            </w:r>
          </w:p>
        </w:tc>
        <w:tc>
          <w:tcPr>
            <w:tcW w:w="3140" w:type="dxa"/>
            <w:vAlign w:val="center"/>
          </w:tcPr>
          <w:p>
            <w:pPr>
              <w:jc w:val="left"/>
            </w:pPr>
            <w:r>
              <w:rPr>
                <w:rFonts w:ascii="宋体" w:hAnsi="宋体" w:eastAsia="宋体" w:cs="宋体"/>
                <w:b w:val="0"/>
                <w:i w:val="0"/>
                <w:color w:val="000000"/>
                <w:sz w:val="17"/>
              </w:rPr>
              <w:t>养老服务</w:t>
            </w:r>
          </w:p>
        </w:tc>
        <w:tc>
          <w:tcPr>
            <w:tcW w:w="1440" w:type="dxa"/>
            <w:vAlign w:val="center"/>
          </w:tcPr>
          <w:p>
            <w:pPr>
              <w:jc w:val="right"/>
            </w:pPr>
            <w:r>
              <w:rPr>
                <w:rFonts w:ascii="宋体" w:hAnsi="宋体" w:eastAsia="宋体" w:cs="宋体"/>
                <w:b w:val="0"/>
                <w:i w:val="0"/>
                <w:color w:val="000000"/>
                <w:sz w:val="17"/>
              </w:rPr>
              <w:t>5.04</w:t>
            </w:r>
          </w:p>
        </w:tc>
        <w:tc>
          <w:tcPr>
            <w:tcW w:w="1440" w:type="dxa"/>
            <w:vAlign w:val="center"/>
          </w:tcPr>
          <w:p>
            <w:pPr>
              <w:jc w:val="right"/>
            </w:pPr>
            <w:r>
              <w:rPr>
                <w:rFonts w:ascii="宋体" w:hAnsi="宋体" w:eastAsia="宋体" w:cs="宋体"/>
                <w:b w:val="0"/>
                <w:i w:val="0"/>
                <w:color w:val="000000"/>
                <w:sz w:val="17"/>
              </w:rPr>
              <w:t>5.04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20819</w:t>
            </w:r>
          </w:p>
        </w:tc>
        <w:tc>
          <w:tcPr>
            <w:tcW w:w="3140" w:type="dxa"/>
            <w:vAlign w:val="center"/>
          </w:tcPr>
          <w:p>
            <w:pPr>
              <w:jc w:val="left"/>
            </w:pPr>
            <w:r>
              <w:rPr>
                <w:rFonts w:ascii="宋体" w:hAnsi="宋体" w:eastAsia="宋体" w:cs="宋体"/>
                <w:b w:val="0"/>
                <w:i w:val="0"/>
                <w:color w:val="000000"/>
                <w:sz w:val="17"/>
              </w:rPr>
              <w:t>最低生活保障</w:t>
            </w:r>
          </w:p>
        </w:tc>
        <w:tc>
          <w:tcPr>
            <w:tcW w:w="1440" w:type="dxa"/>
            <w:vAlign w:val="center"/>
          </w:tcPr>
          <w:p>
            <w:pPr>
              <w:jc w:val="right"/>
            </w:pPr>
            <w:r>
              <w:rPr>
                <w:rFonts w:ascii="宋体" w:hAnsi="宋体" w:eastAsia="宋体" w:cs="宋体"/>
                <w:b w:val="0"/>
                <w:i w:val="0"/>
                <w:color w:val="000000"/>
                <w:sz w:val="17"/>
              </w:rPr>
              <w:t>396.69</w:t>
            </w:r>
          </w:p>
        </w:tc>
        <w:tc>
          <w:tcPr>
            <w:tcW w:w="1440" w:type="dxa"/>
            <w:vAlign w:val="center"/>
          </w:tcPr>
          <w:p>
            <w:pPr>
              <w:jc w:val="right"/>
            </w:pPr>
            <w:r>
              <w:rPr>
                <w:rFonts w:ascii="宋体" w:hAnsi="宋体" w:eastAsia="宋体" w:cs="宋体"/>
                <w:b w:val="0"/>
                <w:i w:val="0"/>
                <w:color w:val="000000"/>
                <w:sz w:val="17"/>
              </w:rPr>
              <w:t>396.69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2081901</w:t>
            </w:r>
          </w:p>
        </w:tc>
        <w:tc>
          <w:tcPr>
            <w:tcW w:w="3140" w:type="dxa"/>
            <w:vAlign w:val="center"/>
          </w:tcPr>
          <w:p>
            <w:pPr>
              <w:jc w:val="left"/>
            </w:pPr>
            <w:r>
              <w:rPr>
                <w:rFonts w:ascii="宋体" w:hAnsi="宋体" w:eastAsia="宋体" w:cs="宋体"/>
                <w:b w:val="0"/>
                <w:i w:val="0"/>
                <w:color w:val="000000"/>
                <w:sz w:val="17"/>
              </w:rPr>
              <w:t>城市最低生活保障金支出</w:t>
            </w:r>
          </w:p>
        </w:tc>
        <w:tc>
          <w:tcPr>
            <w:tcW w:w="1440" w:type="dxa"/>
            <w:vAlign w:val="center"/>
          </w:tcPr>
          <w:p>
            <w:pPr>
              <w:jc w:val="right"/>
            </w:pPr>
            <w:r>
              <w:rPr>
                <w:rFonts w:ascii="宋体" w:hAnsi="宋体" w:eastAsia="宋体" w:cs="宋体"/>
                <w:b w:val="0"/>
                <w:i w:val="0"/>
                <w:color w:val="000000"/>
                <w:sz w:val="17"/>
              </w:rPr>
              <w:t>396.69</w:t>
            </w:r>
          </w:p>
        </w:tc>
        <w:tc>
          <w:tcPr>
            <w:tcW w:w="1440" w:type="dxa"/>
            <w:vAlign w:val="center"/>
          </w:tcPr>
          <w:p>
            <w:pPr>
              <w:jc w:val="right"/>
            </w:pPr>
            <w:r>
              <w:rPr>
                <w:rFonts w:ascii="宋体" w:hAnsi="宋体" w:eastAsia="宋体" w:cs="宋体"/>
                <w:b w:val="0"/>
                <w:i w:val="0"/>
                <w:color w:val="000000"/>
                <w:sz w:val="17"/>
              </w:rPr>
              <w:t>396.69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20820</w:t>
            </w:r>
          </w:p>
        </w:tc>
        <w:tc>
          <w:tcPr>
            <w:tcW w:w="3140" w:type="dxa"/>
            <w:vAlign w:val="center"/>
          </w:tcPr>
          <w:p>
            <w:pPr>
              <w:jc w:val="left"/>
            </w:pPr>
            <w:r>
              <w:rPr>
                <w:rFonts w:ascii="宋体" w:hAnsi="宋体" w:eastAsia="宋体" w:cs="宋体"/>
                <w:b w:val="0"/>
                <w:i w:val="0"/>
                <w:color w:val="000000"/>
                <w:sz w:val="17"/>
              </w:rPr>
              <w:t>临时救助</w:t>
            </w:r>
          </w:p>
        </w:tc>
        <w:tc>
          <w:tcPr>
            <w:tcW w:w="1440" w:type="dxa"/>
            <w:vAlign w:val="center"/>
          </w:tcPr>
          <w:p>
            <w:pPr>
              <w:jc w:val="right"/>
            </w:pPr>
            <w:r>
              <w:rPr>
                <w:rFonts w:ascii="宋体" w:hAnsi="宋体" w:eastAsia="宋体" w:cs="宋体"/>
                <w:b w:val="0"/>
                <w:i w:val="0"/>
                <w:color w:val="000000"/>
                <w:sz w:val="17"/>
              </w:rPr>
              <w:t>321.87</w:t>
            </w:r>
          </w:p>
        </w:tc>
        <w:tc>
          <w:tcPr>
            <w:tcW w:w="1440" w:type="dxa"/>
            <w:vAlign w:val="center"/>
          </w:tcPr>
          <w:p>
            <w:pPr>
              <w:jc w:val="right"/>
            </w:pPr>
            <w:r>
              <w:rPr>
                <w:rFonts w:ascii="宋体" w:hAnsi="宋体" w:eastAsia="宋体" w:cs="宋体"/>
                <w:b w:val="0"/>
                <w:i w:val="0"/>
                <w:color w:val="000000"/>
                <w:sz w:val="17"/>
              </w:rPr>
              <w:t>321.87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2082002</w:t>
            </w:r>
          </w:p>
        </w:tc>
        <w:tc>
          <w:tcPr>
            <w:tcW w:w="3140" w:type="dxa"/>
            <w:vAlign w:val="center"/>
          </w:tcPr>
          <w:p>
            <w:pPr>
              <w:jc w:val="left"/>
            </w:pPr>
            <w:r>
              <w:rPr>
                <w:rFonts w:ascii="宋体" w:hAnsi="宋体" w:eastAsia="宋体" w:cs="宋体"/>
                <w:b w:val="0"/>
                <w:i w:val="0"/>
                <w:color w:val="000000"/>
                <w:sz w:val="17"/>
              </w:rPr>
              <w:t>流浪乞讨人员救助支出</w:t>
            </w:r>
          </w:p>
        </w:tc>
        <w:tc>
          <w:tcPr>
            <w:tcW w:w="1440" w:type="dxa"/>
            <w:vAlign w:val="center"/>
          </w:tcPr>
          <w:p>
            <w:pPr>
              <w:jc w:val="right"/>
            </w:pPr>
            <w:r>
              <w:rPr>
                <w:rFonts w:ascii="宋体" w:hAnsi="宋体" w:eastAsia="宋体" w:cs="宋体"/>
                <w:b w:val="0"/>
                <w:i w:val="0"/>
                <w:color w:val="000000"/>
                <w:sz w:val="17"/>
              </w:rPr>
              <w:t>321.87</w:t>
            </w:r>
          </w:p>
        </w:tc>
        <w:tc>
          <w:tcPr>
            <w:tcW w:w="1440" w:type="dxa"/>
            <w:vAlign w:val="center"/>
          </w:tcPr>
          <w:p>
            <w:pPr>
              <w:jc w:val="right"/>
            </w:pPr>
            <w:r>
              <w:rPr>
                <w:rFonts w:ascii="宋体" w:hAnsi="宋体" w:eastAsia="宋体" w:cs="宋体"/>
                <w:b w:val="0"/>
                <w:i w:val="0"/>
                <w:color w:val="000000"/>
                <w:sz w:val="17"/>
              </w:rPr>
              <w:t>321.87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74.08</w:t>
            </w:r>
          </w:p>
        </w:tc>
        <w:tc>
          <w:tcPr>
            <w:tcW w:w="1440" w:type="dxa"/>
            <w:vAlign w:val="center"/>
          </w:tcPr>
          <w:p>
            <w:pPr>
              <w:jc w:val="right"/>
            </w:pPr>
            <w:r>
              <w:rPr>
                <w:rFonts w:ascii="宋体" w:hAnsi="宋体" w:eastAsia="宋体" w:cs="宋体"/>
                <w:b w:val="0"/>
                <w:i w:val="0"/>
                <w:color w:val="000000"/>
                <w:sz w:val="17"/>
              </w:rPr>
              <w:t>74.08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74.08</w:t>
            </w:r>
          </w:p>
        </w:tc>
        <w:tc>
          <w:tcPr>
            <w:tcW w:w="1440" w:type="dxa"/>
            <w:vAlign w:val="center"/>
          </w:tcPr>
          <w:p>
            <w:pPr>
              <w:jc w:val="right"/>
            </w:pPr>
            <w:r>
              <w:rPr>
                <w:rFonts w:ascii="宋体" w:hAnsi="宋体" w:eastAsia="宋体" w:cs="宋体"/>
                <w:b w:val="0"/>
                <w:i w:val="0"/>
                <w:color w:val="000000"/>
                <w:sz w:val="17"/>
              </w:rPr>
              <w:t>74.08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25.40</w:t>
            </w:r>
          </w:p>
        </w:tc>
        <w:tc>
          <w:tcPr>
            <w:tcW w:w="1440" w:type="dxa"/>
            <w:vAlign w:val="center"/>
          </w:tcPr>
          <w:p>
            <w:pPr>
              <w:jc w:val="right"/>
            </w:pPr>
            <w:r>
              <w:rPr>
                <w:rFonts w:ascii="宋体" w:hAnsi="宋体" w:eastAsia="宋体" w:cs="宋体"/>
                <w:b w:val="0"/>
                <w:i w:val="0"/>
                <w:color w:val="000000"/>
                <w:sz w:val="17"/>
              </w:rPr>
              <w:t>25.40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25.22</w:t>
            </w:r>
          </w:p>
        </w:tc>
        <w:tc>
          <w:tcPr>
            <w:tcW w:w="1440" w:type="dxa"/>
            <w:vAlign w:val="center"/>
          </w:tcPr>
          <w:p>
            <w:pPr>
              <w:jc w:val="right"/>
            </w:pPr>
            <w:r>
              <w:rPr>
                <w:rFonts w:ascii="宋体" w:hAnsi="宋体" w:eastAsia="宋体" w:cs="宋体"/>
                <w:b w:val="0"/>
                <w:i w:val="0"/>
                <w:color w:val="000000"/>
                <w:sz w:val="17"/>
              </w:rPr>
              <w:t>25.22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23.46</w:t>
            </w:r>
          </w:p>
        </w:tc>
        <w:tc>
          <w:tcPr>
            <w:tcW w:w="1440" w:type="dxa"/>
            <w:vAlign w:val="center"/>
          </w:tcPr>
          <w:p>
            <w:pPr>
              <w:jc w:val="right"/>
            </w:pPr>
            <w:r>
              <w:rPr>
                <w:rFonts w:ascii="宋体" w:hAnsi="宋体" w:eastAsia="宋体" w:cs="宋体"/>
                <w:b w:val="0"/>
                <w:i w:val="0"/>
                <w:color w:val="000000"/>
                <w:sz w:val="17"/>
              </w:rPr>
              <w:t>23.46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3.40</w:t>
            </w:r>
          </w:p>
        </w:tc>
        <w:tc>
          <w:tcPr>
            <w:tcW w:w="1440" w:type="dxa"/>
            <w:vAlign w:val="center"/>
          </w:tcPr>
          <w:p>
            <w:pPr>
              <w:jc w:val="right"/>
            </w:pPr>
            <w:r>
              <w:rPr>
                <w:rFonts w:ascii="宋体" w:hAnsi="宋体" w:eastAsia="宋体" w:cs="宋体"/>
                <w:b w:val="0"/>
                <w:i w:val="0"/>
                <w:color w:val="000000"/>
                <w:sz w:val="17"/>
              </w:rPr>
              <w:t>3.40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3.40</w:t>
            </w:r>
          </w:p>
        </w:tc>
        <w:tc>
          <w:tcPr>
            <w:tcW w:w="1440" w:type="dxa"/>
            <w:vAlign w:val="center"/>
          </w:tcPr>
          <w:p>
            <w:pPr>
              <w:jc w:val="right"/>
            </w:pPr>
            <w:r>
              <w:rPr>
                <w:rFonts w:ascii="宋体" w:hAnsi="宋体" w:eastAsia="宋体" w:cs="宋体"/>
                <w:b w:val="0"/>
                <w:i w:val="0"/>
                <w:color w:val="000000"/>
                <w:sz w:val="17"/>
              </w:rPr>
              <w:t>3.40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0.90</w:t>
            </w:r>
          </w:p>
        </w:tc>
        <w:tc>
          <w:tcPr>
            <w:tcW w:w="1440" w:type="dxa"/>
            <w:vAlign w:val="center"/>
          </w:tcPr>
          <w:p>
            <w:pPr>
              <w:jc w:val="right"/>
            </w:pPr>
            <w:r>
              <w:rPr>
                <w:rFonts w:ascii="宋体" w:hAnsi="宋体" w:eastAsia="宋体" w:cs="宋体"/>
                <w:b w:val="0"/>
                <w:i w:val="0"/>
                <w:color w:val="000000"/>
                <w:sz w:val="17"/>
              </w:rPr>
              <w:t>0.90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88.16</w:t>
            </w:r>
          </w:p>
        </w:tc>
        <w:tc>
          <w:tcPr>
            <w:tcW w:w="1440" w:type="dxa"/>
            <w:vAlign w:val="center"/>
          </w:tcPr>
          <w:p>
            <w:pPr>
              <w:jc w:val="right"/>
            </w:pPr>
            <w:r>
              <w:rPr>
                <w:rFonts w:ascii="宋体" w:hAnsi="宋体" w:eastAsia="宋体" w:cs="宋体"/>
                <w:b w:val="0"/>
                <w:i w:val="0"/>
                <w:color w:val="000000"/>
                <w:sz w:val="17"/>
              </w:rPr>
              <w:t>88.16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88.16</w:t>
            </w:r>
          </w:p>
        </w:tc>
        <w:tc>
          <w:tcPr>
            <w:tcW w:w="1440" w:type="dxa"/>
            <w:vAlign w:val="center"/>
          </w:tcPr>
          <w:p>
            <w:pPr>
              <w:jc w:val="right"/>
            </w:pPr>
            <w:r>
              <w:rPr>
                <w:rFonts w:ascii="宋体" w:hAnsi="宋体" w:eastAsia="宋体" w:cs="宋体"/>
                <w:b w:val="0"/>
                <w:i w:val="0"/>
                <w:color w:val="000000"/>
                <w:sz w:val="17"/>
              </w:rPr>
              <w:t>88.16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88.16</w:t>
            </w:r>
          </w:p>
        </w:tc>
        <w:tc>
          <w:tcPr>
            <w:tcW w:w="1440" w:type="dxa"/>
            <w:vAlign w:val="center"/>
          </w:tcPr>
          <w:p>
            <w:pPr>
              <w:jc w:val="right"/>
            </w:pPr>
            <w:r>
              <w:rPr>
                <w:rFonts w:ascii="宋体" w:hAnsi="宋体" w:eastAsia="宋体" w:cs="宋体"/>
                <w:b w:val="0"/>
                <w:i w:val="0"/>
                <w:color w:val="000000"/>
                <w:sz w:val="17"/>
              </w:rPr>
              <w:t>88.16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653.79</w:t>
            </w:r>
          </w:p>
        </w:tc>
        <w:tc>
          <w:tcPr>
            <w:tcW w:w="1440" w:type="dxa"/>
            <w:vAlign w:val="center"/>
          </w:tcPr>
          <w:p>
            <w:pPr>
              <w:jc w:val="right"/>
            </w:pPr>
            <w:r>
              <w:rPr>
                <w:rFonts w:ascii="宋体" w:hAnsi="宋体" w:eastAsia="宋体" w:cs="宋体"/>
                <w:b w:val="0"/>
                <w:i w:val="0"/>
                <w:color w:val="000000"/>
                <w:sz w:val="17"/>
              </w:rPr>
              <w:t>653.79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22960</w:t>
            </w:r>
          </w:p>
        </w:tc>
        <w:tc>
          <w:tcPr>
            <w:tcW w:w="3140" w:type="dxa"/>
            <w:vAlign w:val="center"/>
          </w:tcPr>
          <w:p>
            <w:pPr>
              <w:jc w:val="left"/>
            </w:pPr>
            <w:r>
              <w:rPr>
                <w:rFonts w:ascii="宋体" w:hAnsi="宋体" w:eastAsia="宋体" w:cs="宋体"/>
                <w:b w:val="0"/>
                <w:i w:val="0"/>
                <w:color w:val="000000"/>
                <w:sz w:val="17"/>
              </w:rPr>
              <w:t>彩票公益金安排的支出</w:t>
            </w:r>
          </w:p>
        </w:tc>
        <w:tc>
          <w:tcPr>
            <w:tcW w:w="1440" w:type="dxa"/>
            <w:vAlign w:val="center"/>
          </w:tcPr>
          <w:p>
            <w:pPr>
              <w:jc w:val="right"/>
            </w:pPr>
            <w:r>
              <w:rPr>
                <w:rFonts w:ascii="宋体" w:hAnsi="宋体" w:eastAsia="宋体" w:cs="宋体"/>
                <w:b w:val="0"/>
                <w:i w:val="0"/>
                <w:color w:val="000000"/>
                <w:sz w:val="17"/>
              </w:rPr>
              <w:t>653.79</w:t>
            </w:r>
          </w:p>
        </w:tc>
        <w:tc>
          <w:tcPr>
            <w:tcW w:w="1440" w:type="dxa"/>
            <w:vAlign w:val="center"/>
          </w:tcPr>
          <w:p>
            <w:pPr>
              <w:jc w:val="right"/>
            </w:pPr>
            <w:r>
              <w:rPr>
                <w:rFonts w:ascii="宋体" w:hAnsi="宋体" w:eastAsia="宋体" w:cs="宋体"/>
                <w:b w:val="0"/>
                <w:i w:val="0"/>
                <w:color w:val="000000"/>
                <w:sz w:val="17"/>
              </w:rPr>
              <w:t>653.79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2296002</w:t>
            </w:r>
          </w:p>
        </w:tc>
        <w:tc>
          <w:tcPr>
            <w:tcW w:w="3140" w:type="dxa"/>
            <w:vAlign w:val="center"/>
          </w:tcPr>
          <w:p>
            <w:pPr>
              <w:jc w:val="left"/>
            </w:pPr>
            <w:r>
              <w:rPr>
                <w:rFonts w:ascii="宋体" w:hAnsi="宋体" w:eastAsia="宋体" w:cs="宋体"/>
                <w:b w:val="0"/>
                <w:i w:val="0"/>
                <w:color w:val="000000"/>
                <w:sz w:val="17"/>
              </w:rPr>
              <w:t>用于社会福利的彩票公益金支出</w:t>
            </w:r>
          </w:p>
        </w:tc>
        <w:tc>
          <w:tcPr>
            <w:tcW w:w="1440" w:type="dxa"/>
            <w:vAlign w:val="center"/>
          </w:tcPr>
          <w:p>
            <w:pPr>
              <w:jc w:val="right"/>
            </w:pPr>
            <w:r>
              <w:rPr>
                <w:rFonts w:ascii="宋体" w:hAnsi="宋体" w:eastAsia="宋体" w:cs="宋体"/>
                <w:b w:val="0"/>
                <w:i w:val="0"/>
                <w:color w:val="000000"/>
                <w:sz w:val="17"/>
              </w:rPr>
              <w:t>653.79</w:t>
            </w:r>
          </w:p>
        </w:tc>
        <w:tc>
          <w:tcPr>
            <w:tcW w:w="1440" w:type="dxa"/>
            <w:vAlign w:val="center"/>
          </w:tcPr>
          <w:p>
            <w:pPr>
              <w:jc w:val="right"/>
            </w:pPr>
            <w:r>
              <w:rPr>
                <w:rFonts w:ascii="宋体" w:hAnsi="宋体" w:eastAsia="宋体" w:cs="宋体"/>
                <w:b w:val="0"/>
                <w:i w:val="0"/>
                <w:color w:val="000000"/>
                <w:sz w:val="17"/>
              </w:rPr>
              <w:t>653.79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部门：许昌市民政局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6,878.82</w:t>
            </w:r>
          </w:p>
        </w:tc>
        <w:tc>
          <w:tcPr>
            <w:tcW w:w="1600" w:type="dxa"/>
            <w:vAlign w:val="center"/>
          </w:tcPr>
          <w:p>
            <w:pPr>
              <w:jc w:val="right"/>
            </w:pPr>
            <w:r>
              <w:rPr>
                <w:rFonts w:ascii="宋体" w:hAnsi="宋体" w:eastAsia="宋体" w:cs="宋体"/>
                <w:b/>
                <w:i w:val="0"/>
                <w:color w:val="000000"/>
                <w:sz w:val="19"/>
              </w:rPr>
              <w:t>3,232.58</w:t>
            </w:r>
          </w:p>
        </w:tc>
        <w:tc>
          <w:tcPr>
            <w:tcW w:w="1600" w:type="dxa"/>
            <w:vAlign w:val="center"/>
          </w:tcPr>
          <w:p>
            <w:pPr>
              <w:jc w:val="right"/>
            </w:pPr>
            <w:r>
              <w:rPr>
                <w:rFonts w:ascii="宋体" w:hAnsi="宋体" w:eastAsia="宋体" w:cs="宋体"/>
                <w:b/>
                <w:i w:val="0"/>
                <w:color w:val="000000"/>
                <w:sz w:val="19"/>
              </w:rPr>
              <w:t>3,646.24</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89.18</w:t>
            </w:r>
          </w:p>
        </w:tc>
        <w:tc>
          <w:tcPr>
            <w:tcW w:w="1600" w:type="dxa"/>
            <w:vAlign w:val="center"/>
          </w:tcPr>
          <w:p>
            <w:pPr>
              <w:jc w:val="right"/>
            </w:pPr>
            <w:r>
              <w:rPr>
                <w:rFonts w:ascii="宋体" w:hAnsi="宋体" w:eastAsia="宋体" w:cs="宋体"/>
                <w:b w:val="0"/>
                <w:i w:val="0"/>
                <w:color w:val="000000"/>
                <w:sz w:val="19"/>
              </w:rPr>
              <w:t>89.18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8.29</w:t>
            </w:r>
          </w:p>
        </w:tc>
        <w:tc>
          <w:tcPr>
            <w:tcW w:w="1600" w:type="dxa"/>
            <w:vAlign w:val="center"/>
          </w:tcPr>
          <w:p>
            <w:pPr>
              <w:jc w:val="right"/>
            </w:pPr>
            <w:r>
              <w:rPr>
                <w:rFonts w:ascii="宋体" w:hAnsi="宋体" w:eastAsia="宋体" w:cs="宋体"/>
                <w:b w:val="0"/>
                <w:i w:val="0"/>
                <w:color w:val="000000"/>
                <w:sz w:val="19"/>
              </w:rPr>
              <w:t>8.29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8.29</w:t>
            </w:r>
          </w:p>
        </w:tc>
        <w:tc>
          <w:tcPr>
            <w:tcW w:w="1600" w:type="dxa"/>
            <w:vAlign w:val="center"/>
          </w:tcPr>
          <w:p>
            <w:pPr>
              <w:jc w:val="right"/>
            </w:pPr>
            <w:r>
              <w:rPr>
                <w:rFonts w:ascii="宋体" w:hAnsi="宋体" w:eastAsia="宋体" w:cs="宋体"/>
                <w:b w:val="0"/>
                <w:i w:val="0"/>
                <w:color w:val="000000"/>
                <w:sz w:val="19"/>
              </w:rPr>
              <w:t>8.29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80.89</w:t>
            </w:r>
          </w:p>
        </w:tc>
        <w:tc>
          <w:tcPr>
            <w:tcW w:w="1600" w:type="dxa"/>
            <w:vAlign w:val="center"/>
          </w:tcPr>
          <w:p>
            <w:pPr>
              <w:jc w:val="right"/>
            </w:pPr>
            <w:r>
              <w:rPr>
                <w:rFonts w:ascii="宋体" w:hAnsi="宋体" w:eastAsia="宋体" w:cs="宋体"/>
                <w:b w:val="0"/>
                <w:i w:val="0"/>
                <w:color w:val="000000"/>
                <w:sz w:val="19"/>
              </w:rPr>
              <w:t>80.89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80.89</w:t>
            </w:r>
          </w:p>
        </w:tc>
        <w:tc>
          <w:tcPr>
            <w:tcW w:w="1600" w:type="dxa"/>
            <w:vAlign w:val="center"/>
          </w:tcPr>
          <w:p>
            <w:pPr>
              <w:jc w:val="right"/>
            </w:pPr>
            <w:r>
              <w:rPr>
                <w:rFonts w:ascii="宋体" w:hAnsi="宋体" w:eastAsia="宋体" w:cs="宋体"/>
                <w:b w:val="0"/>
                <w:i w:val="0"/>
                <w:color w:val="000000"/>
                <w:sz w:val="19"/>
              </w:rPr>
              <w:t>80.89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w:t>
            </w:r>
          </w:p>
        </w:tc>
        <w:tc>
          <w:tcPr>
            <w:tcW w:w="3480" w:type="dxa"/>
            <w:vAlign w:val="center"/>
          </w:tcPr>
          <w:p>
            <w:pPr>
              <w:jc w:val="left"/>
            </w:pPr>
            <w:r>
              <w:rPr>
                <w:rFonts w:ascii="宋体" w:hAnsi="宋体" w:eastAsia="宋体" w:cs="宋体"/>
                <w:b w:val="0"/>
                <w:i w:val="0"/>
                <w:color w:val="000000"/>
                <w:sz w:val="19"/>
              </w:rPr>
              <w:t>教育支出</w:t>
            </w:r>
          </w:p>
        </w:tc>
        <w:tc>
          <w:tcPr>
            <w:tcW w:w="1600" w:type="dxa"/>
            <w:vAlign w:val="center"/>
          </w:tcPr>
          <w:p>
            <w:pPr>
              <w:jc w:val="right"/>
            </w:pPr>
            <w:r>
              <w:rPr>
                <w:rFonts w:ascii="宋体" w:hAnsi="宋体" w:eastAsia="宋体" w:cs="宋体"/>
                <w:b w:val="0"/>
                <w:i w:val="0"/>
                <w:color w:val="000000"/>
                <w:sz w:val="19"/>
              </w:rPr>
              <w:t>39.00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39.00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20507</w:t>
            </w:r>
          </w:p>
        </w:tc>
        <w:tc>
          <w:tcPr>
            <w:tcW w:w="3480" w:type="dxa"/>
            <w:vAlign w:val="center"/>
          </w:tcPr>
          <w:p>
            <w:pPr>
              <w:jc w:val="left"/>
            </w:pPr>
            <w:r>
              <w:rPr>
                <w:rFonts w:ascii="宋体" w:hAnsi="宋体" w:eastAsia="宋体" w:cs="宋体"/>
                <w:b w:val="0"/>
                <w:i w:val="0"/>
                <w:color w:val="000000"/>
                <w:sz w:val="19"/>
              </w:rPr>
              <w:t>特殊教育</w:t>
            </w:r>
          </w:p>
        </w:tc>
        <w:tc>
          <w:tcPr>
            <w:tcW w:w="1600" w:type="dxa"/>
            <w:vAlign w:val="center"/>
          </w:tcPr>
          <w:p>
            <w:pPr>
              <w:jc w:val="right"/>
            </w:pPr>
            <w:r>
              <w:rPr>
                <w:rFonts w:ascii="宋体" w:hAnsi="宋体" w:eastAsia="宋体" w:cs="宋体"/>
                <w:b w:val="0"/>
                <w:i w:val="0"/>
                <w:color w:val="000000"/>
                <w:sz w:val="19"/>
              </w:rPr>
              <w:t>39.00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39.00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2050701</w:t>
            </w:r>
          </w:p>
        </w:tc>
        <w:tc>
          <w:tcPr>
            <w:tcW w:w="3480" w:type="dxa"/>
            <w:vAlign w:val="center"/>
          </w:tcPr>
          <w:p>
            <w:pPr>
              <w:jc w:val="left"/>
            </w:pPr>
            <w:r>
              <w:rPr>
                <w:rFonts w:ascii="宋体" w:hAnsi="宋体" w:eastAsia="宋体" w:cs="宋体"/>
                <w:b w:val="0"/>
                <w:i w:val="0"/>
                <w:color w:val="000000"/>
                <w:sz w:val="19"/>
              </w:rPr>
              <w:t>特殊学校教育</w:t>
            </w:r>
          </w:p>
        </w:tc>
        <w:tc>
          <w:tcPr>
            <w:tcW w:w="1600" w:type="dxa"/>
            <w:vAlign w:val="center"/>
          </w:tcPr>
          <w:p>
            <w:pPr>
              <w:jc w:val="right"/>
            </w:pPr>
            <w:r>
              <w:rPr>
                <w:rFonts w:ascii="宋体" w:hAnsi="宋体" w:eastAsia="宋体" w:cs="宋体"/>
                <w:b w:val="0"/>
                <w:i w:val="0"/>
                <w:color w:val="000000"/>
                <w:sz w:val="19"/>
              </w:rPr>
              <w:t>39.00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39.00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5,864.53</w:t>
            </w:r>
          </w:p>
        </w:tc>
        <w:tc>
          <w:tcPr>
            <w:tcW w:w="1600" w:type="dxa"/>
            <w:vAlign w:val="center"/>
          </w:tcPr>
          <w:p>
            <w:pPr>
              <w:jc w:val="right"/>
            </w:pPr>
            <w:r>
              <w:rPr>
                <w:rFonts w:ascii="宋体" w:hAnsi="宋体" w:eastAsia="宋体" w:cs="宋体"/>
                <w:b w:val="0"/>
                <w:i w:val="0"/>
                <w:color w:val="000000"/>
                <w:sz w:val="19"/>
              </w:rPr>
              <w:t>2,985.45</w:t>
            </w:r>
          </w:p>
        </w:tc>
        <w:tc>
          <w:tcPr>
            <w:tcW w:w="1600" w:type="dxa"/>
            <w:vAlign w:val="center"/>
          </w:tcPr>
          <w:p>
            <w:pPr>
              <w:jc w:val="right"/>
            </w:pPr>
            <w:r>
              <w:rPr>
                <w:rFonts w:ascii="宋体" w:hAnsi="宋体" w:eastAsia="宋体" w:cs="宋体"/>
                <w:b w:val="0"/>
                <w:i w:val="0"/>
                <w:color w:val="000000"/>
                <w:sz w:val="19"/>
              </w:rPr>
              <w:t>2,879.08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20802</w:t>
            </w:r>
          </w:p>
        </w:tc>
        <w:tc>
          <w:tcPr>
            <w:tcW w:w="3480" w:type="dxa"/>
            <w:vAlign w:val="center"/>
          </w:tcPr>
          <w:p>
            <w:pPr>
              <w:jc w:val="left"/>
            </w:pPr>
            <w:r>
              <w:rPr>
                <w:rFonts w:ascii="宋体" w:hAnsi="宋体" w:eastAsia="宋体" w:cs="宋体"/>
                <w:b w:val="0"/>
                <w:i w:val="0"/>
                <w:color w:val="000000"/>
                <w:sz w:val="19"/>
              </w:rPr>
              <w:t>民政管理事务</w:t>
            </w:r>
          </w:p>
        </w:tc>
        <w:tc>
          <w:tcPr>
            <w:tcW w:w="1600" w:type="dxa"/>
            <w:vAlign w:val="center"/>
          </w:tcPr>
          <w:p>
            <w:pPr>
              <w:jc w:val="right"/>
            </w:pPr>
            <w:r>
              <w:rPr>
                <w:rFonts w:ascii="宋体" w:hAnsi="宋体" w:eastAsia="宋体" w:cs="宋体"/>
                <w:b w:val="0"/>
                <w:i w:val="0"/>
                <w:color w:val="000000"/>
                <w:sz w:val="19"/>
              </w:rPr>
              <w:t>989.55</w:t>
            </w:r>
          </w:p>
        </w:tc>
        <w:tc>
          <w:tcPr>
            <w:tcW w:w="1600" w:type="dxa"/>
            <w:vAlign w:val="center"/>
          </w:tcPr>
          <w:p>
            <w:pPr>
              <w:jc w:val="right"/>
            </w:pPr>
            <w:r>
              <w:rPr>
                <w:rFonts w:ascii="宋体" w:hAnsi="宋体" w:eastAsia="宋体" w:cs="宋体"/>
                <w:b w:val="0"/>
                <w:i w:val="0"/>
                <w:color w:val="000000"/>
                <w:sz w:val="19"/>
              </w:rPr>
              <w:t>728.25</w:t>
            </w:r>
          </w:p>
        </w:tc>
        <w:tc>
          <w:tcPr>
            <w:tcW w:w="1600" w:type="dxa"/>
            <w:vAlign w:val="center"/>
          </w:tcPr>
          <w:p>
            <w:pPr>
              <w:jc w:val="right"/>
            </w:pPr>
            <w:r>
              <w:rPr>
                <w:rFonts w:ascii="宋体" w:hAnsi="宋体" w:eastAsia="宋体" w:cs="宋体"/>
                <w:b w:val="0"/>
                <w:i w:val="0"/>
                <w:color w:val="000000"/>
                <w:sz w:val="19"/>
              </w:rPr>
              <w:t>261.30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2080201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728.25</w:t>
            </w:r>
          </w:p>
        </w:tc>
        <w:tc>
          <w:tcPr>
            <w:tcW w:w="1600" w:type="dxa"/>
            <w:vAlign w:val="center"/>
          </w:tcPr>
          <w:p>
            <w:pPr>
              <w:jc w:val="right"/>
            </w:pPr>
            <w:r>
              <w:rPr>
                <w:rFonts w:ascii="宋体" w:hAnsi="宋体" w:eastAsia="宋体" w:cs="宋体"/>
                <w:b w:val="0"/>
                <w:i w:val="0"/>
                <w:color w:val="000000"/>
                <w:sz w:val="19"/>
              </w:rPr>
              <w:t>728.25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2080202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261.30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261.30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463.41</w:t>
            </w:r>
          </w:p>
        </w:tc>
        <w:tc>
          <w:tcPr>
            <w:tcW w:w="1600" w:type="dxa"/>
            <w:vAlign w:val="center"/>
          </w:tcPr>
          <w:p>
            <w:pPr>
              <w:jc w:val="right"/>
            </w:pPr>
            <w:r>
              <w:rPr>
                <w:rFonts w:ascii="宋体" w:hAnsi="宋体" w:eastAsia="宋体" w:cs="宋体"/>
                <w:b w:val="0"/>
                <w:i w:val="0"/>
                <w:color w:val="000000"/>
                <w:sz w:val="19"/>
              </w:rPr>
              <w:t>463.41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233.03</w:t>
            </w:r>
          </w:p>
        </w:tc>
        <w:tc>
          <w:tcPr>
            <w:tcW w:w="1600" w:type="dxa"/>
            <w:vAlign w:val="center"/>
          </w:tcPr>
          <w:p>
            <w:pPr>
              <w:jc w:val="right"/>
            </w:pPr>
            <w:r>
              <w:rPr>
                <w:rFonts w:ascii="宋体" w:hAnsi="宋体" w:eastAsia="宋体" w:cs="宋体"/>
                <w:b w:val="0"/>
                <w:i w:val="0"/>
                <w:color w:val="000000"/>
                <w:sz w:val="19"/>
              </w:rPr>
              <w:t>233.03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136.78</w:t>
            </w:r>
          </w:p>
        </w:tc>
        <w:tc>
          <w:tcPr>
            <w:tcW w:w="1600" w:type="dxa"/>
            <w:vAlign w:val="center"/>
          </w:tcPr>
          <w:p>
            <w:pPr>
              <w:jc w:val="right"/>
            </w:pPr>
            <w:r>
              <w:rPr>
                <w:rFonts w:ascii="宋体" w:hAnsi="宋体" w:eastAsia="宋体" w:cs="宋体"/>
                <w:b w:val="0"/>
                <w:i w:val="0"/>
                <w:color w:val="000000"/>
                <w:sz w:val="19"/>
              </w:rPr>
              <w:t>136.78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93.60</w:t>
            </w:r>
          </w:p>
        </w:tc>
        <w:tc>
          <w:tcPr>
            <w:tcW w:w="1600" w:type="dxa"/>
            <w:vAlign w:val="center"/>
          </w:tcPr>
          <w:p>
            <w:pPr>
              <w:jc w:val="right"/>
            </w:pPr>
            <w:r>
              <w:rPr>
                <w:rFonts w:ascii="宋体" w:hAnsi="宋体" w:eastAsia="宋体" w:cs="宋体"/>
                <w:b w:val="0"/>
                <w:i w:val="0"/>
                <w:color w:val="000000"/>
                <w:sz w:val="19"/>
              </w:rPr>
              <w:t>93.60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w:t>
            </w:r>
          </w:p>
        </w:tc>
        <w:tc>
          <w:tcPr>
            <w:tcW w:w="3480" w:type="dxa"/>
            <w:vAlign w:val="center"/>
          </w:tcPr>
          <w:p>
            <w:pPr>
              <w:jc w:val="left"/>
            </w:pPr>
            <w:r>
              <w:rPr>
                <w:rFonts w:ascii="宋体" w:hAnsi="宋体" w:eastAsia="宋体" w:cs="宋体"/>
                <w:b w:val="0"/>
                <w:i w:val="0"/>
                <w:color w:val="000000"/>
                <w:sz w:val="19"/>
              </w:rPr>
              <w:t>就业补助</w:t>
            </w:r>
          </w:p>
        </w:tc>
        <w:tc>
          <w:tcPr>
            <w:tcW w:w="1600" w:type="dxa"/>
            <w:vAlign w:val="center"/>
          </w:tcPr>
          <w:p>
            <w:pPr>
              <w:jc w:val="right"/>
            </w:pPr>
            <w:r>
              <w:rPr>
                <w:rFonts w:ascii="宋体" w:hAnsi="宋体" w:eastAsia="宋体" w:cs="宋体"/>
                <w:b w:val="0"/>
                <w:i w:val="0"/>
                <w:color w:val="000000"/>
                <w:sz w:val="19"/>
              </w:rPr>
              <w:t>0.82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2080799</w:t>
            </w:r>
          </w:p>
        </w:tc>
        <w:tc>
          <w:tcPr>
            <w:tcW w:w="3480" w:type="dxa"/>
            <w:vAlign w:val="center"/>
          </w:tcPr>
          <w:p>
            <w:pPr>
              <w:jc w:val="left"/>
            </w:pPr>
            <w:r>
              <w:rPr>
                <w:rFonts w:ascii="宋体" w:hAnsi="宋体" w:eastAsia="宋体" w:cs="宋体"/>
                <w:b w:val="0"/>
                <w:i w:val="0"/>
                <w:color w:val="000000"/>
                <w:sz w:val="19"/>
              </w:rPr>
              <w:t>其他就业补助支出</w:t>
            </w:r>
          </w:p>
        </w:tc>
        <w:tc>
          <w:tcPr>
            <w:tcW w:w="1600" w:type="dxa"/>
            <w:vAlign w:val="center"/>
          </w:tcPr>
          <w:p>
            <w:pPr>
              <w:jc w:val="right"/>
            </w:pPr>
            <w:r>
              <w:rPr>
                <w:rFonts w:ascii="宋体" w:hAnsi="宋体" w:eastAsia="宋体" w:cs="宋体"/>
                <w:b w:val="0"/>
                <w:i w:val="0"/>
                <w:color w:val="000000"/>
                <w:sz w:val="19"/>
              </w:rPr>
              <w:t>0.82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10.89</w:t>
            </w:r>
          </w:p>
        </w:tc>
        <w:tc>
          <w:tcPr>
            <w:tcW w:w="1600" w:type="dxa"/>
            <w:vAlign w:val="center"/>
          </w:tcPr>
          <w:p>
            <w:pPr>
              <w:jc w:val="right"/>
            </w:pPr>
            <w:r>
              <w:rPr>
                <w:rFonts w:ascii="宋体" w:hAnsi="宋体" w:eastAsia="宋体" w:cs="宋体"/>
                <w:b w:val="0"/>
                <w:i w:val="0"/>
                <w:color w:val="000000"/>
                <w:sz w:val="19"/>
              </w:rPr>
              <w:t>10.89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10.89</w:t>
            </w:r>
          </w:p>
        </w:tc>
        <w:tc>
          <w:tcPr>
            <w:tcW w:w="1600" w:type="dxa"/>
            <w:vAlign w:val="center"/>
          </w:tcPr>
          <w:p>
            <w:pPr>
              <w:jc w:val="right"/>
            </w:pPr>
            <w:r>
              <w:rPr>
                <w:rFonts w:ascii="宋体" w:hAnsi="宋体" w:eastAsia="宋体" w:cs="宋体"/>
                <w:b w:val="0"/>
                <w:i w:val="0"/>
                <w:color w:val="000000"/>
                <w:sz w:val="19"/>
              </w:rPr>
              <w:t>10.89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w:t>
            </w:r>
          </w:p>
        </w:tc>
        <w:tc>
          <w:tcPr>
            <w:tcW w:w="3480" w:type="dxa"/>
            <w:vAlign w:val="center"/>
          </w:tcPr>
          <w:p>
            <w:pPr>
              <w:jc w:val="left"/>
            </w:pPr>
            <w:r>
              <w:rPr>
                <w:rFonts w:ascii="宋体" w:hAnsi="宋体" w:eastAsia="宋体" w:cs="宋体"/>
                <w:b w:val="0"/>
                <w:i w:val="0"/>
                <w:color w:val="000000"/>
                <w:sz w:val="19"/>
              </w:rPr>
              <w:t>社会福利</w:t>
            </w:r>
          </w:p>
        </w:tc>
        <w:tc>
          <w:tcPr>
            <w:tcW w:w="1600" w:type="dxa"/>
            <w:vAlign w:val="center"/>
          </w:tcPr>
          <w:p>
            <w:pPr>
              <w:jc w:val="right"/>
            </w:pPr>
            <w:r>
              <w:rPr>
                <w:rFonts w:ascii="宋体" w:hAnsi="宋体" w:eastAsia="宋体" w:cs="宋体"/>
                <w:b w:val="0"/>
                <w:i w:val="0"/>
                <w:color w:val="000000"/>
                <w:sz w:val="19"/>
              </w:rPr>
              <w:t>3,681.30</w:t>
            </w:r>
          </w:p>
        </w:tc>
        <w:tc>
          <w:tcPr>
            <w:tcW w:w="1600" w:type="dxa"/>
            <w:vAlign w:val="center"/>
          </w:tcPr>
          <w:p>
            <w:pPr>
              <w:jc w:val="right"/>
            </w:pPr>
            <w:r>
              <w:rPr>
                <w:rFonts w:ascii="宋体" w:hAnsi="宋体" w:eastAsia="宋体" w:cs="宋体"/>
                <w:b w:val="0"/>
                <w:i w:val="0"/>
                <w:color w:val="000000"/>
                <w:sz w:val="19"/>
              </w:rPr>
              <w:t>1,461.03</w:t>
            </w:r>
          </w:p>
        </w:tc>
        <w:tc>
          <w:tcPr>
            <w:tcW w:w="1600" w:type="dxa"/>
            <w:vAlign w:val="center"/>
          </w:tcPr>
          <w:p>
            <w:pPr>
              <w:jc w:val="right"/>
            </w:pPr>
            <w:r>
              <w:rPr>
                <w:rFonts w:ascii="宋体" w:hAnsi="宋体" w:eastAsia="宋体" w:cs="宋体"/>
                <w:b w:val="0"/>
                <w:i w:val="0"/>
                <w:color w:val="000000"/>
                <w:sz w:val="19"/>
              </w:rPr>
              <w:t>2,220.27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2081001</w:t>
            </w:r>
          </w:p>
        </w:tc>
        <w:tc>
          <w:tcPr>
            <w:tcW w:w="3480" w:type="dxa"/>
            <w:vAlign w:val="center"/>
          </w:tcPr>
          <w:p>
            <w:pPr>
              <w:jc w:val="left"/>
            </w:pPr>
            <w:r>
              <w:rPr>
                <w:rFonts w:ascii="宋体" w:hAnsi="宋体" w:eastAsia="宋体" w:cs="宋体"/>
                <w:b w:val="0"/>
                <w:i w:val="0"/>
                <w:color w:val="000000"/>
                <w:sz w:val="19"/>
              </w:rPr>
              <w:t>儿童福利</w:t>
            </w:r>
          </w:p>
        </w:tc>
        <w:tc>
          <w:tcPr>
            <w:tcW w:w="1600" w:type="dxa"/>
            <w:vAlign w:val="center"/>
          </w:tcPr>
          <w:p>
            <w:pPr>
              <w:jc w:val="right"/>
            </w:pPr>
            <w:r>
              <w:rPr>
                <w:rFonts w:ascii="宋体" w:hAnsi="宋体" w:eastAsia="宋体" w:cs="宋体"/>
                <w:b w:val="0"/>
                <w:i w:val="0"/>
                <w:color w:val="000000"/>
                <w:sz w:val="19"/>
              </w:rPr>
              <w:t>141.46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141.46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2081004</w:t>
            </w:r>
          </w:p>
        </w:tc>
        <w:tc>
          <w:tcPr>
            <w:tcW w:w="3480" w:type="dxa"/>
            <w:vAlign w:val="center"/>
          </w:tcPr>
          <w:p>
            <w:pPr>
              <w:jc w:val="left"/>
            </w:pPr>
            <w:r>
              <w:rPr>
                <w:rFonts w:ascii="宋体" w:hAnsi="宋体" w:eastAsia="宋体" w:cs="宋体"/>
                <w:b w:val="0"/>
                <w:i w:val="0"/>
                <w:color w:val="000000"/>
                <w:sz w:val="19"/>
              </w:rPr>
              <w:t>殡葬</w:t>
            </w:r>
          </w:p>
        </w:tc>
        <w:tc>
          <w:tcPr>
            <w:tcW w:w="1600" w:type="dxa"/>
            <w:vAlign w:val="center"/>
          </w:tcPr>
          <w:p>
            <w:pPr>
              <w:jc w:val="right"/>
            </w:pPr>
            <w:r>
              <w:rPr>
                <w:rFonts w:ascii="宋体" w:hAnsi="宋体" w:eastAsia="宋体" w:cs="宋体"/>
                <w:b w:val="0"/>
                <w:i w:val="0"/>
                <w:color w:val="000000"/>
                <w:sz w:val="19"/>
              </w:rPr>
              <w:t>2,107.93</w:t>
            </w:r>
          </w:p>
        </w:tc>
        <w:tc>
          <w:tcPr>
            <w:tcW w:w="1600" w:type="dxa"/>
            <w:vAlign w:val="center"/>
          </w:tcPr>
          <w:p>
            <w:pPr>
              <w:jc w:val="right"/>
            </w:pPr>
            <w:r>
              <w:rPr>
                <w:rFonts w:ascii="宋体" w:hAnsi="宋体" w:eastAsia="宋体" w:cs="宋体"/>
                <w:b w:val="0"/>
                <w:i w:val="0"/>
                <w:color w:val="000000"/>
                <w:sz w:val="19"/>
              </w:rPr>
              <w:t>130.12</w:t>
            </w:r>
          </w:p>
        </w:tc>
        <w:tc>
          <w:tcPr>
            <w:tcW w:w="1600" w:type="dxa"/>
            <w:vAlign w:val="center"/>
          </w:tcPr>
          <w:p>
            <w:pPr>
              <w:jc w:val="right"/>
            </w:pPr>
            <w:r>
              <w:rPr>
                <w:rFonts w:ascii="宋体" w:hAnsi="宋体" w:eastAsia="宋体" w:cs="宋体"/>
                <w:b w:val="0"/>
                <w:i w:val="0"/>
                <w:color w:val="000000"/>
                <w:sz w:val="19"/>
              </w:rPr>
              <w:t>1,977.81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2081005</w:t>
            </w:r>
          </w:p>
        </w:tc>
        <w:tc>
          <w:tcPr>
            <w:tcW w:w="3480" w:type="dxa"/>
            <w:vAlign w:val="center"/>
          </w:tcPr>
          <w:p>
            <w:pPr>
              <w:jc w:val="left"/>
            </w:pPr>
            <w:r>
              <w:rPr>
                <w:rFonts w:ascii="宋体" w:hAnsi="宋体" w:eastAsia="宋体" w:cs="宋体"/>
                <w:b w:val="0"/>
                <w:i w:val="0"/>
                <w:color w:val="000000"/>
                <w:sz w:val="19"/>
              </w:rPr>
              <w:t>社会福利事业单位</w:t>
            </w:r>
          </w:p>
        </w:tc>
        <w:tc>
          <w:tcPr>
            <w:tcW w:w="1600" w:type="dxa"/>
            <w:vAlign w:val="center"/>
          </w:tcPr>
          <w:p>
            <w:pPr>
              <w:jc w:val="right"/>
            </w:pPr>
            <w:r>
              <w:rPr>
                <w:rFonts w:ascii="宋体" w:hAnsi="宋体" w:eastAsia="宋体" w:cs="宋体"/>
                <w:b w:val="0"/>
                <w:i w:val="0"/>
                <w:color w:val="000000"/>
                <w:sz w:val="19"/>
              </w:rPr>
              <w:t>1,426.87</w:t>
            </w:r>
          </w:p>
        </w:tc>
        <w:tc>
          <w:tcPr>
            <w:tcW w:w="1600" w:type="dxa"/>
            <w:vAlign w:val="center"/>
          </w:tcPr>
          <w:p>
            <w:pPr>
              <w:jc w:val="right"/>
            </w:pPr>
            <w:r>
              <w:rPr>
                <w:rFonts w:ascii="宋体" w:hAnsi="宋体" w:eastAsia="宋体" w:cs="宋体"/>
                <w:b w:val="0"/>
                <w:i w:val="0"/>
                <w:color w:val="000000"/>
                <w:sz w:val="19"/>
              </w:rPr>
              <w:t>1,325.87</w:t>
            </w:r>
          </w:p>
        </w:tc>
        <w:tc>
          <w:tcPr>
            <w:tcW w:w="1600" w:type="dxa"/>
            <w:vAlign w:val="center"/>
          </w:tcPr>
          <w:p>
            <w:pPr>
              <w:jc w:val="right"/>
            </w:pPr>
            <w:r>
              <w:rPr>
                <w:rFonts w:ascii="宋体" w:hAnsi="宋体" w:eastAsia="宋体" w:cs="宋体"/>
                <w:b w:val="0"/>
                <w:i w:val="0"/>
                <w:color w:val="000000"/>
                <w:sz w:val="19"/>
              </w:rPr>
              <w:t>101.00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2081006</w:t>
            </w:r>
          </w:p>
        </w:tc>
        <w:tc>
          <w:tcPr>
            <w:tcW w:w="3480" w:type="dxa"/>
            <w:vAlign w:val="center"/>
          </w:tcPr>
          <w:p>
            <w:pPr>
              <w:jc w:val="left"/>
            </w:pPr>
            <w:r>
              <w:rPr>
                <w:rFonts w:ascii="宋体" w:hAnsi="宋体" w:eastAsia="宋体" w:cs="宋体"/>
                <w:b w:val="0"/>
                <w:i w:val="0"/>
                <w:color w:val="000000"/>
                <w:sz w:val="19"/>
              </w:rPr>
              <w:t>养老服务</w:t>
            </w:r>
          </w:p>
        </w:tc>
        <w:tc>
          <w:tcPr>
            <w:tcW w:w="1600" w:type="dxa"/>
            <w:vAlign w:val="center"/>
          </w:tcPr>
          <w:p>
            <w:pPr>
              <w:jc w:val="right"/>
            </w:pPr>
            <w:r>
              <w:rPr>
                <w:rFonts w:ascii="宋体" w:hAnsi="宋体" w:eastAsia="宋体" w:cs="宋体"/>
                <w:b w:val="0"/>
                <w:i w:val="0"/>
                <w:color w:val="000000"/>
                <w:sz w:val="19"/>
              </w:rPr>
              <w:t>5.04</w:t>
            </w:r>
          </w:p>
        </w:tc>
        <w:tc>
          <w:tcPr>
            <w:tcW w:w="1600" w:type="dxa"/>
            <w:vAlign w:val="center"/>
          </w:tcPr>
          <w:p>
            <w:pPr>
              <w:jc w:val="right"/>
            </w:pPr>
            <w:r>
              <w:rPr>
                <w:rFonts w:ascii="宋体" w:hAnsi="宋体" w:eastAsia="宋体" w:cs="宋体"/>
                <w:b w:val="0"/>
                <w:i w:val="0"/>
                <w:color w:val="000000"/>
                <w:sz w:val="19"/>
              </w:rPr>
              <w:t>5.04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20819</w:t>
            </w:r>
          </w:p>
        </w:tc>
        <w:tc>
          <w:tcPr>
            <w:tcW w:w="3480" w:type="dxa"/>
            <w:vAlign w:val="center"/>
          </w:tcPr>
          <w:p>
            <w:pPr>
              <w:jc w:val="left"/>
            </w:pPr>
            <w:r>
              <w:rPr>
                <w:rFonts w:ascii="宋体" w:hAnsi="宋体" w:eastAsia="宋体" w:cs="宋体"/>
                <w:b w:val="0"/>
                <w:i w:val="0"/>
                <w:color w:val="000000"/>
                <w:sz w:val="19"/>
              </w:rPr>
              <w:t>最低生活保障</w:t>
            </w:r>
          </w:p>
        </w:tc>
        <w:tc>
          <w:tcPr>
            <w:tcW w:w="1600" w:type="dxa"/>
            <w:vAlign w:val="center"/>
          </w:tcPr>
          <w:p>
            <w:pPr>
              <w:jc w:val="right"/>
            </w:pPr>
            <w:r>
              <w:rPr>
                <w:rFonts w:ascii="宋体" w:hAnsi="宋体" w:eastAsia="宋体" w:cs="宋体"/>
                <w:b w:val="0"/>
                <w:i w:val="0"/>
                <w:color w:val="000000"/>
                <w:sz w:val="19"/>
              </w:rPr>
              <w:t>396.69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396.69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2081901</w:t>
            </w:r>
          </w:p>
        </w:tc>
        <w:tc>
          <w:tcPr>
            <w:tcW w:w="3480" w:type="dxa"/>
            <w:vAlign w:val="center"/>
          </w:tcPr>
          <w:p>
            <w:pPr>
              <w:jc w:val="left"/>
            </w:pPr>
            <w:r>
              <w:rPr>
                <w:rFonts w:ascii="宋体" w:hAnsi="宋体" w:eastAsia="宋体" w:cs="宋体"/>
                <w:b w:val="0"/>
                <w:i w:val="0"/>
                <w:color w:val="000000"/>
                <w:sz w:val="19"/>
              </w:rPr>
              <w:t>城市最低生活保障金支出</w:t>
            </w:r>
          </w:p>
        </w:tc>
        <w:tc>
          <w:tcPr>
            <w:tcW w:w="1600" w:type="dxa"/>
            <w:vAlign w:val="center"/>
          </w:tcPr>
          <w:p>
            <w:pPr>
              <w:jc w:val="right"/>
            </w:pPr>
            <w:r>
              <w:rPr>
                <w:rFonts w:ascii="宋体" w:hAnsi="宋体" w:eastAsia="宋体" w:cs="宋体"/>
                <w:b w:val="0"/>
                <w:i w:val="0"/>
                <w:color w:val="000000"/>
                <w:sz w:val="19"/>
              </w:rPr>
              <w:t>396.69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396.69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20820</w:t>
            </w:r>
          </w:p>
        </w:tc>
        <w:tc>
          <w:tcPr>
            <w:tcW w:w="3480" w:type="dxa"/>
            <w:vAlign w:val="center"/>
          </w:tcPr>
          <w:p>
            <w:pPr>
              <w:jc w:val="left"/>
            </w:pPr>
            <w:r>
              <w:rPr>
                <w:rFonts w:ascii="宋体" w:hAnsi="宋体" w:eastAsia="宋体" w:cs="宋体"/>
                <w:b w:val="0"/>
                <w:i w:val="0"/>
                <w:color w:val="000000"/>
                <w:sz w:val="19"/>
              </w:rPr>
              <w:t>临时救助</w:t>
            </w:r>
          </w:p>
        </w:tc>
        <w:tc>
          <w:tcPr>
            <w:tcW w:w="1600" w:type="dxa"/>
            <w:vAlign w:val="center"/>
          </w:tcPr>
          <w:p>
            <w:pPr>
              <w:jc w:val="right"/>
            </w:pPr>
            <w:r>
              <w:rPr>
                <w:rFonts w:ascii="宋体" w:hAnsi="宋体" w:eastAsia="宋体" w:cs="宋体"/>
                <w:b w:val="0"/>
                <w:i w:val="0"/>
                <w:color w:val="000000"/>
                <w:sz w:val="19"/>
              </w:rPr>
              <w:t>321.87</w:t>
            </w:r>
          </w:p>
        </w:tc>
        <w:tc>
          <w:tcPr>
            <w:tcW w:w="1600" w:type="dxa"/>
            <w:vAlign w:val="center"/>
          </w:tcPr>
          <w:p>
            <w:pPr>
              <w:jc w:val="right"/>
            </w:pPr>
            <w:r>
              <w:rPr>
                <w:rFonts w:ascii="宋体" w:hAnsi="宋体" w:eastAsia="宋体" w:cs="宋体"/>
                <w:b w:val="0"/>
                <w:i w:val="0"/>
                <w:color w:val="000000"/>
                <w:sz w:val="19"/>
              </w:rPr>
              <w:t>321.87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2082002</w:t>
            </w:r>
          </w:p>
        </w:tc>
        <w:tc>
          <w:tcPr>
            <w:tcW w:w="3480" w:type="dxa"/>
            <w:vAlign w:val="center"/>
          </w:tcPr>
          <w:p>
            <w:pPr>
              <w:jc w:val="left"/>
            </w:pPr>
            <w:r>
              <w:rPr>
                <w:rFonts w:ascii="宋体" w:hAnsi="宋体" w:eastAsia="宋体" w:cs="宋体"/>
                <w:b w:val="0"/>
                <w:i w:val="0"/>
                <w:color w:val="000000"/>
                <w:sz w:val="19"/>
              </w:rPr>
              <w:t>流浪乞讨人员救助支出</w:t>
            </w:r>
          </w:p>
        </w:tc>
        <w:tc>
          <w:tcPr>
            <w:tcW w:w="1600" w:type="dxa"/>
            <w:vAlign w:val="center"/>
          </w:tcPr>
          <w:p>
            <w:pPr>
              <w:jc w:val="right"/>
            </w:pPr>
            <w:r>
              <w:rPr>
                <w:rFonts w:ascii="宋体" w:hAnsi="宋体" w:eastAsia="宋体" w:cs="宋体"/>
                <w:b w:val="0"/>
                <w:i w:val="0"/>
                <w:color w:val="000000"/>
                <w:sz w:val="19"/>
              </w:rPr>
              <w:t>321.87</w:t>
            </w:r>
          </w:p>
        </w:tc>
        <w:tc>
          <w:tcPr>
            <w:tcW w:w="1600" w:type="dxa"/>
            <w:vAlign w:val="center"/>
          </w:tcPr>
          <w:p>
            <w:pPr>
              <w:jc w:val="right"/>
            </w:pPr>
            <w:r>
              <w:rPr>
                <w:rFonts w:ascii="宋体" w:hAnsi="宋体" w:eastAsia="宋体" w:cs="宋体"/>
                <w:b w:val="0"/>
                <w:i w:val="0"/>
                <w:color w:val="000000"/>
                <w:sz w:val="19"/>
              </w:rPr>
              <w:t>321.87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74.08</w:t>
            </w:r>
          </w:p>
        </w:tc>
        <w:tc>
          <w:tcPr>
            <w:tcW w:w="1600" w:type="dxa"/>
            <w:vAlign w:val="center"/>
          </w:tcPr>
          <w:p>
            <w:pPr>
              <w:jc w:val="right"/>
            </w:pPr>
            <w:r>
              <w:rPr>
                <w:rFonts w:ascii="宋体" w:hAnsi="宋体" w:eastAsia="宋体" w:cs="宋体"/>
                <w:b w:val="0"/>
                <w:i w:val="0"/>
                <w:color w:val="000000"/>
                <w:sz w:val="19"/>
              </w:rPr>
              <w:t>69.79</w:t>
            </w:r>
          </w:p>
        </w:tc>
        <w:tc>
          <w:tcPr>
            <w:tcW w:w="1600" w:type="dxa"/>
            <w:vAlign w:val="center"/>
          </w:tcPr>
          <w:p>
            <w:pPr>
              <w:jc w:val="right"/>
            </w:pPr>
            <w:r>
              <w:rPr>
                <w:rFonts w:ascii="宋体" w:hAnsi="宋体" w:eastAsia="宋体" w:cs="宋体"/>
                <w:b w:val="0"/>
                <w:i w:val="0"/>
                <w:color w:val="000000"/>
                <w:sz w:val="19"/>
              </w:rPr>
              <w:t>4.28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74.08</w:t>
            </w:r>
          </w:p>
        </w:tc>
        <w:tc>
          <w:tcPr>
            <w:tcW w:w="1600" w:type="dxa"/>
            <w:vAlign w:val="center"/>
          </w:tcPr>
          <w:p>
            <w:pPr>
              <w:jc w:val="right"/>
            </w:pPr>
            <w:r>
              <w:rPr>
                <w:rFonts w:ascii="宋体" w:hAnsi="宋体" w:eastAsia="宋体" w:cs="宋体"/>
                <w:b w:val="0"/>
                <w:i w:val="0"/>
                <w:color w:val="000000"/>
                <w:sz w:val="19"/>
              </w:rPr>
              <w:t>69.79</w:t>
            </w:r>
          </w:p>
        </w:tc>
        <w:tc>
          <w:tcPr>
            <w:tcW w:w="1600" w:type="dxa"/>
            <w:vAlign w:val="center"/>
          </w:tcPr>
          <w:p>
            <w:pPr>
              <w:jc w:val="right"/>
            </w:pPr>
            <w:r>
              <w:rPr>
                <w:rFonts w:ascii="宋体" w:hAnsi="宋体" w:eastAsia="宋体" w:cs="宋体"/>
                <w:b w:val="0"/>
                <w:i w:val="0"/>
                <w:color w:val="000000"/>
                <w:sz w:val="19"/>
              </w:rPr>
              <w:t>4.28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25.40</w:t>
            </w:r>
          </w:p>
        </w:tc>
        <w:tc>
          <w:tcPr>
            <w:tcW w:w="1600" w:type="dxa"/>
            <w:vAlign w:val="center"/>
          </w:tcPr>
          <w:p>
            <w:pPr>
              <w:jc w:val="right"/>
            </w:pPr>
            <w:r>
              <w:rPr>
                <w:rFonts w:ascii="宋体" w:hAnsi="宋体" w:eastAsia="宋体" w:cs="宋体"/>
                <w:b w:val="0"/>
                <w:i w:val="0"/>
                <w:color w:val="000000"/>
                <w:sz w:val="19"/>
              </w:rPr>
              <w:t>21.11</w:t>
            </w:r>
          </w:p>
        </w:tc>
        <w:tc>
          <w:tcPr>
            <w:tcW w:w="1600" w:type="dxa"/>
            <w:vAlign w:val="center"/>
          </w:tcPr>
          <w:p>
            <w:pPr>
              <w:jc w:val="right"/>
            </w:pPr>
            <w:r>
              <w:rPr>
                <w:rFonts w:ascii="宋体" w:hAnsi="宋体" w:eastAsia="宋体" w:cs="宋体"/>
                <w:b w:val="0"/>
                <w:i w:val="0"/>
                <w:color w:val="000000"/>
                <w:sz w:val="19"/>
              </w:rPr>
              <w:t>4.28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25.22</w:t>
            </w:r>
          </w:p>
        </w:tc>
        <w:tc>
          <w:tcPr>
            <w:tcW w:w="1600" w:type="dxa"/>
            <w:vAlign w:val="center"/>
          </w:tcPr>
          <w:p>
            <w:pPr>
              <w:jc w:val="right"/>
            </w:pPr>
            <w:r>
              <w:rPr>
                <w:rFonts w:ascii="宋体" w:hAnsi="宋体" w:eastAsia="宋体" w:cs="宋体"/>
                <w:b w:val="0"/>
                <w:i w:val="0"/>
                <w:color w:val="000000"/>
                <w:sz w:val="19"/>
              </w:rPr>
              <w:t>25.22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23.46</w:t>
            </w:r>
          </w:p>
        </w:tc>
        <w:tc>
          <w:tcPr>
            <w:tcW w:w="1600" w:type="dxa"/>
            <w:vAlign w:val="center"/>
          </w:tcPr>
          <w:p>
            <w:pPr>
              <w:jc w:val="right"/>
            </w:pPr>
            <w:r>
              <w:rPr>
                <w:rFonts w:ascii="宋体" w:hAnsi="宋体" w:eastAsia="宋体" w:cs="宋体"/>
                <w:b w:val="0"/>
                <w:i w:val="0"/>
                <w:color w:val="000000"/>
                <w:sz w:val="19"/>
              </w:rPr>
              <w:t>23.46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3.40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3.40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88.16</w:t>
            </w:r>
          </w:p>
        </w:tc>
        <w:tc>
          <w:tcPr>
            <w:tcW w:w="1600" w:type="dxa"/>
            <w:vAlign w:val="center"/>
          </w:tcPr>
          <w:p>
            <w:pPr>
              <w:jc w:val="right"/>
            </w:pPr>
            <w:r>
              <w:rPr>
                <w:rFonts w:ascii="宋体" w:hAnsi="宋体" w:eastAsia="宋体" w:cs="宋体"/>
                <w:b w:val="0"/>
                <w:i w:val="0"/>
                <w:color w:val="000000"/>
                <w:sz w:val="19"/>
              </w:rPr>
              <w:t>88.16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88.16</w:t>
            </w:r>
          </w:p>
        </w:tc>
        <w:tc>
          <w:tcPr>
            <w:tcW w:w="1600" w:type="dxa"/>
            <w:vAlign w:val="center"/>
          </w:tcPr>
          <w:p>
            <w:pPr>
              <w:jc w:val="right"/>
            </w:pPr>
            <w:r>
              <w:rPr>
                <w:rFonts w:ascii="宋体" w:hAnsi="宋体" w:eastAsia="宋体" w:cs="宋体"/>
                <w:b w:val="0"/>
                <w:i w:val="0"/>
                <w:color w:val="000000"/>
                <w:sz w:val="19"/>
              </w:rPr>
              <w:t>88.16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88.16</w:t>
            </w:r>
          </w:p>
        </w:tc>
        <w:tc>
          <w:tcPr>
            <w:tcW w:w="1600" w:type="dxa"/>
            <w:vAlign w:val="center"/>
          </w:tcPr>
          <w:p>
            <w:pPr>
              <w:jc w:val="right"/>
            </w:pPr>
            <w:r>
              <w:rPr>
                <w:rFonts w:ascii="宋体" w:hAnsi="宋体" w:eastAsia="宋体" w:cs="宋体"/>
                <w:b w:val="0"/>
                <w:i w:val="0"/>
                <w:color w:val="000000"/>
                <w:sz w:val="19"/>
              </w:rPr>
              <w:t>88.16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720.48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720.48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22960</w:t>
            </w:r>
          </w:p>
        </w:tc>
        <w:tc>
          <w:tcPr>
            <w:tcW w:w="3480" w:type="dxa"/>
            <w:vAlign w:val="center"/>
          </w:tcPr>
          <w:p>
            <w:pPr>
              <w:jc w:val="left"/>
            </w:pPr>
            <w:r>
              <w:rPr>
                <w:rFonts w:ascii="宋体" w:hAnsi="宋体" w:eastAsia="宋体" w:cs="宋体"/>
                <w:b w:val="0"/>
                <w:i w:val="0"/>
                <w:color w:val="000000"/>
                <w:sz w:val="19"/>
              </w:rPr>
              <w:t>彩票公益金安排的支出</w:t>
            </w:r>
          </w:p>
        </w:tc>
        <w:tc>
          <w:tcPr>
            <w:tcW w:w="1600" w:type="dxa"/>
            <w:vAlign w:val="center"/>
          </w:tcPr>
          <w:p>
            <w:pPr>
              <w:jc w:val="right"/>
            </w:pPr>
            <w:r>
              <w:rPr>
                <w:rFonts w:ascii="宋体" w:hAnsi="宋体" w:eastAsia="宋体" w:cs="宋体"/>
                <w:b w:val="0"/>
                <w:i w:val="0"/>
                <w:color w:val="000000"/>
                <w:sz w:val="19"/>
              </w:rPr>
              <w:t>720.48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720.48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2296002</w:t>
            </w:r>
          </w:p>
        </w:tc>
        <w:tc>
          <w:tcPr>
            <w:tcW w:w="3480" w:type="dxa"/>
            <w:vAlign w:val="center"/>
          </w:tcPr>
          <w:p>
            <w:pPr>
              <w:jc w:val="left"/>
            </w:pPr>
            <w:r>
              <w:rPr>
                <w:rFonts w:ascii="宋体" w:hAnsi="宋体" w:eastAsia="宋体" w:cs="宋体"/>
                <w:b w:val="0"/>
                <w:i w:val="0"/>
                <w:color w:val="000000"/>
                <w:sz w:val="19"/>
              </w:rPr>
              <w:t>用于社会福利的彩票公益金支出</w:t>
            </w:r>
          </w:p>
        </w:tc>
        <w:tc>
          <w:tcPr>
            <w:tcW w:w="1600" w:type="dxa"/>
            <w:vAlign w:val="center"/>
          </w:tcPr>
          <w:p>
            <w:pPr>
              <w:jc w:val="right"/>
            </w:pPr>
            <w:r>
              <w:rPr>
                <w:rFonts w:ascii="宋体" w:hAnsi="宋体" w:eastAsia="宋体" w:cs="宋体"/>
                <w:b w:val="0"/>
                <w:i w:val="0"/>
                <w:color w:val="000000"/>
                <w:sz w:val="19"/>
              </w:rPr>
              <w:t>720.48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720.48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部门：许昌市民政局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4,801.92</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89.18</w:t>
            </w:r>
          </w:p>
        </w:tc>
        <w:tc>
          <w:tcPr>
            <w:tcW w:w="1420" w:type="dxa"/>
            <w:vAlign w:val="center"/>
          </w:tcPr>
          <w:p>
            <w:pPr>
              <w:jc w:val="right"/>
            </w:pPr>
            <w:r>
              <w:rPr>
                <w:rFonts w:ascii="宋体" w:hAnsi="宋体" w:eastAsia="宋体" w:cs="宋体"/>
                <w:b w:val="0"/>
                <w:i w:val="0"/>
                <w:color w:val="000000"/>
                <w:sz w:val="18"/>
              </w:rPr>
              <w:t>89.18</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653.79</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39.00</w:t>
            </w:r>
          </w:p>
        </w:tc>
        <w:tc>
          <w:tcPr>
            <w:tcW w:w="1420" w:type="dxa"/>
            <w:vAlign w:val="center"/>
          </w:tcPr>
          <w:p>
            <w:pPr>
              <w:jc w:val="right"/>
            </w:pPr>
            <w:r>
              <w:rPr>
                <w:rFonts w:ascii="宋体" w:hAnsi="宋体" w:eastAsia="宋体" w:cs="宋体"/>
                <w:b w:val="0"/>
                <w:i w:val="0"/>
                <w:color w:val="000000"/>
                <w:sz w:val="18"/>
              </w:rPr>
              <w:t>39.00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4,615.39</w:t>
            </w:r>
          </w:p>
        </w:tc>
        <w:tc>
          <w:tcPr>
            <w:tcW w:w="1420" w:type="dxa"/>
            <w:vAlign w:val="center"/>
          </w:tcPr>
          <w:p>
            <w:pPr>
              <w:jc w:val="right"/>
            </w:pPr>
            <w:r>
              <w:rPr>
                <w:rFonts w:ascii="宋体" w:hAnsi="宋体" w:eastAsia="宋体" w:cs="宋体"/>
                <w:b w:val="0"/>
                <w:i w:val="0"/>
                <w:color w:val="000000"/>
                <w:sz w:val="18"/>
              </w:rPr>
              <w:t>4,615.39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74.08</w:t>
            </w:r>
          </w:p>
        </w:tc>
        <w:tc>
          <w:tcPr>
            <w:tcW w:w="1420" w:type="dxa"/>
            <w:vAlign w:val="center"/>
          </w:tcPr>
          <w:p>
            <w:pPr>
              <w:jc w:val="right"/>
            </w:pPr>
            <w:r>
              <w:rPr>
                <w:rFonts w:ascii="宋体" w:hAnsi="宋体" w:eastAsia="宋体" w:cs="宋体"/>
                <w:b w:val="0"/>
                <w:i w:val="0"/>
                <w:color w:val="000000"/>
                <w:sz w:val="18"/>
              </w:rPr>
              <w:t>74.08</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3.40</w:t>
            </w:r>
          </w:p>
        </w:tc>
        <w:tc>
          <w:tcPr>
            <w:tcW w:w="1420" w:type="dxa"/>
            <w:vAlign w:val="center"/>
          </w:tcPr>
          <w:p>
            <w:pPr>
              <w:jc w:val="right"/>
            </w:pPr>
            <w:r>
              <w:rPr>
                <w:rFonts w:ascii="宋体" w:hAnsi="宋体" w:eastAsia="宋体" w:cs="宋体"/>
                <w:b w:val="0"/>
                <w:i w:val="0"/>
                <w:color w:val="000000"/>
                <w:sz w:val="18"/>
              </w:rPr>
              <w:t>3.40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88.16</w:t>
            </w:r>
          </w:p>
        </w:tc>
        <w:tc>
          <w:tcPr>
            <w:tcW w:w="1420" w:type="dxa"/>
            <w:vAlign w:val="center"/>
          </w:tcPr>
          <w:p>
            <w:pPr>
              <w:jc w:val="right"/>
            </w:pPr>
            <w:r>
              <w:rPr>
                <w:rFonts w:ascii="宋体" w:hAnsi="宋体" w:eastAsia="宋体" w:cs="宋体"/>
                <w:b w:val="0"/>
                <w:i w:val="0"/>
                <w:color w:val="000000"/>
                <w:sz w:val="18"/>
              </w:rPr>
              <w:t>88.16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720.48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720.48</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5,455.71</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5,629.68</w:t>
            </w:r>
          </w:p>
        </w:tc>
        <w:tc>
          <w:tcPr>
            <w:tcW w:w="1420" w:type="dxa"/>
            <w:vAlign w:val="center"/>
          </w:tcPr>
          <w:p>
            <w:pPr>
              <w:jc w:val="right"/>
            </w:pPr>
            <w:r>
              <w:rPr>
                <w:rFonts w:ascii="宋体" w:hAnsi="宋体" w:eastAsia="宋体" w:cs="宋体"/>
                <w:b w:val="0"/>
                <w:i w:val="0"/>
                <w:color w:val="000000"/>
                <w:sz w:val="18"/>
              </w:rPr>
              <w:t>4,909.21</w:t>
            </w:r>
          </w:p>
        </w:tc>
        <w:tc>
          <w:tcPr>
            <w:tcW w:w="1420" w:type="dxa"/>
            <w:vAlign w:val="center"/>
          </w:tcPr>
          <w:p>
            <w:pPr>
              <w:jc w:val="right"/>
            </w:pPr>
            <w:r>
              <w:rPr>
                <w:rFonts w:ascii="宋体" w:hAnsi="宋体" w:eastAsia="宋体" w:cs="宋体"/>
                <w:b w:val="0"/>
                <w:i w:val="0"/>
                <w:color w:val="000000"/>
                <w:sz w:val="18"/>
              </w:rPr>
              <w:t>720.48</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173.97</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107.29</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66.69</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5,629.68</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5,629.68</w:t>
            </w:r>
          </w:p>
        </w:tc>
        <w:tc>
          <w:tcPr>
            <w:tcW w:w="1420" w:type="dxa"/>
            <w:vAlign w:val="center"/>
          </w:tcPr>
          <w:p>
            <w:pPr>
              <w:jc w:val="right"/>
            </w:pPr>
            <w:r>
              <w:rPr>
                <w:rFonts w:ascii="宋体" w:hAnsi="宋体" w:eastAsia="宋体" w:cs="宋体"/>
                <w:b w:val="0"/>
                <w:i w:val="0"/>
                <w:color w:val="000000"/>
                <w:sz w:val="18"/>
              </w:rPr>
              <w:t>4,909.21</w:t>
            </w:r>
          </w:p>
        </w:tc>
        <w:tc>
          <w:tcPr>
            <w:tcW w:w="1420" w:type="dxa"/>
            <w:vAlign w:val="center"/>
          </w:tcPr>
          <w:p>
            <w:pPr>
              <w:jc w:val="right"/>
            </w:pPr>
            <w:r>
              <w:rPr>
                <w:rFonts w:ascii="宋体" w:hAnsi="宋体" w:eastAsia="宋体" w:cs="宋体"/>
                <w:b w:val="0"/>
                <w:i w:val="0"/>
                <w:color w:val="000000"/>
                <w:sz w:val="18"/>
              </w:rPr>
              <w:t>720.48</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部门：许昌市民政局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4,909.21</w:t>
            </w:r>
          </w:p>
        </w:tc>
        <w:tc>
          <w:tcPr>
            <w:tcW w:w="2700" w:type="dxa"/>
            <w:vAlign w:val="center"/>
          </w:tcPr>
          <w:p>
            <w:pPr>
              <w:jc w:val="right"/>
            </w:pPr>
            <w:r>
              <w:rPr>
                <w:rFonts w:ascii="宋体" w:hAnsi="宋体" w:eastAsia="宋体" w:cs="宋体"/>
                <w:b/>
                <w:i w:val="0"/>
                <w:color w:val="000000"/>
                <w:sz w:val="25"/>
              </w:rPr>
              <w:t>3,053.26</w:t>
            </w:r>
          </w:p>
        </w:tc>
        <w:tc>
          <w:tcPr>
            <w:tcW w:w="2658" w:type="dxa"/>
            <w:vAlign w:val="center"/>
          </w:tcPr>
          <w:p>
            <w:pPr>
              <w:jc w:val="right"/>
            </w:pPr>
            <w:r>
              <w:rPr>
                <w:rFonts w:ascii="宋体" w:hAnsi="宋体" w:eastAsia="宋体" w:cs="宋体"/>
                <w:b/>
                <w:i w:val="0"/>
                <w:color w:val="000000"/>
                <w:sz w:val="25"/>
              </w:rPr>
              <w:t>1,855.94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89.18</w:t>
            </w:r>
          </w:p>
        </w:tc>
        <w:tc>
          <w:tcPr>
            <w:tcW w:w="2700" w:type="dxa"/>
            <w:vAlign w:val="center"/>
          </w:tcPr>
          <w:p>
            <w:pPr>
              <w:jc w:val="right"/>
            </w:pPr>
            <w:r>
              <w:rPr>
                <w:rFonts w:ascii="宋体" w:hAnsi="宋体" w:eastAsia="宋体" w:cs="宋体"/>
                <w:b w:val="0"/>
                <w:i w:val="0"/>
                <w:color w:val="000000"/>
                <w:sz w:val="25"/>
              </w:rPr>
              <w:t>89.18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8.29</w:t>
            </w:r>
          </w:p>
        </w:tc>
        <w:tc>
          <w:tcPr>
            <w:tcW w:w="2700" w:type="dxa"/>
            <w:vAlign w:val="center"/>
          </w:tcPr>
          <w:p>
            <w:pPr>
              <w:jc w:val="right"/>
            </w:pPr>
            <w:r>
              <w:rPr>
                <w:rFonts w:ascii="宋体" w:hAnsi="宋体" w:eastAsia="宋体" w:cs="宋体"/>
                <w:b w:val="0"/>
                <w:i w:val="0"/>
                <w:color w:val="000000"/>
                <w:sz w:val="25"/>
              </w:rPr>
              <w:t>8.29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8.29</w:t>
            </w:r>
          </w:p>
        </w:tc>
        <w:tc>
          <w:tcPr>
            <w:tcW w:w="2700" w:type="dxa"/>
            <w:vAlign w:val="center"/>
          </w:tcPr>
          <w:p>
            <w:pPr>
              <w:jc w:val="right"/>
            </w:pPr>
            <w:r>
              <w:rPr>
                <w:rFonts w:ascii="宋体" w:hAnsi="宋体" w:eastAsia="宋体" w:cs="宋体"/>
                <w:b w:val="0"/>
                <w:i w:val="0"/>
                <w:color w:val="000000"/>
                <w:sz w:val="25"/>
              </w:rPr>
              <w:t>8.29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80.89</w:t>
            </w:r>
          </w:p>
        </w:tc>
        <w:tc>
          <w:tcPr>
            <w:tcW w:w="2700" w:type="dxa"/>
            <w:vAlign w:val="center"/>
          </w:tcPr>
          <w:p>
            <w:pPr>
              <w:jc w:val="right"/>
            </w:pPr>
            <w:r>
              <w:rPr>
                <w:rFonts w:ascii="宋体" w:hAnsi="宋体" w:eastAsia="宋体" w:cs="宋体"/>
                <w:b w:val="0"/>
                <w:i w:val="0"/>
                <w:color w:val="000000"/>
                <w:sz w:val="25"/>
              </w:rPr>
              <w:t>80.89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80.89</w:t>
            </w:r>
          </w:p>
        </w:tc>
        <w:tc>
          <w:tcPr>
            <w:tcW w:w="2700" w:type="dxa"/>
            <w:vAlign w:val="center"/>
          </w:tcPr>
          <w:p>
            <w:pPr>
              <w:jc w:val="right"/>
            </w:pPr>
            <w:r>
              <w:rPr>
                <w:rFonts w:ascii="宋体" w:hAnsi="宋体" w:eastAsia="宋体" w:cs="宋体"/>
                <w:b w:val="0"/>
                <w:i w:val="0"/>
                <w:color w:val="000000"/>
                <w:sz w:val="25"/>
              </w:rPr>
              <w:t>80.89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w:t>
            </w:r>
          </w:p>
        </w:tc>
        <w:tc>
          <w:tcPr>
            <w:tcW w:w="4700" w:type="dxa"/>
            <w:vAlign w:val="center"/>
          </w:tcPr>
          <w:p>
            <w:pPr>
              <w:jc w:val="left"/>
            </w:pPr>
            <w:r>
              <w:rPr>
                <w:rFonts w:ascii="宋体" w:hAnsi="宋体" w:eastAsia="宋体" w:cs="宋体"/>
                <w:b w:val="0"/>
                <w:i w:val="0"/>
                <w:color w:val="000000"/>
                <w:sz w:val="25"/>
              </w:rPr>
              <w:t>教育支出</w:t>
            </w:r>
          </w:p>
        </w:tc>
        <w:tc>
          <w:tcPr>
            <w:tcW w:w="2700" w:type="dxa"/>
            <w:vAlign w:val="center"/>
          </w:tcPr>
          <w:p>
            <w:pPr>
              <w:jc w:val="right"/>
            </w:pPr>
            <w:r>
              <w:rPr>
                <w:rFonts w:ascii="宋体" w:hAnsi="宋体" w:eastAsia="宋体" w:cs="宋体"/>
                <w:b w:val="0"/>
                <w:i w:val="0"/>
                <w:color w:val="000000"/>
                <w:sz w:val="25"/>
              </w:rPr>
              <w:t>39.00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20507</w:t>
            </w:r>
          </w:p>
        </w:tc>
        <w:tc>
          <w:tcPr>
            <w:tcW w:w="4700" w:type="dxa"/>
            <w:vAlign w:val="center"/>
          </w:tcPr>
          <w:p>
            <w:pPr>
              <w:jc w:val="left"/>
            </w:pPr>
            <w:r>
              <w:rPr>
                <w:rFonts w:ascii="宋体" w:hAnsi="宋体" w:eastAsia="宋体" w:cs="宋体"/>
                <w:b w:val="0"/>
                <w:i w:val="0"/>
                <w:color w:val="000000"/>
                <w:sz w:val="25"/>
              </w:rPr>
              <w:t>特殊教育</w:t>
            </w:r>
          </w:p>
        </w:tc>
        <w:tc>
          <w:tcPr>
            <w:tcW w:w="2700" w:type="dxa"/>
            <w:vAlign w:val="center"/>
          </w:tcPr>
          <w:p>
            <w:pPr>
              <w:jc w:val="right"/>
            </w:pPr>
            <w:r>
              <w:rPr>
                <w:rFonts w:ascii="宋体" w:hAnsi="宋体" w:eastAsia="宋体" w:cs="宋体"/>
                <w:b w:val="0"/>
                <w:i w:val="0"/>
                <w:color w:val="000000"/>
                <w:sz w:val="25"/>
              </w:rPr>
              <w:t>39.00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2050701</w:t>
            </w:r>
          </w:p>
        </w:tc>
        <w:tc>
          <w:tcPr>
            <w:tcW w:w="4700" w:type="dxa"/>
            <w:vAlign w:val="center"/>
          </w:tcPr>
          <w:p>
            <w:pPr>
              <w:jc w:val="left"/>
            </w:pPr>
            <w:r>
              <w:rPr>
                <w:rFonts w:ascii="宋体" w:hAnsi="宋体" w:eastAsia="宋体" w:cs="宋体"/>
                <w:b w:val="0"/>
                <w:i w:val="0"/>
                <w:color w:val="000000"/>
                <w:sz w:val="25"/>
              </w:rPr>
              <w:t>特殊学校教育</w:t>
            </w:r>
          </w:p>
        </w:tc>
        <w:tc>
          <w:tcPr>
            <w:tcW w:w="2700" w:type="dxa"/>
            <w:vAlign w:val="center"/>
          </w:tcPr>
          <w:p>
            <w:pPr>
              <w:jc w:val="right"/>
            </w:pPr>
            <w:r>
              <w:rPr>
                <w:rFonts w:ascii="宋体" w:hAnsi="宋体" w:eastAsia="宋体" w:cs="宋体"/>
                <w:b w:val="0"/>
                <w:i w:val="0"/>
                <w:color w:val="000000"/>
                <w:sz w:val="25"/>
              </w:rPr>
              <w:t>39.00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4,615.39</w:t>
            </w:r>
          </w:p>
        </w:tc>
        <w:tc>
          <w:tcPr>
            <w:tcW w:w="2700" w:type="dxa"/>
            <w:vAlign w:val="center"/>
          </w:tcPr>
          <w:p>
            <w:pPr>
              <w:jc w:val="right"/>
            </w:pPr>
            <w:r>
              <w:rPr>
                <w:rFonts w:ascii="宋体" w:hAnsi="宋体" w:eastAsia="宋体" w:cs="宋体"/>
                <w:b w:val="0"/>
                <w:i w:val="0"/>
                <w:color w:val="000000"/>
                <w:sz w:val="25"/>
              </w:rPr>
              <w:t>2,806.12</w:t>
            </w:r>
          </w:p>
        </w:tc>
        <w:tc>
          <w:tcPr>
            <w:tcW w:w="2658" w:type="dxa"/>
            <w:vAlign w:val="center"/>
          </w:tcPr>
          <w:p>
            <w:pPr>
              <w:jc w:val="right"/>
            </w:pPr>
            <w:r>
              <w:rPr>
                <w:rFonts w:ascii="宋体" w:hAnsi="宋体" w:eastAsia="宋体" w:cs="宋体"/>
                <w:b w:val="0"/>
                <w:i w:val="0"/>
                <w:color w:val="000000"/>
                <w:sz w:val="25"/>
              </w:rPr>
              <w:t>1,809.26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20802</w:t>
            </w:r>
          </w:p>
        </w:tc>
        <w:tc>
          <w:tcPr>
            <w:tcW w:w="4700" w:type="dxa"/>
            <w:vAlign w:val="center"/>
          </w:tcPr>
          <w:p>
            <w:pPr>
              <w:jc w:val="left"/>
            </w:pPr>
            <w:r>
              <w:rPr>
                <w:rFonts w:ascii="宋体" w:hAnsi="宋体" w:eastAsia="宋体" w:cs="宋体"/>
                <w:b w:val="0"/>
                <w:i w:val="0"/>
                <w:color w:val="000000"/>
                <w:sz w:val="25"/>
              </w:rPr>
              <w:t>民政管理事务</w:t>
            </w:r>
          </w:p>
        </w:tc>
        <w:tc>
          <w:tcPr>
            <w:tcW w:w="2700" w:type="dxa"/>
            <w:vAlign w:val="center"/>
          </w:tcPr>
          <w:p>
            <w:pPr>
              <w:jc w:val="right"/>
            </w:pPr>
            <w:r>
              <w:rPr>
                <w:rFonts w:ascii="宋体" w:hAnsi="宋体" w:eastAsia="宋体" w:cs="宋体"/>
                <w:b w:val="0"/>
                <w:i w:val="0"/>
                <w:color w:val="000000"/>
                <w:sz w:val="25"/>
              </w:rPr>
              <w:t>989.55</w:t>
            </w:r>
          </w:p>
        </w:tc>
        <w:tc>
          <w:tcPr>
            <w:tcW w:w="2700" w:type="dxa"/>
            <w:vAlign w:val="center"/>
          </w:tcPr>
          <w:p>
            <w:pPr>
              <w:jc w:val="right"/>
            </w:pPr>
            <w:r>
              <w:rPr>
                <w:rFonts w:ascii="宋体" w:hAnsi="宋体" w:eastAsia="宋体" w:cs="宋体"/>
                <w:b w:val="0"/>
                <w:i w:val="0"/>
                <w:color w:val="000000"/>
                <w:sz w:val="25"/>
              </w:rPr>
              <w:t>728.25</w:t>
            </w:r>
          </w:p>
        </w:tc>
        <w:tc>
          <w:tcPr>
            <w:tcW w:w="2658" w:type="dxa"/>
            <w:vAlign w:val="center"/>
          </w:tcPr>
          <w:p>
            <w:pPr>
              <w:jc w:val="right"/>
            </w:pPr>
            <w:r>
              <w:rPr>
                <w:rFonts w:ascii="宋体" w:hAnsi="宋体" w:eastAsia="宋体" w:cs="宋体"/>
                <w:b w:val="0"/>
                <w:i w:val="0"/>
                <w:color w:val="000000"/>
                <w:sz w:val="25"/>
              </w:rPr>
              <w:t>261.30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2080201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728.25</w:t>
            </w:r>
          </w:p>
        </w:tc>
        <w:tc>
          <w:tcPr>
            <w:tcW w:w="2700" w:type="dxa"/>
            <w:vAlign w:val="center"/>
          </w:tcPr>
          <w:p>
            <w:pPr>
              <w:jc w:val="right"/>
            </w:pPr>
            <w:r>
              <w:rPr>
                <w:rFonts w:ascii="宋体" w:hAnsi="宋体" w:eastAsia="宋体" w:cs="宋体"/>
                <w:b w:val="0"/>
                <w:i w:val="0"/>
                <w:color w:val="000000"/>
                <w:sz w:val="25"/>
              </w:rPr>
              <w:t>728.25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2080202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261.30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261.30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463.41</w:t>
            </w:r>
          </w:p>
        </w:tc>
        <w:tc>
          <w:tcPr>
            <w:tcW w:w="2700" w:type="dxa"/>
            <w:vAlign w:val="center"/>
          </w:tcPr>
          <w:p>
            <w:pPr>
              <w:jc w:val="right"/>
            </w:pPr>
            <w:r>
              <w:rPr>
                <w:rFonts w:ascii="宋体" w:hAnsi="宋体" w:eastAsia="宋体" w:cs="宋体"/>
                <w:b w:val="0"/>
                <w:i w:val="0"/>
                <w:color w:val="000000"/>
                <w:sz w:val="25"/>
              </w:rPr>
              <w:t>463.41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233.03</w:t>
            </w:r>
          </w:p>
        </w:tc>
        <w:tc>
          <w:tcPr>
            <w:tcW w:w="2700" w:type="dxa"/>
            <w:vAlign w:val="center"/>
          </w:tcPr>
          <w:p>
            <w:pPr>
              <w:jc w:val="right"/>
            </w:pPr>
            <w:r>
              <w:rPr>
                <w:rFonts w:ascii="宋体" w:hAnsi="宋体" w:eastAsia="宋体" w:cs="宋体"/>
                <w:b w:val="0"/>
                <w:i w:val="0"/>
                <w:color w:val="000000"/>
                <w:sz w:val="25"/>
              </w:rPr>
              <w:t>233.03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136.78</w:t>
            </w:r>
          </w:p>
        </w:tc>
        <w:tc>
          <w:tcPr>
            <w:tcW w:w="2700" w:type="dxa"/>
            <w:vAlign w:val="center"/>
          </w:tcPr>
          <w:p>
            <w:pPr>
              <w:jc w:val="right"/>
            </w:pPr>
            <w:r>
              <w:rPr>
                <w:rFonts w:ascii="宋体" w:hAnsi="宋体" w:eastAsia="宋体" w:cs="宋体"/>
                <w:b w:val="0"/>
                <w:i w:val="0"/>
                <w:color w:val="000000"/>
                <w:sz w:val="25"/>
              </w:rPr>
              <w:t>136.78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93.60</w:t>
            </w:r>
          </w:p>
        </w:tc>
        <w:tc>
          <w:tcPr>
            <w:tcW w:w="2700" w:type="dxa"/>
            <w:vAlign w:val="center"/>
          </w:tcPr>
          <w:p>
            <w:pPr>
              <w:jc w:val="right"/>
            </w:pPr>
            <w:r>
              <w:rPr>
                <w:rFonts w:ascii="宋体" w:hAnsi="宋体" w:eastAsia="宋体" w:cs="宋体"/>
                <w:b w:val="0"/>
                <w:i w:val="0"/>
                <w:color w:val="000000"/>
                <w:sz w:val="25"/>
              </w:rPr>
              <w:t>93.60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w:t>
            </w:r>
          </w:p>
        </w:tc>
        <w:tc>
          <w:tcPr>
            <w:tcW w:w="4700" w:type="dxa"/>
            <w:vAlign w:val="center"/>
          </w:tcPr>
          <w:p>
            <w:pPr>
              <w:jc w:val="left"/>
            </w:pPr>
            <w:r>
              <w:rPr>
                <w:rFonts w:ascii="宋体" w:hAnsi="宋体" w:eastAsia="宋体" w:cs="宋体"/>
                <w:b w:val="0"/>
                <w:i w:val="0"/>
                <w:color w:val="000000"/>
                <w:sz w:val="25"/>
              </w:rPr>
              <w:t>就业补助</w:t>
            </w:r>
          </w:p>
        </w:tc>
        <w:tc>
          <w:tcPr>
            <w:tcW w:w="2700" w:type="dxa"/>
            <w:vAlign w:val="center"/>
          </w:tcPr>
          <w:p>
            <w:pPr>
              <w:jc w:val="right"/>
            </w:pPr>
            <w:r>
              <w:rPr>
                <w:rFonts w:ascii="宋体" w:hAnsi="宋体" w:eastAsia="宋体" w:cs="宋体"/>
                <w:b w:val="0"/>
                <w:i w:val="0"/>
                <w:color w:val="000000"/>
                <w:sz w:val="25"/>
              </w:rPr>
              <w:t>0.82</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0.82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2080799</w:t>
            </w:r>
          </w:p>
        </w:tc>
        <w:tc>
          <w:tcPr>
            <w:tcW w:w="4700" w:type="dxa"/>
            <w:vAlign w:val="center"/>
          </w:tcPr>
          <w:p>
            <w:pPr>
              <w:jc w:val="left"/>
            </w:pPr>
            <w:r>
              <w:rPr>
                <w:rFonts w:ascii="宋体" w:hAnsi="宋体" w:eastAsia="宋体" w:cs="宋体"/>
                <w:b w:val="0"/>
                <w:i w:val="0"/>
                <w:color w:val="000000"/>
                <w:sz w:val="25"/>
              </w:rPr>
              <w:t>其他就业补助支出</w:t>
            </w:r>
          </w:p>
        </w:tc>
        <w:tc>
          <w:tcPr>
            <w:tcW w:w="2700" w:type="dxa"/>
            <w:vAlign w:val="center"/>
          </w:tcPr>
          <w:p>
            <w:pPr>
              <w:jc w:val="right"/>
            </w:pPr>
            <w:r>
              <w:rPr>
                <w:rFonts w:ascii="宋体" w:hAnsi="宋体" w:eastAsia="宋体" w:cs="宋体"/>
                <w:b w:val="0"/>
                <w:i w:val="0"/>
                <w:color w:val="000000"/>
                <w:sz w:val="25"/>
              </w:rPr>
              <w:t>0.82</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0.82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10.89</w:t>
            </w:r>
          </w:p>
        </w:tc>
        <w:tc>
          <w:tcPr>
            <w:tcW w:w="2700" w:type="dxa"/>
            <w:vAlign w:val="center"/>
          </w:tcPr>
          <w:p>
            <w:pPr>
              <w:jc w:val="right"/>
            </w:pPr>
            <w:r>
              <w:rPr>
                <w:rFonts w:ascii="宋体" w:hAnsi="宋体" w:eastAsia="宋体" w:cs="宋体"/>
                <w:b w:val="0"/>
                <w:i w:val="0"/>
                <w:color w:val="000000"/>
                <w:sz w:val="25"/>
              </w:rPr>
              <w:t>10.89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10.89</w:t>
            </w:r>
          </w:p>
        </w:tc>
        <w:tc>
          <w:tcPr>
            <w:tcW w:w="2700" w:type="dxa"/>
            <w:vAlign w:val="center"/>
          </w:tcPr>
          <w:p>
            <w:pPr>
              <w:jc w:val="right"/>
            </w:pPr>
            <w:r>
              <w:rPr>
                <w:rFonts w:ascii="宋体" w:hAnsi="宋体" w:eastAsia="宋体" w:cs="宋体"/>
                <w:b w:val="0"/>
                <w:i w:val="0"/>
                <w:color w:val="000000"/>
                <w:sz w:val="25"/>
              </w:rPr>
              <w:t>10.89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w:t>
            </w:r>
          </w:p>
        </w:tc>
        <w:tc>
          <w:tcPr>
            <w:tcW w:w="4700" w:type="dxa"/>
            <w:vAlign w:val="center"/>
          </w:tcPr>
          <w:p>
            <w:pPr>
              <w:jc w:val="left"/>
            </w:pPr>
            <w:r>
              <w:rPr>
                <w:rFonts w:ascii="宋体" w:hAnsi="宋体" w:eastAsia="宋体" w:cs="宋体"/>
                <w:b w:val="0"/>
                <w:i w:val="0"/>
                <w:color w:val="000000"/>
                <w:sz w:val="25"/>
              </w:rPr>
              <w:t>社会福利</w:t>
            </w:r>
          </w:p>
        </w:tc>
        <w:tc>
          <w:tcPr>
            <w:tcW w:w="2700" w:type="dxa"/>
            <w:vAlign w:val="center"/>
          </w:tcPr>
          <w:p>
            <w:pPr>
              <w:jc w:val="right"/>
            </w:pPr>
            <w:r>
              <w:rPr>
                <w:rFonts w:ascii="宋体" w:hAnsi="宋体" w:eastAsia="宋体" w:cs="宋体"/>
                <w:b w:val="0"/>
                <w:i w:val="0"/>
                <w:color w:val="000000"/>
                <w:sz w:val="25"/>
              </w:rPr>
              <w:t>2,432.16</w:t>
            </w:r>
          </w:p>
        </w:tc>
        <w:tc>
          <w:tcPr>
            <w:tcW w:w="2700" w:type="dxa"/>
            <w:vAlign w:val="center"/>
          </w:tcPr>
          <w:p>
            <w:pPr>
              <w:jc w:val="right"/>
            </w:pPr>
            <w:r>
              <w:rPr>
                <w:rFonts w:ascii="宋体" w:hAnsi="宋体" w:eastAsia="宋体" w:cs="宋体"/>
                <w:b w:val="0"/>
                <w:i w:val="0"/>
                <w:color w:val="000000"/>
                <w:sz w:val="25"/>
              </w:rPr>
              <w:t>1,281.70</w:t>
            </w:r>
          </w:p>
        </w:tc>
        <w:tc>
          <w:tcPr>
            <w:tcW w:w="2658" w:type="dxa"/>
            <w:vAlign w:val="center"/>
          </w:tcPr>
          <w:p>
            <w:pPr>
              <w:jc w:val="right"/>
            </w:pPr>
            <w:r>
              <w:rPr>
                <w:rFonts w:ascii="宋体" w:hAnsi="宋体" w:eastAsia="宋体" w:cs="宋体"/>
                <w:b w:val="0"/>
                <w:i w:val="0"/>
                <w:color w:val="000000"/>
                <w:sz w:val="25"/>
              </w:rPr>
              <w:t>1,150.45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2081001</w:t>
            </w:r>
          </w:p>
        </w:tc>
        <w:tc>
          <w:tcPr>
            <w:tcW w:w="4700" w:type="dxa"/>
            <w:vAlign w:val="center"/>
          </w:tcPr>
          <w:p>
            <w:pPr>
              <w:jc w:val="left"/>
            </w:pPr>
            <w:r>
              <w:rPr>
                <w:rFonts w:ascii="宋体" w:hAnsi="宋体" w:eastAsia="宋体" w:cs="宋体"/>
                <w:b w:val="0"/>
                <w:i w:val="0"/>
                <w:color w:val="000000"/>
                <w:sz w:val="25"/>
              </w:rPr>
              <w:t>儿童福利</w:t>
            </w:r>
          </w:p>
        </w:tc>
        <w:tc>
          <w:tcPr>
            <w:tcW w:w="2700" w:type="dxa"/>
            <w:vAlign w:val="center"/>
          </w:tcPr>
          <w:p>
            <w:pPr>
              <w:jc w:val="right"/>
            </w:pPr>
            <w:r>
              <w:rPr>
                <w:rFonts w:ascii="宋体" w:hAnsi="宋体" w:eastAsia="宋体" w:cs="宋体"/>
                <w:b w:val="0"/>
                <w:i w:val="0"/>
                <w:color w:val="000000"/>
                <w:sz w:val="25"/>
              </w:rPr>
              <w:t>141.46</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141.46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2081004</w:t>
            </w:r>
          </w:p>
        </w:tc>
        <w:tc>
          <w:tcPr>
            <w:tcW w:w="4700" w:type="dxa"/>
            <w:vAlign w:val="center"/>
          </w:tcPr>
          <w:p>
            <w:pPr>
              <w:jc w:val="left"/>
            </w:pPr>
            <w:r>
              <w:rPr>
                <w:rFonts w:ascii="宋体" w:hAnsi="宋体" w:eastAsia="宋体" w:cs="宋体"/>
                <w:b w:val="0"/>
                <w:i w:val="0"/>
                <w:color w:val="000000"/>
                <w:sz w:val="25"/>
              </w:rPr>
              <w:t>殡葬</w:t>
            </w:r>
          </w:p>
        </w:tc>
        <w:tc>
          <w:tcPr>
            <w:tcW w:w="2700" w:type="dxa"/>
            <w:vAlign w:val="center"/>
          </w:tcPr>
          <w:p>
            <w:pPr>
              <w:jc w:val="right"/>
            </w:pPr>
            <w:r>
              <w:rPr>
                <w:rFonts w:ascii="宋体" w:hAnsi="宋体" w:eastAsia="宋体" w:cs="宋体"/>
                <w:b w:val="0"/>
                <w:i w:val="0"/>
                <w:color w:val="000000"/>
                <w:sz w:val="25"/>
              </w:rPr>
              <w:t>1,038.12</w:t>
            </w:r>
          </w:p>
        </w:tc>
        <w:tc>
          <w:tcPr>
            <w:tcW w:w="2700" w:type="dxa"/>
            <w:vAlign w:val="center"/>
          </w:tcPr>
          <w:p>
            <w:pPr>
              <w:jc w:val="right"/>
            </w:pPr>
            <w:r>
              <w:rPr>
                <w:rFonts w:ascii="宋体" w:hAnsi="宋体" w:eastAsia="宋体" w:cs="宋体"/>
                <w:b w:val="0"/>
                <w:i w:val="0"/>
                <w:color w:val="000000"/>
                <w:sz w:val="25"/>
              </w:rPr>
              <w:t>130.12</w:t>
            </w:r>
          </w:p>
        </w:tc>
        <w:tc>
          <w:tcPr>
            <w:tcW w:w="2658" w:type="dxa"/>
            <w:vAlign w:val="center"/>
          </w:tcPr>
          <w:p>
            <w:pPr>
              <w:jc w:val="right"/>
            </w:pPr>
            <w:r>
              <w:rPr>
                <w:rFonts w:ascii="宋体" w:hAnsi="宋体" w:eastAsia="宋体" w:cs="宋体"/>
                <w:b w:val="0"/>
                <w:i w:val="0"/>
                <w:color w:val="000000"/>
                <w:sz w:val="25"/>
              </w:rPr>
              <w:t>907.99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2081005</w:t>
            </w:r>
          </w:p>
        </w:tc>
        <w:tc>
          <w:tcPr>
            <w:tcW w:w="4700" w:type="dxa"/>
            <w:vAlign w:val="center"/>
          </w:tcPr>
          <w:p>
            <w:pPr>
              <w:jc w:val="left"/>
            </w:pPr>
            <w:r>
              <w:rPr>
                <w:rFonts w:ascii="宋体" w:hAnsi="宋体" w:eastAsia="宋体" w:cs="宋体"/>
                <w:b w:val="0"/>
                <w:i w:val="0"/>
                <w:color w:val="000000"/>
                <w:sz w:val="25"/>
              </w:rPr>
              <w:t>社会福利事业单位</w:t>
            </w:r>
          </w:p>
        </w:tc>
        <w:tc>
          <w:tcPr>
            <w:tcW w:w="2700" w:type="dxa"/>
            <w:vAlign w:val="center"/>
          </w:tcPr>
          <w:p>
            <w:pPr>
              <w:jc w:val="right"/>
            </w:pPr>
            <w:r>
              <w:rPr>
                <w:rFonts w:ascii="宋体" w:hAnsi="宋体" w:eastAsia="宋体" w:cs="宋体"/>
                <w:b w:val="0"/>
                <w:i w:val="0"/>
                <w:color w:val="000000"/>
                <w:sz w:val="25"/>
              </w:rPr>
              <w:t>1,247.54</w:t>
            </w:r>
          </w:p>
        </w:tc>
        <w:tc>
          <w:tcPr>
            <w:tcW w:w="2700" w:type="dxa"/>
            <w:vAlign w:val="center"/>
          </w:tcPr>
          <w:p>
            <w:pPr>
              <w:jc w:val="right"/>
            </w:pPr>
            <w:r>
              <w:rPr>
                <w:rFonts w:ascii="宋体" w:hAnsi="宋体" w:eastAsia="宋体" w:cs="宋体"/>
                <w:b w:val="0"/>
                <w:i w:val="0"/>
                <w:color w:val="000000"/>
                <w:sz w:val="25"/>
              </w:rPr>
              <w:t>1,146.54</w:t>
            </w:r>
          </w:p>
        </w:tc>
        <w:tc>
          <w:tcPr>
            <w:tcW w:w="2658" w:type="dxa"/>
            <w:vAlign w:val="center"/>
          </w:tcPr>
          <w:p>
            <w:pPr>
              <w:jc w:val="right"/>
            </w:pPr>
            <w:r>
              <w:rPr>
                <w:rFonts w:ascii="宋体" w:hAnsi="宋体" w:eastAsia="宋体" w:cs="宋体"/>
                <w:b w:val="0"/>
                <w:i w:val="0"/>
                <w:color w:val="000000"/>
                <w:sz w:val="25"/>
              </w:rPr>
              <w:t>101.00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2081006</w:t>
            </w:r>
          </w:p>
        </w:tc>
        <w:tc>
          <w:tcPr>
            <w:tcW w:w="4700" w:type="dxa"/>
            <w:vAlign w:val="center"/>
          </w:tcPr>
          <w:p>
            <w:pPr>
              <w:jc w:val="left"/>
            </w:pPr>
            <w:r>
              <w:rPr>
                <w:rFonts w:ascii="宋体" w:hAnsi="宋体" w:eastAsia="宋体" w:cs="宋体"/>
                <w:b w:val="0"/>
                <w:i w:val="0"/>
                <w:color w:val="000000"/>
                <w:sz w:val="25"/>
              </w:rPr>
              <w:t>养老服务</w:t>
            </w:r>
          </w:p>
        </w:tc>
        <w:tc>
          <w:tcPr>
            <w:tcW w:w="2700" w:type="dxa"/>
            <w:vAlign w:val="center"/>
          </w:tcPr>
          <w:p>
            <w:pPr>
              <w:jc w:val="right"/>
            </w:pPr>
            <w:r>
              <w:rPr>
                <w:rFonts w:ascii="宋体" w:hAnsi="宋体" w:eastAsia="宋体" w:cs="宋体"/>
                <w:b w:val="0"/>
                <w:i w:val="0"/>
                <w:color w:val="000000"/>
                <w:sz w:val="25"/>
              </w:rPr>
              <w:t>5.04</w:t>
            </w:r>
          </w:p>
        </w:tc>
        <w:tc>
          <w:tcPr>
            <w:tcW w:w="2700" w:type="dxa"/>
            <w:vAlign w:val="center"/>
          </w:tcPr>
          <w:p>
            <w:pPr>
              <w:jc w:val="right"/>
            </w:pPr>
            <w:r>
              <w:rPr>
                <w:rFonts w:ascii="宋体" w:hAnsi="宋体" w:eastAsia="宋体" w:cs="宋体"/>
                <w:b w:val="0"/>
                <w:i w:val="0"/>
                <w:color w:val="000000"/>
                <w:sz w:val="25"/>
              </w:rPr>
              <w:t>5.04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20819</w:t>
            </w:r>
          </w:p>
        </w:tc>
        <w:tc>
          <w:tcPr>
            <w:tcW w:w="4700" w:type="dxa"/>
            <w:vAlign w:val="center"/>
          </w:tcPr>
          <w:p>
            <w:pPr>
              <w:jc w:val="left"/>
            </w:pPr>
            <w:r>
              <w:rPr>
                <w:rFonts w:ascii="宋体" w:hAnsi="宋体" w:eastAsia="宋体" w:cs="宋体"/>
                <w:b w:val="0"/>
                <w:i w:val="0"/>
                <w:color w:val="000000"/>
                <w:sz w:val="25"/>
              </w:rPr>
              <w:t>最低生活保障</w:t>
            </w:r>
          </w:p>
        </w:tc>
        <w:tc>
          <w:tcPr>
            <w:tcW w:w="2700" w:type="dxa"/>
            <w:vAlign w:val="center"/>
          </w:tcPr>
          <w:p>
            <w:pPr>
              <w:jc w:val="right"/>
            </w:pPr>
            <w:r>
              <w:rPr>
                <w:rFonts w:ascii="宋体" w:hAnsi="宋体" w:eastAsia="宋体" w:cs="宋体"/>
                <w:b w:val="0"/>
                <w:i w:val="0"/>
                <w:color w:val="000000"/>
                <w:sz w:val="25"/>
              </w:rPr>
              <w:t>396.69</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396.69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2081901</w:t>
            </w:r>
          </w:p>
        </w:tc>
        <w:tc>
          <w:tcPr>
            <w:tcW w:w="4700" w:type="dxa"/>
            <w:vAlign w:val="center"/>
          </w:tcPr>
          <w:p>
            <w:pPr>
              <w:jc w:val="left"/>
            </w:pPr>
            <w:r>
              <w:rPr>
                <w:rFonts w:ascii="宋体" w:hAnsi="宋体" w:eastAsia="宋体" w:cs="宋体"/>
                <w:b w:val="0"/>
                <w:i w:val="0"/>
                <w:color w:val="000000"/>
                <w:sz w:val="25"/>
              </w:rPr>
              <w:t>城市最低生活保障金支出</w:t>
            </w:r>
          </w:p>
        </w:tc>
        <w:tc>
          <w:tcPr>
            <w:tcW w:w="2700" w:type="dxa"/>
            <w:vAlign w:val="center"/>
          </w:tcPr>
          <w:p>
            <w:pPr>
              <w:jc w:val="right"/>
            </w:pPr>
            <w:r>
              <w:rPr>
                <w:rFonts w:ascii="宋体" w:hAnsi="宋体" w:eastAsia="宋体" w:cs="宋体"/>
                <w:b w:val="0"/>
                <w:i w:val="0"/>
                <w:color w:val="000000"/>
                <w:sz w:val="25"/>
              </w:rPr>
              <w:t>396.69</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396.69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20820</w:t>
            </w:r>
          </w:p>
        </w:tc>
        <w:tc>
          <w:tcPr>
            <w:tcW w:w="4700" w:type="dxa"/>
            <w:vAlign w:val="center"/>
          </w:tcPr>
          <w:p>
            <w:pPr>
              <w:jc w:val="left"/>
            </w:pPr>
            <w:r>
              <w:rPr>
                <w:rFonts w:ascii="宋体" w:hAnsi="宋体" w:eastAsia="宋体" w:cs="宋体"/>
                <w:b w:val="0"/>
                <w:i w:val="0"/>
                <w:color w:val="000000"/>
                <w:sz w:val="25"/>
              </w:rPr>
              <w:t>临时救助</w:t>
            </w:r>
          </w:p>
        </w:tc>
        <w:tc>
          <w:tcPr>
            <w:tcW w:w="2700" w:type="dxa"/>
            <w:vAlign w:val="center"/>
          </w:tcPr>
          <w:p>
            <w:pPr>
              <w:jc w:val="right"/>
            </w:pPr>
            <w:r>
              <w:rPr>
                <w:rFonts w:ascii="宋体" w:hAnsi="宋体" w:eastAsia="宋体" w:cs="宋体"/>
                <w:b w:val="0"/>
                <w:i w:val="0"/>
                <w:color w:val="000000"/>
                <w:sz w:val="25"/>
              </w:rPr>
              <w:t>321.87</w:t>
            </w:r>
          </w:p>
        </w:tc>
        <w:tc>
          <w:tcPr>
            <w:tcW w:w="2700" w:type="dxa"/>
            <w:vAlign w:val="center"/>
          </w:tcPr>
          <w:p>
            <w:pPr>
              <w:jc w:val="right"/>
            </w:pPr>
            <w:r>
              <w:rPr>
                <w:rFonts w:ascii="宋体" w:hAnsi="宋体" w:eastAsia="宋体" w:cs="宋体"/>
                <w:b w:val="0"/>
                <w:i w:val="0"/>
                <w:color w:val="000000"/>
                <w:sz w:val="25"/>
              </w:rPr>
              <w:t>321.87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2082002</w:t>
            </w:r>
          </w:p>
        </w:tc>
        <w:tc>
          <w:tcPr>
            <w:tcW w:w="4700" w:type="dxa"/>
            <w:vAlign w:val="center"/>
          </w:tcPr>
          <w:p>
            <w:pPr>
              <w:jc w:val="left"/>
            </w:pPr>
            <w:r>
              <w:rPr>
                <w:rFonts w:ascii="宋体" w:hAnsi="宋体" w:eastAsia="宋体" w:cs="宋体"/>
                <w:b w:val="0"/>
                <w:i w:val="0"/>
                <w:color w:val="000000"/>
                <w:sz w:val="25"/>
              </w:rPr>
              <w:t>流浪乞讨人员救助支出</w:t>
            </w:r>
          </w:p>
        </w:tc>
        <w:tc>
          <w:tcPr>
            <w:tcW w:w="2700" w:type="dxa"/>
            <w:vAlign w:val="center"/>
          </w:tcPr>
          <w:p>
            <w:pPr>
              <w:jc w:val="right"/>
            </w:pPr>
            <w:r>
              <w:rPr>
                <w:rFonts w:ascii="宋体" w:hAnsi="宋体" w:eastAsia="宋体" w:cs="宋体"/>
                <w:b w:val="0"/>
                <w:i w:val="0"/>
                <w:color w:val="000000"/>
                <w:sz w:val="25"/>
              </w:rPr>
              <w:t>321.87</w:t>
            </w:r>
          </w:p>
        </w:tc>
        <w:tc>
          <w:tcPr>
            <w:tcW w:w="2700" w:type="dxa"/>
            <w:vAlign w:val="center"/>
          </w:tcPr>
          <w:p>
            <w:pPr>
              <w:jc w:val="right"/>
            </w:pPr>
            <w:r>
              <w:rPr>
                <w:rFonts w:ascii="宋体" w:hAnsi="宋体" w:eastAsia="宋体" w:cs="宋体"/>
                <w:b w:val="0"/>
                <w:i w:val="0"/>
                <w:color w:val="000000"/>
                <w:sz w:val="25"/>
              </w:rPr>
              <w:t>321.87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74.08</w:t>
            </w:r>
          </w:p>
        </w:tc>
        <w:tc>
          <w:tcPr>
            <w:tcW w:w="2700" w:type="dxa"/>
            <w:vAlign w:val="center"/>
          </w:tcPr>
          <w:p>
            <w:pPr>
              <w:jc w:val="right"/>
            </w:pPr>
            <w:r>
              <w:rPr>
                <w:rFonts w:ascii="宋体" w:hAnsi="宋体" w:eastAsia="宋体" w:cs="宋体"/>
                <w:b w:val="0"/>
                <w:i w:val="0"/>
                <w:color w:val="000000"/>
                <w:sz w:val="25"/>
              </w:rPr>
              <w:t>69.79</w:t>
            </w:r>
          </w:p>
        </w:tc>
        <w:tc>
          <w:tcPr>
            <w:tcW w:w="2658" w:type="dxa"/>
            <w:vAlign w:val="center"/>
          </w:tcPr>
          <w:p>
            <w:pPr>
              <w:jc w:val="right"/>
            </w:pPr>
            <w:r>
              <w:rPr>
                <w:rFonts w:ascii="宋体" w:hAnsi="宋体" w:eastAsia="宋体" w:cs="宋体"/>
                <w:b w:val="0"/>
                <w:i w:val="0"/>
                <w:color w:val="000000"/>
                <w:sz w:val="25"/>
              </w:rPr>
              <w:t>4.28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74.08</w:t>
            </w:r>
          </w:p>
        </w:tc>
        <w:tc>
          <w:tcPr>
            <w:tcW w:w="2700" w:type="dxa"/>
            <w:vAlign w:val="center"/>
          </w:tcPr>
          <w:p>
            <w:pPr>
              <w:jc w:val="right"/>
            </w:pPr>
            <w:r>
              <w:rPr>
                <w:rFonts w:ascii="宋体" w:hAnsi="宋体" w:eastAsia="宋体" w:cs="宋体"/>
                <w:b w:val="0"/>
                <w:i w:val="0"/>
                <w:color w:val="000000"/>
                <w:sz w:val="25"/>
              </w:rPr>
              <w:t>69.79</w:t>
            </w:r>
          </w:p>
        </w:tc>
        <w:tc>
          <w:tcPr>
            <w:tcW w:w="2658" w:type="dxa"/>
            <w:vAlign w:val="center"/>
          </w:tcPr>
          <w:p>
            <w:pPr>
              <w:jc w:val="right"/>
            </w:pPr>
            <w:r>
              <w:rPr>
                <w:rFonts w:ascii="宋体" w:hAnsi="宋体" w:eastAsia="宋体" w:cs="宋体"/>
                <w:b w:val="0"/>
                <w:i w:val="0"/>
                <w:color w:val="000000"/>
                <w:sz w:val="25"/>
              </w:rPr>
              <w:t>4.28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25.40</w:t>
            </w:r>
          </w:p>
        </w:tc>
        <w:tc>
          <w:tcPr>
            <w:tcW w:w="2700" w:type="dxa"/>
            <w:vAlign w:val="center"/>
          </w:tcPr>
          <w:p>
            <w:pPr>
              <w:jc w:val="right"/>
            </w:pPr>
            <w:r>
              <w:rPr>
                <w:rFonts w:ascii="宋体" w:hAnsi="宋体" w:eastAsia="宋体" w:cs="宋体"/>
                <w:b w:val="0"/>
                <w:i w:val="0"/>
                <w:color w:val="000000"/>
                <w:sz w:val="25"/>
              </w:rPr>
              <w:t>21.11</w:t>
            </w:r>
          </w:p>
        </w:tc>
        <w:tc>
          <w:tcPr>
            <w:tcW w:w="2658" w:type="dxa"/>
            <w:vAlign w:val="center"/>
          </w:tcPr>
          <w:p>
            <w:pPr>
              <w:jc w:val="right"/>
            </w:pPr>
            <w:r>
              <w:rPr>
                <w:rFonts w:ascii="宋体" w:hAnsi="宋体" w:eastAsia="宋体" w:cs="宋体"/>
                <w:b w:val="0"/>
                <w:i w:val="0"/>
                <w:color w:val="000000"/>
                <w:sz w:val="25"/>
              </w:rPr>
              <w:t>4.28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25.22</w:t>
            </w:r>
          </w:p>
        </w:tc>
        <w:tc>
          <w:tcPr>
            <w:tcW w:w="2700" w:type="dxa"/>
            <w:vAlign w:val="center"/>
          </w:tcPr>
          <w:p>
            <w:pPr>
              <w:jc w:val="right"/>
            </w:pPr>
            <w:r>
              <w:rPr>
                <w:rFonts w:ascii="宋体" w:hAnsi="宋体" w:eastAsia="宋体" w:cs="宋体"/>
                <w:b w:val="0"/>
                <w:i w:val="0"/>
                <w:color w:val="000000"/>
                <w:sz w:val="25"/>
              </w:rPr>
              <w:t>25.22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23.46</w:t>
            </w:r>
          </w:p>
        </w:tc>
        <w:tc>
          <w:tcPr>
            <w:tcW w:w="2700" w:type="dxa"/>
            <w:vAlign w:val="center"/>
          </w:tcPr>
          <w:p>
            <w:pPr>
              <w:jc w:val="right"/>
            </w:pPr>
            <w:r>
              <w:rPr>
                <w:rFonts w:ascii="宋体" w:hAnsi="宋体" w:eastAsia="宋体" w:cs="宋体"/>
                <w:b w:val="0"/>
                <w:i w:val="0"/>
                <w:color w:val="000000"/>
                <w:sz w:val="25"/>
              </w:rPr>
              <w:t>23.46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3.40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3.40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0.90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0.90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88.16</w:t>
            </w:r>
          </w:p>
        </w:tc>
        <w:tc>
          <w:tcPr>
            <w:tcW w:w="2700" w:type="dxa"/>
            <w:vAlign w:val="center"/>
          </w:tcPr>
          <w:p>
            <w:pPr>
              <w:jc w:val="right"/>
            </w:pPr>
            <w:r>
              <w:rPr>
                <w:rFonts w:ascii="宋体" w:hAnsi="宋体" w:eastAsia="宋体" w:cs="宋体"/>
                <w:b w:val="0"/>
                <w:i w:val="0"/>
                <w:color w:val="000000"/>
                <w:sz w:val="25"/>
              </w:rPr>
              <w:t>88.16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88.16</w:t>
            </w:r>
          </w:p>
        </w:tc>
        <w:tc>
          <w:tcPr>
            <w:tcW w:w="2700" w:type="dxa"/>
            <w:vAlign w:val="center"/>
          </w:tcPr>
          <w:p>
            <w:pPr>
              <w:jc w:val="right"/>
            </w:pPr>
            <w:r>
              <w:rPr>
                <w:rFonts w:ascii="宋体" w:hAnsi="宋体" w:eastAsia="宋体" w:cs="宋体"/>
                <w:b w:val="0"/>
                <w:i w:val="0"/>
                <w:color w:val="000000"/>
                <w:sz w:val="25"/>
              </w:rPr>
              <w:t>88.16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88.16</w:t>
            </w:r>
          </w:p>
        </w:tc>
        <w:tc>
          <w:tcPr>
            <w:tcW w:w="2700" w:type="dxa"/>
            <w:vAlign w:val="center"/>
          </w:tcPr>
          <w:p>
            <w:pPr>
              <w:jc w:val="right"/>
            </w:pPr>
            <w:r>
              <w:rPr>
                <w:rFonts w:ascii="宋体" w:hAnsi="宋体" w:eastAsia="宋体" w:cs="宋体"/>
                <w:b w:val="0"/>
                <w:i w:val="0"/>
                <w:color w:val="000000"/>
                <w:sz w:val="25"/>
              </w:rPr>
              <w:t>88.16</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部门：许昌市民政局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2,419.24</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190.15</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470.11</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39.08</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503.71</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5.63</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349.55</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1.08</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9.86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140.44</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1.15</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9.86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118.91</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9.59</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4.95</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8.24</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50.92</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23.46</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4.11</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7.62</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16.54</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95.40</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9.19</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654.17</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0.28</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434.01</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23.83</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0.23</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347.60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1.03</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1.49</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10.89</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7.64</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6.62</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7.90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8.29</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0.17</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9.00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5.15</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34.50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43.89</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21.07</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2,853.25</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200.01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部门：许昌市民政局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pPr>
              <w:jc w:val="right"/>
            </w:pPr>
            <w:r>
              <w:rPr>
                <w:rFonts w:ascii="宋体" w:hAnsi="宋体" w:eastAsia="宋体" w:cs="宋体"/>
                <w:b/>
                <w:i w:val="0"/>
                <w:color w:val="000000"/>
                <w:sz w:val="20"/>
              </w:rPr>
              <w:t>66.69</w:t>
            </w:r>
          </w:p>
        </w:tc>
        <w:tc>
          <w:tcPr>
            <w:tcW w:w="1560" w:type="dxa"/>
            <w:vAlign w:val="center"/>
          </w:tcPr>
          <w:p>
            <w:pPr>
              <w:jc w:val="right"/>
            </w:pPr>
            <w:r>
              <w:rPr>
                <w:rFonts w:ascii="宋体" w:hAnsi="宋体" w:eastAsia="宋体" w:cs="宋体"/>
                <w:b/>
                <w:i w:val="0"/>
                <w:color w:val="000000"/>
                <w:sz w:val="20"/>
              </w:rPr>
              <w:t>653.79</w:t>
            </w:r>
          </w:p>
        </w:tc>
        <w:tc>
          <w:tcPr>
            <w:tcW w:w="1560" w:type="dxa"/>
            <w:vAlign w:val="center"/>
          </w:tcPr>
          <w:p>
            <w:pPr>
              <w:jc w:val="right"/>
            </w:pPr>
            <w:r>
              <w:rPr>
                <w:rFonts w:ascii="宋体" w:hAnsi="宋体" w:eastAsia="宋体" w:cs="宋体"/>
                <w:b/>
                <w:i w:val="0"/>
                <w:color w:val="000000"/>
                <w:sz w:val="20"/>
              </w:rPr>
              <w:t>720.48</w:t>
            </w:r>
          </w:p>
        </w:tc>
        <w:tc>
          <w:tcPr>
            <w:tcW w:w="1560" w:type="dxa"/>
            <w:vAlign w:val="center"/>
          </w:tcPr>
          <w:p>
            <w:pPr>
              <w:jc w:val="right"/>
            </w:pPr>
            <w:r>
              <w:rPr>
                <w:rFonts w:ascii="宋体" w:hAnsi="宋体" w:eastAsia="宋体" w:cs="宋体"/>
                <w:b/>
                <w:i w:val="0"/>
                <w:color w:val="000000"/>
                <w:sz w:val="20"/>
              </w:rPr>
              <w:t>0.00</w:t>
            </w:r>
          </w:p>
        </w:tc>
        <w:tc>
          <w:tcPr>
            <w:tcW w:w="1560" w:type="dxa"/>
            <w:vAlign w:val="center"/>
          </w:tcPr>
          <w:p>
            <w:pPr>
              <w:jc w:val="right"/>
            </w:pPr>
            <w:r>
              <w:rPr>
                <w:rFonts w:ascii="宋体" w:hAnsi="宋体" w:eastAsia="宋体" w:cs="宋体"/>
                <w:b/>
                <w:i w:val="0"/>
                <w:color w:val="000000"/>
                <w:sz w:val="20"/>
              </w:rPr>
              <w:t>720.48</w:t>
            </w:r>
          </w:p>
        </w:tc>
        <w:tc>
          <w:tcPr>
            <w:tcW w:w="1598" w:type="dxa"/>
            <w:vAlign w:val="center"/>
          </w:tcPr>
          <w:p>
            <w:pPr>
              <w:jc w:val="right"/>
            </w:pPr>
            <w:r>
              <w:rPr>
                <w:rFonts w:ascii="宋体" w:hAnsi="宋体" w:eastAsia="宋体" w:cs="宋体"/>
                <w:b/>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pPr>
            <w:r>
              <w:rPr>
                <w:rFonts w:ascii="宋体" w:hAnsi="宋体" w:eastAsia="宋体" w:cs="宋体"/>
                <w:b w:val="0"/>
                <w:i w:val="0"/>
                <w:color w:val="000000"/>
                <w:sz w:val="20"/>
              </w:rPr>
              <w:t>229</w:t>
            </w:r>
          </w:p>
        </w:tc>
        <w:tc>
          <w:tcPr>
            <w:tcW w:w="3660" w:type="dxa"/>
            <w:vAlign w:val="center"/>
          </w:tcPr>
          <w:p>
            <w:pPr>
              <w:jc w:val="left"/>
            </w:pPr>
            <w:r>
              <w:rPr>
                <w:rFonts w:ascii="宋体" w:hAnsi="宋体" w:eastAsia="宋体" w:cs="宋体"/>
                <w:b w:val="0"/>
                <w:i w:val="0"/>
                <w:color w:val="000000"/>
                <w:sz w:val="20"/>
              </w:rPr>
              <w:t>其他支出</w:t>
            </w:r>
          </w:p>
        </w:tc>
        <w:tc>
          <w:tcPr>
            <w:tcW w:w="1560" w:type="dxa"/>
            <w:vAlign w:val="center"/>
          </w:tcPr>
          <w:p>
            <w:pPr>
              <w:jc w:val="right"/>
            </w:pPr>
            <w:r>
              <w:rPr>
                <w:rFonts w:ascii="宋体" w:hAnsi="宋体" w:eastAsia="宋体" w:cs="宋体"/>
                <w:b w:val="0"/>
                <w:i w:val="0"/>
                <w:color w:val="000000"/>
                <w:sz w:val="20"/>
              </w:rPr>
              <w:t>66.69</w:t>
            </w:r>
          </w:p>
        </w:tc>
        <w:tc>
          <w:tcPr>
            <w:tcW w:w="1560" w:type="dxa"/>
            <w:vAlign w:val="center"/>
          </w:tcPr>
          <w:p>
            <w:pPr>
              <w:jc w:val="right"/>
            </w:pPr>
            <w:r>
              <w:rPr>
                <w:rFonts w:ascii="宋体" w:hAnsi="宋体" w:eastAsia="宋体" w:cs="宋体"/>
                <w:b w:val="0"/>
                <w:i w:val="0"/>
                <w:color w:val="000000"/>
                <w:sz w:val="20"/>
              </w:rPr>
              <w:t>653.79</w:t>
            </w:r>
          </w:p>
        </w:tc>
        <w:tc>
          <w:tcPr>
            <w:tcW w:w="1560" w:type="dxa"/>
            <w:vAlign w:val="center"/>
          </w:tcPr>
          <w:p>
            <w:pPr>
              <w:jc w:val="right"/>
            </w:pPr>
            <w:r>
              <w:rPr>
                <w:rFonts w:ascii="宋体" w:hAnsi="宋体" w:eastAsia="宋体" w:cs="宋体"/>
                <w:b w:val="0"/>
                <w:i w:val="0"/>
                <w:color w:val="000000"/>
                <w:sz w:val="20"/>
              </w:rPr>
              <w:t>720.48</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720.48</w:t>
            </w:r>
          </w:p>
        </w:tc>
        <w:tc>
          <w:tcPr>
            <w:tcW w:w="159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pPr>
            <w:r>
              <w:rPr>
                <w:rFonts w:ascii="宋体" w:hAnsi="宋体" w:eastAsia="宋体" w:cs="宋体"/>
                <w:b w:val="0"/>
                <w:i w:val="0"/>
                <w:color w:val="000000"/>
                <w:sz w:val="20"/>
              </w:rPr>
              <w:t>22960</w:t>
            </w:r>
          </w:p>
        </w:tc>
        <w:tc>
          <w:tcPr>
            <w:tcW w:w="3660" w:type="dxa"/>
            <w:vAlign w:val="center"/>
          </w:tcPr>
          <w:p>
            <w:pPr>
              <w:jc w:val="left"/>
            </w:pPr>
            <w:r>
              <w:rPr>
                <w:rFonts w:ascii="宋体" w:hAnsi="宋体" w:eastAsia="宋体" w:cs="宋体"/>
                <w:b w:val="0"/>
                <w:i w:val="0"/>
                <w:color w:val="000000"/>
                <w:sz w:val="20"/>
              </w:rPr>
              <w:t>彩票公益金安排的支出</w:t>
            </w:r>
          </w:p>
        </w:tc>
        <w:tc>
          <w:tcPr>
            <w:tcW w:w="1560" w:type="dxa"/>
            <w:vAlign w:val="center"/>
          </w:tcPr>
          <w:p>
            <w:pPr>
              <w:jc w:val="right"/>
            </w:pPr>
            <w:r>
              <w:rPr>
                <w:rFonts w:ascii="宋体" w:hAnsi="宋体" w:eastAsia="宋体" w:cs="宋体"/>
                <w:b w:val="0"/>
                <w:i w:val="0"/>
                <w:color w:val="000000"/>
                <w:sz w:val="20"/>
              </w:rPr>
              <w:t>66.69</w:t>
            </w:r>
          </w:p>
        </w:tc>
        <w:tc>
          <w:tcPr>
            <w:tcW w:w="1560" w:type="dxa"/>
            <w:vAlign w:val="center"/>
          </w:tcPr>
          <w:p>
            <w:pPr>
              <w:jc w:val="right"/>
            </w:pPr>
            <w:r>
              <w:rPr>
                <w:rFonts w:ascii="宋体" w:hAnsi="宋体" w:eastAsia="宋体" w:cs="宋体"/>
                <w:b w:val="0"/>
                <w:i w:val="0"/>
                <w:color w:val="000000"/>
                <w:sz w:val="20"/>
              </w:rPr>
              <w:t>653.79</w:t>
            </w:r>
          </w:p>
        </w:tc>
        <w:tc>
          <w:tcPr>
            <w:tcW w:w="1560" w:type="dxa"/>
            <w:vAlign w:val="center"/>
          </w:tcPr>
          <w:p>
            <w:pPr>
              <w:jc w:val="right"/>
            </w:pPr>
            <w:r>
              <w:rPr>
                <w:rFonts w:ascii="宋体" w:hAnsi="宋体" w:eastAsia="宋体" w:cs="宋体"/>
                <w:b w:val="0"/>
                <w:i w:val="0"/>
                <w:color w:val="000000"/>
                <w:sz w:val="20"/>
              </w:rPr>
              <w:t>720.48</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720.48</w:t>
            </w:r>
          </w:p>
        </w:tc>
        <w:tc>
          <w:tcPr>
            <w:tcW w:w="159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pPr>
            <w:r>
              <w:rPr>
                <w:rFonts w:ascii="宋体" w:hAnsi="宋体" w:eastAsia="宋体" w:cs="宋体"/>
                <w:b w:val="0"/>
                <w:i w:val="0"/>
                <w:color w:val="000000"/>
                <w:sz w:val="20"/>
              </w:rPr>
              <w:t>2296002</w:t>
            </w:r>
          </w:p>
        </w:tc>
        <w:tc>
          <w:tcPr>
            <w:tcW w:w="3660" w:type="dxa"/>
            <w:vAlign w:val="center"/>
          </w:tcPr>
          <w:p>
            <w:pPr>
              <w:jc w:val="left"/>
            </w:pPr>
            <w:r>
              <w:rPr>
                <w:rFonts w:ascii="宋体" w:hAnsi="宋体" w:eastAsia="宋体" w:cs="宋体"/>
                <w:b w:val="0"/>
                <w:i w:val="0"/>
                <w:color w:val="000000"/>
                <w:sz w:val="20"/>
              </w:rPr>
              <w:t>用于社会福利的彩票公益金支出</w:t>
            </w:r>
          </w:p>
        </w:tc>
        <w:tc>
          <w:tcPr>
            <w:tcW w:w="1560" w:type="dxa"/>
            <w:vAlign w:val="center"/>
          </w:tcPr>
          <w:p>
            <w:pPr>
              <w:jc w:val="right"/>
            </w:pPr>
            <w:r>
              <w:rPr>
                <w:rFonts w:ascii="宋体" w:hAnsi="宋体" w:eastAsia="宋体" w:cs="宋体"/>
                <w:b w:val="0"/>
                <w:i w:val="0"/>
                <w:color w:val="000000"/>
                <w:sz w:val="20"/>
              </w:rPr>
              <w:t>66.69</w:t>
            </w:r>
          </w:p>
        </w:tc>
        <w:tc>
          <w:tcPr>
            <w:tcW w:w="1560" w:type="dxa"/>
            <w:vAlign w:val="center"/>
          </w:tcPr>
          <w:p>
            <w:pPr>
              <w:jc w:val="right"/>
            </w:pPr>
            <w:r>
              <w:rPr>
                <w:rFonts w:ascii="宋体" w:hAnsi="宋体" w:eastAsia="宋体" w:cs="宋体"/>
                <w:b w:val="0"/>
                <w:i w:val="0"/>
                <w:color w:val="000000"/>
                <w:sz w:val="20"/>
              </w:rPr>
              <w:t>653.79</w:t>
            </w:r>
          </w:p>
        </w:tc>
        <w:tc>
          <w:tcPr>
            <w:tcW w:w="1560" w:type="dxa"/>
            <w:vAlign w:val="center"/>
          </w:tcPr>
          <w:p>
            <w:pPr>
              <w:jc w:val="right"/>
            </w:pPr>
            <w:r>
              <w:rPr>
                <w:rFonts w:ascii="宋体" w:hAnsi="宋体" w:eastAsia="宋体" w:cs="宋体"/>
                <w:b w:val="0"/>
                <w:i w:val="0"/>
                <w:color w:val="000000"/>
                <w:sz w:val="20"/>
              </w:rPr>
              <w:t>720.48</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720.48</w:t>
            </w:r>
          </w:p>
        </w:tc>
        <w:tc>
          <w:tcPr>
            <w:tcW w:w="1598" w:type="dxa"/>
            <w:vAlign w:val="center"/>
          </w:tcPr>
          <w:p>
            <w:pPr>
              <w:jc w:val="right"/>
            </w:pPr>
            <w:r>
              <w:rPr>
                <w:rFonts w:ascii="宋体" w:hAnsi="宋体" w:eastAsia="宋体" w:cs="宋体"/>
                <w:b w:val="0"/>
                <w:i w:val="0"/>
                <w:color w:val="000000"/>
                <w:sz w:val="20"/>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部门：许昌市民政局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部门：许昌市民政局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14.66</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13.37</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13.37</w:t>
            </w:r>
          </w:p>
        </w:tc>
        <w:tc>
          <w:tcPr>
            <w:tcW w:w="1160" w:type="dxa"/>
            <w:vAlign w:val="center"/>
          </w:tcPr>
          <w:p>
            <w:pPr>
              <w:jc w:val="right"/>
            </w:pPr>
            <w:r>
              <w:rPr>
                <w:rFonts w:ascii="宋体" w:hAnsi="宋体" w:eastAsia="宋体" w:cs="宋体"/>
                <w:b w:val="0"/>
                <w:i w:val="0"/>
                <w:color w:val="000000"/>
                <w:sz w:val="17"/>
              </w:rPr>
              <w:t>1.29</w:t>
            </w:r>
          </w:p>
        </w:tc>
        <w:tc>
          <w:tcPr>
            <w:tcW w:w="1160" w:type="dxa"/>
            <w:vAlign w:val="center"/>
          </w:tcPr>
          <w:p>
            <w:pPr>
              <w:jc w:val="right"/>
            </w:pPr>
            <w:r>
              <w:rPr>
                <w:rFonts w:ascii="宋体" w:hAnsi="宋体" w:eastAsia="宋体" w:cs="宋体"/>
                <w:b w:val="0"/>
                <w:i w:val="0"/>
                <w:color w:val="000000"/>
                <w:sz w:val="17"/>
              </w:rPr>
              <w:t>11.81</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10.59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10.59</w:t>
            </w:r>
          </w:p>
        </w:tc>
        <w:tc>
          <w:tcPr>
            <w:tcW w:w="1198" w:type="dxa"/>
            <w:vAlign w:val="center"/>
          </w:tcPr>
          <w:p>
            <w:pPr>
              <w:jc w:val="right"/>
            </w:pPr>
            <w:r>
              <w:rPr>
                <w:rFonts w:ascii="宋体" w:hAnsi="宋体" w:eastAsia="宋体" w:cs="宋体"/>
                <w:b w:val="0"/>
                <w:i w:val="0"/>
                <w:color w:val="000000"/>
                <w:sz w:val="17"/>
              </w:rPr>
              <w:t>1.23</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2023年度收、支总计均为7131.33万元。与上年度相比，收、支总计各减少2584.29万元，下降26.60%。主要原因是因业务需求，项目金额减少。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6846.14万元，其中：财政拨款收入5455.71万元，占79.69%；上级补助收入0.00万元，占0.00%；事业收入1390.28万元，占20.31%；经营收入0.00万元，占0.00%；附属单位上缴收入0.00万元，占0.00%；其他收入0.15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2023年度支出合计6878.82万元，其中：基本支出3232.58万元，占46.99%；项目支出3646.24万元，占53.01%；上缴上级支出0.00万元，占0.00%；经营支出0.00万元，占0.00%；对附属单位补助支出0.00万元，占0.00%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2023年度财政拨款收、支总计均为5629.68万元。与上年度相比，财政拨款收、支总计各减少2244.44万元，下降28.50%。主要原因是因业务需求，项目金额减少。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2023年度一般公共预算财政拨款支出4909.21万元，占支出合计的71.37%。与上年度相比，一般公共预算财政拨款支出减少2469.70万元，下降33.47%。主要原因是因业务需求，项目金额减少。</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4909.21万元，主要用于以下方面：一般公共服务支出（类）89.18万元，占1.82%；教育支出（类）39.00万元，占0.79%；社会保障和就业支出（类）4615.39万元，占94.01%；卫生健康支出（类）74.08万元，占1.51%；农林水支出（类）3.40万元，占0.07%；住房保障支出（类）88.16万元，占1.80%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2023年度一般公共预算财政拨款支出年初预算为4671.75万元，支出决算为4909.21万元，完成年初预算的105.08%。其中：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年初预算数为8.29万元，决算数8.29万元,完成年初预算的100.00%，决算数与年初预算数不存在差异。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0"/>
          <w:sz w:val="32"/>
          <w:szCs w:val="32"/>
          <w:lang w:val="en-US" w:eastAsia="zh-CN"/>
        </w:rPr>
        <w:t>年初预算数为7.80万元，决算数80.89万元,完成年初预算的1037.05%，决算数与年初预算数存在差异的主要原因是年中追加预算。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3.教育支出（类）特殊教育（款）特殊学校教育（项）</w:t>
      </w:r>
      <w:r>
        <w:rPr>
          <w:rFonts w:hint="default" w:ascii="仿宋" w:hAnsi="仿宋" w:eastAsia="仿宋" w:cs="仿宋"/>
          <w:kern w:val="0"/>
          <w:sz w:val="32"/>
          <w:szCs w:val="32"/>
          <w:lang w:val="en-US" w:eastAsia="zh-CN"/>
        </w:rPr>
        <w:t>年初预算数为50.00万元，决算数39.00万元,完成年初预算的78.00%，决算数与年初预算数存在差异的主要原因是资金支出根据实际业务需求。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4.社会保障和就业支出（类）民政管理事务（款）行政运行（项）</w:t>
      </w:r>
      <w:r>
        <w:rPr>
          <w:rFonts w:hint="default" w:ascii="仿宋" w:hAnsi="仿宋" w:eastAsia="仿宋" w:cs="仿宋"/>
          <w:kern w:val="0"/>
          <w:sz w:val="32"/>
          <w:szCs w:val="32"/>
          <w:lang w:val="en-US" w:eastAsia="zh-CN"/>
        </w:rPr>
        <w:t>年初预算数为1125.71万元，决算数728.25万元,完成年初预算的64.69%，决算数与年初预算数存在差异的主要原因是资金支出根据实际业务需求。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5.社会保障和就业支出（类）民政管理事务（款）一般行政管理事务（项）</w:t>
      </w:r>
      <w:r>
        <w:rPr>
          <w:rFonts w:hint="default" w:ascii="仿宋" w:hAnsi="仿宋" w:eastAsia="仿宋" w:cs="仿宋"/>
          <w:kern w:val="0"/>
          <w:sz w:val="32"/>
          <w:szCs w:val="32"/>
          <w:lang w:val="en-US" w:eastAsia="zh-CN"/>
        </w:rPr>
        <w:t>年初预算数为0.00万元，决算数261.30万元,决算数与年初预算数存在差异的主要原因是年中追加预算。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6.社会保障和就业支出（类）行政事业单位养老支出（款）行政单位离退休（项）</w:t>
      </w:r>
      <w:r>
        <w:rPr>
          <w:rFonts w:hint="default" w:ascii="仿宋" w:hAnsi="仿宋" w:eastAsia="仿宋" w:cs="仿宋"/>
          <w:kern w:val="0"/>
          <w:sz w:val="32"/>
          <w:szCs w:val="32"/>
          <w:lang w:val="en-US" w:eastAsia="zh-CN"/>
        </w:rPr>
        <w:t>年初预算数为191.47万元，决算数233.03万元,完成年初预算的121.71%，决算数与年初预算数存在差异的主要原因是退休人员增加，年中追加预算。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7.社会保障和就业支出（类）行政事业单位养老支出（款）事业单位离退休（项）</w:t>
      </w:r>
      <w:r>
        <w:rPr>
          <w:rFonts w:hint="default" w:ascii="仿宋" w:hAnsi="仿宋" w:eastAsia="仿宋" w:cs="仿宋"/>
          <w:kern w:val="0"/>
          <w:sz w:val="32"/>
          <w:szCs w:val="32"/>
          <w:lang w:val="en-US" w:eastAsia="zh-CN"/>
        </w:rPr>
        <w:t>年初预算数为137.19万元，决算数136.78万元,完成年初预算的99.70%，决算数与年初预算数存在差异的主要原因是退休人员减少。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年初预算数为93.40万元，决算数93.60万元,完成年初预算的100.21%，决算数与年初预算数存在差异的主要原因是社保基数调整。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9.社会保障和就业支出（类）就业补助（款）其他就业补助支出（项）</w:t>
      </w:r>
      <w:r>
        <w:rPr>
          <w:rFonts w:hint="default" w:ascii="仿宋" w:hAnsi="仿宋" w:eastAsia="仿宋" w:cs="仿宋"/>
          <w:kern w:val="0"/>
          <w:sz w:val="32"/>
          <w:szCs w:val="32"/>
          <w:lang w:val="en-US" w:eastAsia="zh-CN"/>
        </w:rPr>
        <w:t>年初预算数为0.00万元，决算数0.82万元,决算数与年初预算数存在差异的主要原因是年中追加预算。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10.社会保障和就业支出（类）抚恤（款）死亡抚恤（项）</w:t>
      </w:r>
      <w:r>
        <w:rPr>
          <w:rFonts w:hint="default" w:ascii="仿宋" w:hAnsi="仿宋" w:eastAsia="仿宋" w:cs="仿宋"/>
          <w:kern w:val="0"/>
          <w:sz w:val="32"/>
          <w:szCs w:val="32"/>
          <w:lang w:val="en-US" w:eastAsia="zh-CN"/>
        </w:rPr>
        <w:t>年初预算数为0.00万元，决算数10.89万元,决算数与年初预算数存在差异的主要原因是年中追加预算。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11.社会保障和就业支出（类）社会福利（款）儿童福利（项）</w:t>
      </w:r>
      <w:r>
        <w:rPr>
          <w:rFonts w:hint="default" w:ascii="仿宋" w:hAnsi="仿宋" w:eastAsia="仿宋" w:cs="仿宋"/>
          <w:kern w:val="0"/>
          <w:sz w:val="32"/>
          <w:szCs w:val="32"/>
          <w:lang w:val="en-US" w:eastAsia="zh-CN"/>
        </w:rPr>
        <w:t>年初预算数为0.00万元，决算数141.46万元,决算数与年初预算数存在差异的主要原因是年中追加预算。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12.社会保障和就业支出（类）社会福利（款）殡葬（项）</w:t>
      </w:r>
      <w:r>
        <w:rPr>
          <w:rFonts w:hint="default" w:ascii="仿宋" w:hAnsi="仿宋" w:eastAsia="仿宋" w:cs="仿宋"/>
          <w:kern w:val="0"/>
          <w:sz w:val="32"/>
          <w:szCs w:val="32"/>
          <w:lang w:val="en-US" w:eastAsia="zh-CN"/>
        </w:rPr>
        <w:t>年初预算数为379.49万元，决算数1038.12万元,完成年初预算的273.56%，决算数与年初预算数存在差异的主要原因是年中追加预算。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13.社会保障和就业支出（类）社会福利（款）社会福利事业单位（项）</w:t>
      </w:r>
      <w:r>
        <w:rPr>
          <w:rFonts w:hint="default" w:ascii="仿宋" w:hAnsi="仿宋" w:eastAsia="仿宋" w:cs="仿宋"/>
          <w:kern w:val="0"/>
          <w:sz w:val="32"/>
          <w:szCs w:val="32"/>
          <w:lang w:val="en-US" w:eastAsia="zh-CN"/>
        </w:rPr>
        <w:t>年初预算数为1135.77万元，决算数1247.54万元,完成年初预算的109.84%，决算数与年初预算数存在差异的主要原因是年中追加预算。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14.社会保障和就业支出（类）社会福利（款）养老服务（项）</w:t>
      </w:r>
      <w:r>
        <w:rPr>
          <w:rFonts w:hint="default" w:ascii="仿宋" w:hAnsi="仿宋" w:eastAsia="仿宋" w:cs="仿宋"/>
          <w:kern w:val="0"/>
          <w:sz w:val="32"/>
          <w:szCs w:val="32"/>
          <w:lang w:val="en-US" w:eastAsia="zh-CN"/>
        </w:rPr>
        <w:t>年初预算数为0.00万元，决算数5.04万元,决算数与年初预算数存在差异的主要原因是年中追加预算。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15.社会保障和就业支出（类）最低生活保障（款）城市最低生活保障金支出（项）</w:t>
      </w:r>
      <w:r>
        <w:rPr>
          <w:rFonts w:hint="default" w:ascii="仿宋" w:hAnsi="仿宋" w:eastAsia="仿宋" w:cs="仿宋"/>
          <w:kern w:val="0"/>
          <w:sz w:val="32"/>
          <w:szCs w:val="32"/>
          <w:lang w:val="en-US" w:eastAsia="zh-CN"/>
        </w:rPr>
        <w:t>年初预算数为446.42万元，决算数396.69万元,完成年初预算的88.86%，决算数与年初预算数存在差异的主要原因是资金支出按照实际业务需求。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16.社会保障和就业支出（类）临时救助（款）流浪乞讨人员救助支出（项）</w:t>
      </w:r>
      <w:r>
        <w:rPr>
          <w:rFonts w:hint="default" w:ascii="仿宋" w:hAnsi="仿宋" w:eastAsia="仿宋" w:cs="仿宋"/>
          <w:kern w:val="0"/>
          <w:sz w:val="32"/>
          <w:szCs w:val="32"/>
          <w:lang w:val="en-US" w:eastAsia="zh-CN"/>
        </w:rPr>
        <w:t>年初预算数为397.14万元，决算数321.87万元,完成年初预算的81.05%，决算数与年初预算数存在差异的主要原因是资金支出按照实际业务需求。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17.卫生健康支出（类）行政事业单位医疗（款）行政单位医疗（项）</w:t>
      </w:r>
      <w:r>
        <w:rPr>
          <w:rFonts w:hint="default" w:ascii="仿宋" w:hAnsi="仿宋" w:eastAsia="仿宋" w:cs="仿宋"/>
          <w:kern w:val="0"/>
          <w:sz w:val="32"/>
          <w:szCs w:val="32"/>
          <w:lang w:val="en-US" w:eastAsia="zh-CN"/>
        </w:rPr>
        <w:t>年初预算数为21.96万元，决算数25.40万元,完成年初预算的115.66%，决算数与年初预算数存在差异的主要原因是社保基数调整。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18.卫生健康支出（类）行政事业单位医疗（款）事业单位医疗（项）</w:t>
      </w:r>
      <w:r>
        <w:rPr>
          <w:rFonts w:hint="default" w:ascii="仿宋" w:hAnsi="仿宋" w:eastAsia="仿宋" w:cs="仿宋"/>
          <w:kern w:val="0"/>
          <w:sz w:val="32"/>
          <w:szCs w:val="32"/>
          <w:lang w:val="en-US" w:eastAsia="zh-CN"/>
        </w:rPr>
        <w:t>年初预算数为25.56万元，决算数25.22万元,完成年初预算的98.67%，决算数与年初预算数存在差异的主要原因是社保基数调整。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19.卫生健康支出（类）行政事业单位医疗（款）公务员医疗补助（项）</w:t>
      </w:r>
      <w:r>
        <w:rPr>
          <w:rFonts w:hint="default" w:ascii="仿宋" w:hAnsi="仿宋" w:eastAsia="仿宋" w:cs="仿宋"/>
          <w:kern w:val="0"/>
          <w:sz w:val="32"/>
          <w:szCs w:val="32"/>
          <w:lang w:val="en-US" w:eastAsia="zh-CN"/>
        </w:rPr>
        <w:t>年初预算数为24.40万元，决算数23.46万元,完成年初预算的96.15%，决算数与年初预算数存在差异的主要原因是社保基数调整。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20.农林水支出（类）巩固脱贫攻坚成果衔接乡村振兴（款）行政运行（项）</w:t>
      </w:r>
      <w:r>
        <w:rPr>
          <w:rFonts w:hint="default" w:ascii="仿宋" w:hAnsi="仿宋" w:eastAsia="仿宋" w:cs="仿宋"/>
          <w:kern w:val="0"/>
          <w:sz w:val="32"/>
          <w:szCs w:val="32"/>
          <w:lang w:val="en-US" w:eastAsia="zh-CN"/>
        </w:rPr>
        <w:t>年初预算数为0.00万元，决算数0.90万元,决算数与年初预算数存在差异的主要原因是年中追加预算。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21.农林水支出（类）巩固脱贫攻坚成果衔接乡村振兴（款）一般行政管理事务（项）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年初预算数为0.00万元，决算数2.50万元,决算数与年初预算数存在差异的主要原因是年中追加预算。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22.住房保障支出（类）住房改革支出（款）住房公积金（项）</w:t>
      </w:r>
      <w:r>
        <w:rPr>
          <w:rFonts w:hint="default" w:ascii="仿宋" w:hAnsi="仿宋" w:eastAsia="仿宋" w:cs="仿宋"/>
          <w:kern w:val="0"/>
          <w:sz w:val="32"/>
          <w:szCs w:val="32"/>
          <w:lang w:val="en-US" w:eastAsia="zh-CN"/>
        </w:rPr>
        <w:t>年初预算数为90.50万元，决算数88.16万元,完成年初预算的97.41%，决算数与年初预算数存在差异的主要原因是社保基数调整。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3053.26万元。其中：人员经费2853.25万元，主要包括：基本工资、津贴补贴、奖金、绩效工资、机关事业单位基本养老保险缴费、职业年金缴费、职工基本医疗保险缴费、公务员医疗补助缴费、其他社会保障缴费、住房公积金、其他工资福利支出、离休费、退休费、抚恤金、生活补助、奖励金、其他对个人和家庭的补助支出。公用经费200.01万元，主要包括：办公费、印刷费、咨询费、水费、电费、邮电费、物业管理费、差旅费、维修（护）费、租赁费、培训费、公务接待费、专用材料费、劳务费、委托业务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2023年度政府性基金预算财政拨款支出年初预算数为471.48万元，支出决算为720.48万元，完成年初预算的152.81%。主要用于福彩公益金专项支出年末没有结转和结余资金。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2023年度“三公”经费财政拨款支出预算为14.66万元，支出决算为11.81万元，完成预算的80.56%。2023年度“三公”经费支出决算数与预算数存在差异的主要原因是公车出行任务和本年度接待任务较少。</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10.59万元,完成预算的79.21%，占89.67%；公务接待费支出决算1.23万元，完成预算的95.35%，占10.41%。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预算为13.37万元，支出决算为10.59万元，完成预算的79.21%。决算数与预算数存在差异的主要原因是我单位本年度公车出行任务较少。其中：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10.59万元。主要用于公务用车加油、保养、保险等费用。2023年期末，部门开支财政拨款的公务用车保有量为</w:t>
      </w:r>
      <w:r>
        <w:rPr>
          <w:rFonts w:hint="eastAsia" w:ascii="仿宋" w:hAnsi="仿宋" w:eastAsia="仿宋" w:cs="仿宋"/>
          <w:kern w:val="2"/>
          <w:sz w:val="32"/>
          <w:szCs w:val="32"/>
          <w:lang w:val="en-US" w:eastAsia="zh-CN"/>
        </w:rPr>
        <w:t>11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预算为1.29万元，支出决算为1.23万元</w:t>
      </w:r>
      <w:r>
        <w:rPr>
          <w:rFonts w:hint="eastAsia" w:ascii="仿宋" w:hAnsi="仿宋" w:eastAsia="仿宋" w:cs="仿宋"/>
          <w:kern w:val="0"/>
          <w:sz w:val="32"/>
          <w:szCs w:val="32"/>
          <w:lang w:val="en-US" w:eastAsia="zh-CN"/>
        </w:rPr>
        <w:t>，完成预算的95.35%</w:t>
      </w:r>
      <w:r>
        <w:rPr>
          <w:rFonts w:hint="eastAsia" w:ascii="仿宋" w:hAnsi="仿宋" w:eastAsia="仿宋" w:cs="仿宋"/>
          <w:b w:val="0"/>
          <w:bCs w:val="0"/>
          <w:kern w:val="0"/>
          <w:sz w:val="32"/>
          <w:szCs w:val="32"/>
          <w:lang w:val="en-US" w:eastAsia="zh-CN"/>
        </w:rPr>
        <w:t>。决算数与预算数存在差异的主要原因是我单位本年度接待任务少。其中：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0.00万元。2023年共接待国（境）外来访团组个、来访外宾人次（不包括陪同人员）。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1.23</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主要用于接待人员用餐。</w:t>
      </w:r>
      <w:r>
        <w:rPr>
          <w:rFonts w:hint="eastAsia" w:ascii="仿宋" w:hAnsi="仿宋" w:eastAsia="仿宋" w:cs="仿宋"/>
          <w:kern w:val="0"/>
          <w:sz w:val="32"/>
          <w:szCs w:val="32"/>
          <w:lang w:val="en-US" w:eastAsia="zh-CN"/>
        </w:rPr>
        <w:t>2023年共接待国内来访团组9个、来宾71人次（不包括陪同人员）。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2023年度机关运行经费支出105.78万元，较2022年度增长20.52万元，增长24.07%，主要原因是根据实际业务需求增加。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412.48万元，其中：政府采购货物支出59.22万元、政府采购工程支出328.25万元、政府采购服务支出25.01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2023年期末，本部门共有车辆13辆，其中：省级领导干部用车0辆、主要领导干部用车0辆、机要通信用车1辆、应急保障车0辆、执法执勤用车0辆、特种专业技术用车1</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辆、离退休干部用车0辆、其他用车11辆；单价100万元（含）以上设备（不含车辆）1台（套）。财政拨款的公务用车保有量与国有资产车辆差异原因:我部门有差供事业单位，公务用车非财政拨款购买。</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涉及预算资金9773.81万元。自评得分为96.08分，等级为“优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已完成预期目标：保障困难群众、残疾人、高龄老人、受艾滋病影响人员基本生活水平；提高困难群众、残疾人、高龄老人、受艾滋病影响人员生活幸福感和满足感；增强社会稳定性，完成既定目标和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基于项目预期目标的实现程度，我部门对2023年度部门预算项目支出（含部门参与分配的转移支付项目）开展绩效自评，涉及项目48个，项目金额5320.17万元。其中：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1）许昌市智慧养老机构和智慧养老社区建设项目尾款，自评得分100，等级为“优”，该项目在市区范围内分别选择群众认可度强、活跃度高的10家养老机构和10个社区配置智慧养老设备，提升老年人的参与感和幸福感，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残疾人“两项补贴”市级补助资金剩余部分-重度残疾人护理补贴（上级配套支出）,自评得分97.62，等级为“优”，该项目督促各地不断完善机制，按时发放残疾人两项补贴资金，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2023年省级困难群众救助补助资金-新1，自评得分97.22，等级为“优”，该项目规范城乡低保政策实施，合理确定保障标准，使低保对象基本生活得到有效保障，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（4）下达2023年残疾人“两项补贴”补助资金，自评得分99.71，等级为“优”，该项目督促各地不断完善机制，按时发放残疾人两项补贴资金，项目资金已按照规定用途使用，已达到预期目标。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（5）高龄津贴市级配套资金（上级配套支出），自评得分97.81，等级为“优”该项目引导各区稳步提升高龄老人生活水平，项目资金已按照规定用途使用，已达到预期目标。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（6）高龄津贴市级配套资金（上级配套支出），自评得分98.46，等级为“优”该项目引导各区稳步提升高龄老人生活水平，项目资金已按照规定用途使用，已达到预期目标。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提前下达2023年中央集中彩票公益金支持社会福利事业发展专项资金（上级提前下达），自评得分94.64，等级为“优”，该项目开展“孤儿助学工程”资助考上普通全日制本科、专科学校的孤儿完成学业，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（8）下达2023年受艾滋病影响人员生活定量补助资金，自评得分97.19，等级为“优”，该项目按时足额发放受艾滋病影响人员基本生活定量补助，项目资金已按照规定用途使用，已达到预期目标。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提前下达2023年残疾人“两项补贴”市级补助资金-困难残疾人生活补贴（上级配套支出），自评得分99，等级为“优”，该项目督促各地不断完善机制，按时发放残疾人两项补贴资金，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提前下达2023年受艾滋病影响人员生活定量补助市级资金（上级配套支出），自评得分99.88，等级为“优”，该项目按时足额发放受艾滋病影响人员基本生活定量补助，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慈善总会财政补助资金（基本运转支出），自评得分99.74，等级为“优”，该项目保障总会工作人员的待遇，根据工作年限、学历、技术职称制定实施工作人员待遇增长机制，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2023年省级困难群众救助补助资金-新，自评得分100，等级为“优”，该项目提高孤儿基本生活保障水平，孤儿生活保障政策规范高效实施，使孤儿和艾滋病病毒感染儿童生活基本得到保障，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残疾人“两项补贴”市级补助资金剩余部分-困难残疾人生活补贴（上级配套支出），自评得分98.13，等级为“优”，该项目督促各地不断完善机制，按时发放残疾人两项补贴资金，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支持社会组织参与社会公益服务项目补助（结转上级资金），自评得分98.75，等级为“优”，该项目通过政府购买服务方式，支持社会组织参与农村留守儿童关爱服务，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（15）民政值班应急智慧系统（结转本级资金），自评得分100，等级为“优”，该项目民政值班应急指挥视频会议系统1套，项目资金已按照规定用途使用，已达到预期目标。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（16）春节期间慰问困难群众资金（基本运转支出），自评得分98.75，等级为“优”，该项目冬春慰问困难群众，项目资金已按照规定用途使用，已达到预期目标。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17）拨付2023年1-3月份免除的市区城乡居民基本殡葬服务费（区级专项上解资金），自评得分96.24，等级为“优”，该项目免除基本殡葬服务费，提高全市火化率，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18）追加慈善总会工作经费（结转本级资金），自评得分98.49，等级为“优”，该项目保障总会工作人员的待遇，根据工作年限、学历、技术职称制定实施工作人员待遇增长机制，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（19）下达2023年80岁以上老人高龄津贴补助资金，自评得分99.74，等级为“优”，该项目引导各区稳步提升高龄老人生活水平，项目资金已按照规定用途使用，已达到预期目标。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20）提前下达2023年残疾人“两项补贴”市级补助资金-重度残疾人护理补贴（上级配套支出），自评得分98.97，等级为“优”，该项目督促各地不断完善机制，按时发放残疾人两项补贴资金，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（21）2022年10-12月份基本殡葬免除费（区级上解），自评得分96.25，等级为“优”，该项目免除基本殡葬服务费，提高全市火化率，项目资金已按照规定用途使用，已达到预期目标。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（22）2023年市城区城市低保家庭冬季供暖补贴（市级奖补支出），自评得分98.33，等级为“优”，该项目为城区城市低保对象发放取暖补贴，项目资金已按照规定用途使用，已达到预期目标。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（23）惠民殡葬服务费（市级奖补支出），自评得分90.14，等级为“优”，该项目免除基本殡葬服务费，提高全市火化率，项目资金已按照规定用途使用，已达到预期目标。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（24）拨付2023年1-3月份免除的市区城乡居民基本殡葬服务费（上级配套支出），自评得分99，等级为“优”，该项目免除基本殡葬服务费，提高全市火化率，项目资金已按照规定用途使用，已达到预期目标。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25）2023年受艾滋病影响人员生活定量补助市级资金剩余部分（上级配套支出），自评得分98.75，等级为“优”，该项目按时足额发放受艾滋病影响人员基本生活定量补助，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26）提前下达2023年困难群众救助补助资金（上级提前下达），自评得分97.28，等级为“优”，该项目规范城乡低保政策实施，合理确定保障标准，使低保对象基本生活得到有效保障，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27）2022年中央集中彩票公益金支持社会福利事业专项资金-防疫物资采购项目（结转上级资金），自评得分96.25，等级为“优”，该项目养老服务设施改造、设备购置，配备疫情防控、消防安全物资设施设备，提升养老服务设施服务能力，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28）关于调整提前下达2023年中央集中彩票公益金支持社会福利事业专项资金-老年人福利类项目资金，自评得分98.91，等级为“优”，该项目通过政府购买服务、委托运营等方式选择专业机构运营社区养老服务设施，提供助餐、助洁、健康管理、文化娱乐等服务，推进运营服务提质，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（29）核酸检测等费用（结转本级资金），自评得分100，等级为“优”，该项目障我院核酸检测所需费用，项目资金已按照规定用途使用，已达到预期目标。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（30）2022年省级福利彩票公益金（结转上级资金），自评得分100，等级为“优”，该项目为残疾孤儿做好医疗、康复保障，项目资金已按照规定用途使用，已达到预期目标。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31）困难群众救助补助资金（豫财社2023-76号，中央资金），自评得分99.72，等级为“优”，该项目规范城乡低保政策实施，合理确定保障标准，使低保对象基本生活得到有效保障，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2023年城乡义务教育公用经费中央资金-特教（培智学校）（上级提前下达），自评得分100，等级为“优”，该项目坚持以服务教学为中心，为学校日常教学活动、日常运行等提供经费保障，保障教学活动开展有序，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33）关于提前下达2021年中央集中彩票公益金支持社会福利事业专项资金，自评得分100，等级为“优”，该项目资助考上普通全日制本科、专科学校的孤儿完成学业，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34）2023年城乡义务教育公用经费省级资金-特教（培智学校）（上级提前下达），自评得分100，等级为“优”，该项目坚持以服务教学为中心，为学校日常教学活动、日常运行等提供经费保障，保障教学活动开展有序，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（35）2022年困难群众救助补助资金（结转上级资金），自评得分100，等级为“优”，该项目为留守儿童、困境儿童、流浪乞讨儿童提供救助帮扶，项目资金已按照规定用途使用，已达到预期目标。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（36）福利院运行经费（基本运转支出），自评得分100，等级为“优”，该项目保障我院基本水费、电费、物业管理费、维修维保费等开支需求，项目资金已按照规定用途使用，已达到预期目标。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（37）2022年中央集中彩票公益金支持社会福利事业专项资金（结转上级资金），自评得分100，等级为“优”，该项目为残疾孤儿做好医疗保障，项目资金已按照规定用途使用，已达到预期目标。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（38）孤儿基本生活费市级配套资金（上级配套支出），自评得分98.64，等级为“优”，该项目保障我院孤儿基本生活水平，项目资金已按照规定用途使用，已达到预期目标。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（39）孤儿基本生活保障金（结转本级资金），自评得分100，等级为“优”，该项目保障我院孤儿基本生活水平，项目资金已按照规定用途使用，已达到预期目标。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40）提前下达2023年中央集中彩票公益金支持社会福利事业发展专项资金（上级提前下达）-，自评得分100，等级为“优”，该项目资助考上普通全日制本科、专科学校孤儿完成学业，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（41）2023年特殊教育补助资金-培智学校（上级提前下达），自评得分76.84，等级为“优”，该项目进行无障碍设施改造，改善培智学校学生就学环境，项目资金已按照规定用途使用，已达到预期目标。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（42）基本殡葬免除服务费（结转本级资金），自评得分99，等级为“优”，该项目免除基本殡葬服务费，提高全市火化率，项目资金已按照规定用途使用，已达到预期目标。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43）殡葬事业发展奖补资金（上级提前下达），自评得分100，等级为“优”，该项目支持殡葬服务机构紧急维修和采购火化炉、冷藏设备、消毒设备等，提升殡葬服务保障能力，有效应对新形势带来的新变化，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（44）市本级公益性公墓运转经费（单位资金支出），自评得分95.83，等级为“优”，该项目保障公益性公墓园区正常运转，项目资金已按照规定用途使用，已达到预期目标。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（45）惠民殡葬服务费（市级奖补支出），自评得分99，等级为“优”，该项目免除基本殡葬服务费，提高全市火化率，项目资金已按照规定用途使用，已达到预期目标。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46）提前下达2023年中央集中彩票公益金支持社会福利事业发展专项资金（上级提前下达），自评得分90.68，等级为“优”，该项目通过对精神障碍患者学习（训练）措施和环境支持，以尽可能使其社会性及职业性角色功能恢复到最大限度，克服疾病所导致的各种功能缺陷，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47）提前下达2022年中央集中福利彩票公益金（结转上级资金），自评得分98.04，等级为“优”，该项目社会兜底服务对象中的精神障碍等患者开展救治、救助、康复、护理和照料等服务，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（48）提前下达2023年困难群众救助补助资金，自评得分97.05，等级为“优”，该项目开展站内救助管理工作，包括生活救助，护送返乡等工作，项目资金已按照规定用途使用，已达到预期目标。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从项目绩效自评情况来看，项目资金自评情况为优秀，预期绩效目标已按照要求和规定完成，下一步我单位将继续保持对项目资金的合理安排，进一步完善项目绩效成果。</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
        <w:gridCol w:w="839"/>
        <w:gridCol w:w="226"/>
        <w:gridCol w:w="226"/>
        <w:gridCol w:w="1271"/>
        <w:gridCol w:w="865"/>
        <w:gridCol w:w="922"/>
        <w:gridCol w:w="545"/>
        <w:gridCol w:w="680"/>
        <w:gridCol w:w="855"/>
        <w:gridCol w:w="1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8551.13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9773.81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6832.05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4904.18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7239.46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76.84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3646.95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2534.35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1269.05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目标1：完善社会救助，进一步提高社会救助水平以及效率，统筹社会城乡居民最低生活保障、提高农村低保水平和标准，持续开展党风廉政建设。</w:t>
            </w:r>
            <w:r>
              <w:br w:type="textWrapping"/>
            </w:r>
            <w:r>
              <w:rPr>
                <w:rFonts w:ascii="宋体" w:hAnsi="宋体" w:eastAsia="宋体" w:cs="宋体"/>
                <w:i w:val="0"/>
                <w:iCs w:val="0"/>
                <w:color w:val="000000"/>
                <w:kern w:val="0"/>
                <w:sz w:val="18"/>
                <w:szCs w:val="18"/>
                <w:u w:val="none"/>
                <w:lang w:val="en-US" w:eastAsia="zh-CN"/>
              </w:rPr>
              <w:t>目标2：加强社会福利和促进慈善业发展，高龄人员和孤儿生活、医疗健康、入学等补贴按相应标准落实，统筹推进残疾人福利制度建设和康复辅助器具产业发展，严格落实安全生产工作责任及疫情防控相关制度和措施。</w:t>
            </w:r>
            <w:r>
              <w:br w:type="textWrapping"/>
            </w:r>
            <w:r>
              <w:rPr>
                <w:rFonts w:ascii="宋体" w:hAnsi="宋体" w:eastAsia="宋体" w:cs="宋体"/>
                <w:i w:val="0"/>
                <w:iCs w:val="0"/>
                <w:color w:val="000000"/>
                <w:kern w:val="0"/>
                <w:sz w:val="18"/>
                <w:szCs w:val="18"/>
                <w:u w:val="none"/>
                <w:lang w:val="en-US" w:eastAsia="zh-CN"/>
              </w:rPr>
              <w:t>目标3：推进社会事务专项管理。深化社会组织管理制度改革，推进殡葬改革及相关宣传活动；加强区域地名和界线管理；加强流浪乞讨人员救助管理；进一步规范婚姻、收养登记工作。</w:t>
            </w:r>
            <w:r>
              <w:br w:type="textWrapping"/>
            </w:r>
            <w:r>
              <w:rPr>
                <w:rFonts w:ascii="宋体" w:hAnsi="宋体" w:eastAsia="宋体" w:cs="宋体"/>
                <w:i w:val="0"/>
                <w:iCs w:val="0"/>
                <w:color w:val="000000"/>
                <w:kern w:val="0"/>
                <w:sz w:val="18"/>
                <w:szCs w:val="18"/>
                <w:u w:val="none"/>
                <w:lang w:val="en-US" w:eastAsia="zh-CN"/>
              </w:rPr>
              <w:t>目标4：监督管理养老服务工作，拟订全市养老服务体系建设规划、标准并组织实施，承担老年人福利和特殊困难老年人救助工作。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相关规定完善社会救助，进一步提高社会救助水平以及效率，统筹社会城乡居民最低生活保障、提高农村低保水平和标准，持续开展党风廉政建设；加强社会福利和促进慈善业发展，高龄人员和孤儿生活、医疗健康、入学等补贴按相应标准落实，统筹推进残疾人福利制度建设和康复辅助器具产业发展，严格落实安全生产工作责任及疫情防控相关制度和措施；推进社会事务专项管理。深化社会组织管理制度改革，推进殡葬改革及相关宣传活动；加强区域地名和界线管理；加强流浪乞讨人员救助管理；进一步规范婚姻、收养登记工作；监督管理养老服务工作，拟订全市养老服务体系建设规划、标准并组织实施，承担老年人福利和特殊困难老年人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养老服务工作全面推进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加强养老服务体系建设，深化敬老院公建民营，抓好机构疫情防控和安全生产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养老服务体系建设已逐步完善，深化敬老院公建民营，机构疫情防控和安全生产进一步保障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儿童福利保障措施稳步实施</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落实孤儿基本生活保障制度，强化未成年人保护工作组织领导和政策宣传</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孤儿基本生活保障制度不断完善，未成年人保护工作组织领导和政策宣传有所提升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殡葬改革工作实现新突破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稳定提高火化率，加快推进公益性公墓建设</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火花率稳步提升，公益性公墓已完成建设并投入使用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基层社会治理水平进一步提升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加强养老服务体系建设，持续开展社区规范化建设工作，加强社区治理创新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加强养老服务体系建设，持续开展社区规范化建设工作，社区治理创新进一步加强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完善养老服务综合监管制度和养老服务设施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不断完善养老服务综合监管制度和养老服务设施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完善地名信息数据库、不规范地名清理整治和平安边界建设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不断完善地名信息数据库、不规范地名清理整治和平安边界建设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相关建设项目加快进度和投入使用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相关建设项目进一步加快进度和投入使用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推进殡葬、婚俗改革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殡葬、婚俗改革进一步提高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提高事实无人养儿童、未成年人、农村留守儿童和困境儿童的关心和爱护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事实无人养儿童、未成年人、农村留守儿童和困境儿童的关心和爱护进一步提升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提高对残疾、老龄、孤儿、流浪乞讨人员、低收入家庭等弱势群体的关心和救助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对残疾、老龄、孤儿、流浪乞讨人员、低收入家庭等弱势群体的关心和救助进一步提升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完善婚姻登记、殡葬、行政区域界位等工作的指导和综合管理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婚姻登记、殡葬、行政区域界位等工作的指导和综合管理进一步完善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民政工作运转效率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民政工作运转效率进一步提升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提高民政救助对象经济收入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民政救助对象经济收入不断提升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底层弱势群体生活有所进步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底层弱势群体生活不断进步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增加社会稳定性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社会稳定性不断加强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群众满意度逐步提高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上级部门满意度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上级部门满意度不断提高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1440" w:right="1800" w:bottom="1440" w:left="1800" w:header="851" w:footer="992" w:gutter="0"/>
          <w:cols w:space="425" w:num="1"/>
          <w:docGrid w:type="lines" w:linePitch="312" w:charSpace="0"/>
        </w:sectPr>
      </w:pPr>
    </w:p>
    <w:tbl>
      <w:tblPr>
        <w:tblStyle w:val="11"/>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442"/>
        <w:gridCol w:w="621"/>
        <w:gridCol w:w="404"/>
        <w:gridCol w:w="634"/>
        <w:gridCol w:w="1314"/>
        <w:gridCol w:w="465"/>
        <w:gridCol w:w="557"/>
        <w:gridCol w:w="616"/>
        <w:gridCol w:w="711"/>
        <w:gridCol w:w="486"/>
        <w:gridCol w:w="793"/>
        <w:gridCol w:w="516"/>
        <w:gridCol w:w="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许昌市智慧养老机构和智慧养老社区建设项目尾款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8.27</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目标：《许昌市智慧养老机构和智慧养老社区建设》，在市区范围内分别选择群众认可度强、活跃度高的10家养老机构和10个社区配置智慧养老设备，提升老年人的参与感和幸福感</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已按照要求和进度在市区范围内分别选择群众认可度强、活跃度高的10家养老机构和10个社区配置智慧养老设备，提升老年人的参与感和幸福感。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项目（合同）总金额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165.389万元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165.39万元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待支付尾款（质保金）比例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待支付尾款（质保金）金额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8.26945万元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质保设备（设施）数量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570台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570台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质保期内设备（设施）故障发生率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故障响应时间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≤1小时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故障修复平均时效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≤12小时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质保期限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365天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质保金支付时间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设备正常运行率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涉及群众满意度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残疾人“两项补贴”市级补助资金剩余部分-重度残疾人护理补贴（上级配套支出）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44.37</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目标1：.督促各地不断完善机制，按时发放残疾人两项补贴资金；</w:t>
            </w:r>
            <w:r>
              <w:br w:type="textWrapping"/>
            </w:r>
            <w:r>
              <w:rPr>
                <w:rFonts w:ascii="宋体" w:hAnsi="宋体" w:eastAsia="宋体" w:cs="宋体"/>
                <w:i w:val="0"/>
                <w:iCs w:val="0"/>
                <w:color w:val="000000"/>
                <w:kern w:val="0"/>
                <w:sz w:val="18"/>
                <w:szCs w:val="18"/>
                <w:u w:val="none"/>
                <w:lang w:val="en-US" w:eastAsia="zh-CN"/>
              </w:rPr>
              <w:t xml:space="preserve"> 目标2：指导各地严格按照残疾人两项补贴程序和要求，依法审定补贴对象；</w:t>
            </w:r>
            <w:r>
              <w:br w:type="textWrapping"/>
            </w:r>
            <w:r>
              <w:rPr>
                <w:rFonts w:ascii="宋体" w:hAnsi="宋体" w:eastAsia="宋体" w:cs="宋体"/>
                <w:i w:val="0"/>
                <w:iCs w:val="0"/>
                <w:color w:val="000000"/>
                <w:kern w:val="0"/>
                <w:sz w:val="18"/>
                <w:szCs w:val="18"/>
                <w:u w:val="none"/>
                <w:lang w:val="en-US" w:eastAsia="zh-CN"/>
              </w:rPr>
              <w:t xml:space="preserve"> 目标3：指导各地加大对政策的宣传，提高政策的知晓率。</w:t>
            </w:r>
            <w:r>
              <w:br w:type="textWrapping"/>
            </w:r>
            <w:r>
              <w:rPr>
                <w:rFonts w:ascii="宋体" w:hAnsi="宋体" w:eastAsia="宋体" w:cs="宋体"/>
                <w:i w:val="0"/>
                <w:iCs w:val="0"/>
                <w:color w:val="000000"/>
                <w:kern w:val="0"/>
                <w:sz w:val="18"/>
                <w:szCs w:val="18"/>
                <w:u w:val="none"/>
                <w:lang w:val="en-US" w:eastAsia="zh-CN"/>
              </w:rPr>
              <w:t xml:space="preserve"> ……</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已完成督促各地不断完善机制，按时发放残疾人两项补贴资金；指导各地严格按照残疾人两项补贴程序和要求，依法审定补贴对象；指导各地加大对政策的宣传，提高政策的知晓率。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44.37万元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指标1：符合条件的受助残疾人数量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5720人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符合条件守住残疾人数量对应资金支付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指标1：残疾人“两项补贴”对象认定准确率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指标2：残疾人“两项补贴”发放率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指标3：残疾人“两项补贴”发放标准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75元/月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指标2：向各区财政部门下达两项补贴资金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指标1：领取残疾人两项补贴对象生活水平和照护服务水平提升情况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指标1：残疾人两项补贴对象满意度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残疾两项体贴对象满意度不断提升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2023年省级困难群众救助补助资金-新1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1.规范城乡低保政策实施，合理确定保障标准，使低保对象基本生活得到有效保障。                                        </w:t>
            </w:r>
            <w:r>
              <w:br w:type="textWrapping"/>
            </w:r>
            <w:r>
              <w:rPr>
                <w:rFonts w:ascii="宋体" w:hAnsi="宋体" w:eastAsia="宋体" w:cs="宋体"/>
                <w:i w:val="0"/>
                <w:iCs w:val="0"/>
                <w:color w:val="000000"/>
                <w:kern w:val="0"/>
                <w:sz w:val="18"/>
                <w:szCs w:val="18"/>
                <w:u w:val="none"/>
                <w:lang w:val="en-US" w:eastAsia="zh-CN"/>
              </w:rPr>
              <w:t>2.统筹城乡特困人员救助供养工作，合理确定保障标准。</w:t>
            </w:r>
            <w:r>
              <w:br w:type="textWrapping"/>
            </w:r>
            <w:r>
              <w:rPr>
                <w:rFonts w:ascii="宋体" w:hAnsi="宋体" w:eastAsia="宋体" w:cs="宋体"/>
                <w:i w:val="0"/>
                <w:iCs w:val="0"/>
                <w:color w:val="000000"/>
                <w:kern w:val="0"/>
                <w:sz w:val="18"/>
                <w:szCs w:val="18"/>
                <w:u w:val="none"/>
                <w:lang w:val="en-US" w:eastAsia="zh-CN"/>
              </w:rPr>
              <w:t>3.规范实施临时救助政策，实现及时高效，救急解难。</w:t>
            </w:r>
            <w:r>
              <w:br w:type="textWrapping"/>
            </w:r>
            <w:r>
              <w:rPr>
                <w:rFonts w:ascii="宋体" w:hAnsi="宋体" w:eastAsia="宋体" w:cs="宋体"/>
                <w:i w:val="0"/>
                <w:iCs w:val="0"/>
                <w:color w:val="000000"/>
                <w:kern w:val="0"/>
                <w:sz w:val="18"/>
                <w:szCs w:val="18"/>
                <w:u w:val="none"/>
                <w:lang w:val="en-US" w:eastAsia="zh-CN"/>
              </w:rPr>
              <w:t>4.对流浪未成年人提供特殊优先保护及教育矫治等专业服务，确保其健康成长。</w:t>
            </w:r>
            <w:r>
              <w:br w:type="textWrapping"/>
            </w:r>
            <w:r>
              <w:rPr>
                <w:rFonts w:ascii="宋体" w:hAnsi="宋体" w:eastAsia="宋体" w:cs="宋体"/>
                <w:i w:val="0"/>
                <w:iCs w:val="0"/>
                <w:color w:val="000000"/>
                <w:kern w:val="0"/>
                <w:sz w:val="18"/>
                <w:szCs w:val="18"/>
                <w:u w:val="none"/>
                <w:lang w:val="en-US" w:eastAsia="zh-CN"/>
              </w:rPr>
              <w:t>5.对存在流浪风险的未成年人开展摸底排查、家庭监护评估、监护监督等工作，为其提供临时照料、医疗救治、心理疏导、行为矫治、社会融入、家庭关系协调、法律援助等专业服务，从源头上预防未成年人外出流浪。</w:t>
            </w:r>
            <w:r>
              <w:br w:type="textWrapping"/>
            </w:r>
            <w:r>
              <w:rPr>
                <w:rFonts w:ascii="宋体" w:hAnsi="宋体" w:eastAsia="宋体" w:cs="宋体"/>
                <w:i w:val="0"/>
                <w:iCs w:val="0"/>
                <w:color w:val="000000"/>
                <w:kern w:val="0"/>
                <w:sz w:val="18"/>
                <w:szCs w:val="18"/>
                <w:u w:val="none"/>
                <w:lang w:val="en-US" w:eastAsia="zh-CN"/>
              </w:rPr>
              <w:t>6.引导市县提高孤儿基本生活保障水平，孤儿生活保障政策规范高效实施，使孤儿和艾滋病病毒感染儿童生活基本得到保障。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规范城乡低保政策实施，合理确定保障标准，使低保对象基本生活得到有效保障；统筹城乡特困人员救助供养工作，合理确定保障标准；规范实施临时救助政策，实现及时高效，救急解难；对流浪未成年人提供特殊优先保护及教育矫治等专业服务，确保其健康成长；对存在流浪风险的未成年人开展摸底排查、家庭监护评估、监护监督等工作，为其提供临时照料、医疗救治、心理疏导、行为矫治、社会融入、家庭关系协调、法律援助等专业服务，从源头上预防未成年人外出流浪；引导市县提高孤儿基本生活保障水平，孤儿生活保障政策规范高效实施，使孤儿和艾滋病病毒感染儿童生活基本得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院内孤儿数量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困难群众基本生活救助和孤儿基本生活费按时发放率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孤儿基本生活保障水平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有所保障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孤儿基本生活保障保障水平不断提升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救助孤儿对社会救助实施的满意度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救助孤儿对社会救助实施的满意度不断提升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下达2023年残疾人“两项补贴”补助资金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目标1：督促各地不断完善机制，按时发放残疾人两项补贴资金；</w:t>
            </w:r>
            <w:r>
              <w:br w:type="textWrapping"/>
            </w:r>
            <w:r>
              <w:rPr>
                <w:rFonts w:ascii="宋体" w:hAnsi="宋体" w:eastAsia="宋体" w:cs="宋体"/>
                <w:i w:val="0"/>
                <w:iCs w:val="0"/>
                <w:color w:val="000000"/>
                <w:kern w:val="0"/>
                <w:sz w:val="18"/>
                <w:szCs w:val="18"/>
                <w:u w:val="none"/>
                <w:lang w:val="en-US" w:eastAsia="zh-CN"/>
              </w:rPr>
              <w:t xml:space="preserve"> 目标2：指导各地严格按照残疾人两项补贴程序和要求，依法审定补贴对象；</w:t>
            </w:r>
            <w:r>
              <w:br w:type="textWrapping"/>
            </w:r>
            <w:r>
              <w:rPr>
                <w:rFonts w:ascii="宋体" w:hAnsi="宋体" w:eastAsia="宋体" w:cs="宋体"/>
                <w:i w:val="0"/>
                <w:iCs w:val="0"/>
                <w:color w:val="000000"/>
                <w:kern w:val="0"/>
                <w:sz w:val="18"/>
                <w:szCs w:val="18"/>
                <w:u w:val="none"/>
                <w:lang w:val="en-US" w:eastAsia="zh-CN"/>
              </w:rPr>
              <w:t xml:space="preserve"> 目标3：指导各地加大对政策的宣传，提高政策的知晓率。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已按要求督促各地不断完善机制，按时发放残疾人两项补贴资金；指导各地严格按照残疾人两项补贴程序和要求，依法审定补贴对象；指导各地加大对政策的宣传，提高政策的知晓率。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残疾人“两项补贴”发放标准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≥60元/人/月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60元/人/月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≥1.2万人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残疾人“两项补贴”对象认定准确率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向各区财政部门下达两项补贴资金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保障残疾人基本生活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保持稳定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残疾人两项补贴对象满意度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残疾人亮相补贴对象满意度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高龄津贴市级配套资金（上级配套支出）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引导各区稳步提升高龄老人生活水平。</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已完成引导各区稳步提升高龄老人生活水平。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指标1：年度累计发放高龄津贴的80岁以上老年人口数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≥2.85万人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2.85万人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指标1：80-89岁老年人每月发放标准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指标2：90-99岁老年人每月发放标准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指标4：高龄津贴资金社会化发放率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指标3：100岁老年人每月发放标准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指标5：高龄津贴资金政策的合规性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指标1：补助资金及时发放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指标1：高龄老人生活水平提升情况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高龄老人生活水平不断提升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指标1：80岁以上老年人满意度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80岁以上老年人满意度不断提升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提前下达2023年高龄津贴市级资金（上级配套支出）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引导各区稳步提升高龄老人生活水平。</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按要求完成引导各区稳步提升高龄老人生活水平。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指标1：年度累计发放高龄津贴的80岁以上老年人口数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≥2.85万人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2.85万人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指标1：80-89岁老年人每月发放标准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指标2：90-99岁老年人每月发放标准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指标3：100岁老年人每月发放标准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指标4：高龄津贴资金社会化发放率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指标5：高龄津贴资金政策的合规性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指标1：补助资金及时发放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指标1：高龄老人生活水平提升情况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高龄老人生活水平不断提升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指标1：80岁以上老年人满意度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老年人满意度不断提升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提前下达2023年中央集中彩票公益金支持社会福利事业发展专项资金（上级提前下达）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131</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目标1：开展“孤儿助学工程”资助考上普通全日制本科、专科学校的孤儿完成学业。</w:t>
            </w:r>
            <w:r>
              <w:br w:type="textWrapping"/>
            </w:r>
            <w:r>
              <w:rPr>
                <w:rFonts w:ascii="宋体" w:hAnsi="宋体" w:eastAsia="宋体" w:cs="宋体"/>
                <w:i w:val="0"/>
                <w:iCs w:val="0"/>
                <w:color w:val="000000"/>
                <w:kern w:val="0"/>
                <w:sz w:val="18"/>
                <w:szCs w:val="18"/>
                <w:u w:val="none"/>
                <w:lang w:val="en-US" w:eastAsia="zh-CN"/>
              </w:rPr>
              <w:t>目标2; 开展“明天计划”资助0-18周岁孤儿医疗康复费用的自付部分，不断提高其医疗保障水平。</w:t>
            </w:r>
            <w:r>
              <w:br w:type="textWrapping"/>
            </w:r>
            <w:r>
              <w:rPr>
                <w:rFonts w:ascii="宋体" w:hAnsi="宋体" w:eastAsia="宋体" w:cs="宋体"/>
                <w:i w:val="0"/>
                <w:iCs w:val="0"/>
                <w:color w:val="000000"/>
                <w:kern w:val="0"/>
                <w:sz w:val="18"/>
                <w:szCs w:val="18"/>
                <w:u w:val="none"/>
                <w:lang w:val="en-US" w:eastAsia="zh-CN"/>
              </w:rPr>
              <w:t>目标3：精神卫生康复中心大楼配置设施设备，能够为全市范围内的精神障碍患者提供多种类型的康复诊疗服务。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已按要求开展“孤儿助学工程”资助考上普通全日制本科、专科学校的孤儿完成学业；精神卫生康复中心大楼配置设施设备，能够为全市范围内的精神障碍患者提供多种类型的康复诊疗服务。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自主孤儿医疗康复例数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精神卫生康复中心设备采购数量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明天计划补助准确率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孤儿助学工程发放率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资金及时拨付率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充分发挥精神障碍人员就注重的民政兜底作用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效果显著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精神障碍患者的精神状况不断提升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孤儿助学服务对象满意度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孤儿助学服务对象满意度不断提升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受助精神障碍患者满意度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受助精神障碍患者满意度不断提高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下达2023年受艾滋病影响人员生活定量补助资金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目标1：按时足额发放受艾滋病影响人员基本生活定量补助</w:t>
            </w:r>
            <w:r>
              <w:br w:type="textWrapping"/>
            </w:r>
            <w:r>
              <w:rPr>
                <w:rFonts w:ascii="宋体" w:hAnsi="宋体" w:eastAsia="宋体" w:cs="宋体"/>
                <w:i w:val="0"/>
                <w:iCs w:val="0"/>
                <w:color w:val="000000"/>
                <w:kern w:val="0"/>
                <w:sz w:val="18"/>
                <w:szCs w:val="18"/>
                <w:u w:val="none"/>
                <w:lang w:val="en-US" w:eastAsia="zh-CN"/>
              </w:rPr>
              <w:t xml:space="preserve"> 目标2：保障特殊困难群体的基本生活</w:t>
            </w:r>
            <w:r>
              <w:br w:type="textWrapping"/>
            </w:r>
            <w:r>
              <w:rPr>
                <w:rFonts w:ascii="宋体" w:hAnsi="宋体" w:eastAsia="宋体" w:cs="宋体"/>
                <w:i w:val="0"/>
                <w:iCs w:val="0"/>
                <w:color w:val="000000"/>
                <w:kern w:val="0"/>
                <w:sz w:val="18"/>
                <w:szCs w:val="18"/>
                <w:u w:val="none"/>
                <w:lang w:val="en-US" w:eastAsia="zh-CN"/>
              </w:rPr>
              <w:t xml:space="preserve"> 目标3：提高困难群众的获得感</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已完成按时足额发放受艾滋病影响人员基本生活定量补助；保障特殊困难群体的基本生活；提高困难群众的获得感。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受艾滋病影响人员申请补贴纳入保障人数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200元/人/月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200元/人/月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受艾滋病影响人员基本生活定量补助对象认定准确率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受艾滋病影响人员基本生活定量补助资金社会化发放率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受艾滋病影响人员生活水平情况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有所提升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受艾滋病影响人员生活水平情况不断提升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提前下达2023年残疾人“两项补贴”市级补助资金-困难残疾人生活补贴（上级配套支出）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目标1：督促各地不断完善机制，按时发放残疾人两项补贴资金；</w:t>
            </w:r>
            <w:r>
              <w:br w:type="textWrapping"/>
            </w:r>
            <w:r>
              <w:rPr>
                <w:rFonts w:ascii="宋体" w:hAnsi="宋体" w:eastAsia="宋体" w:cs="宋体"/>
                <w:i w:val="0"/>
                <w:iCs w:val="0"/>
                <w:color w:val="000000"/>
                <w:kern w:val="0"/>
                <w:sz w:val="18"/>
                <w:szCs w:val="18"/>
                <w:u w:val="none"/>
                <w:lang w:val="en-US" w:eastAsia="zh-CN"/>
              </w:rPr>
              <w:t xml:space="preserve"> 目标2：指导各地严格按照残疾人两项补贴程序和要求，依法审定补贴对象；</w:t>
            </w:r>
            <w:r>
              <w:br w:type="textWrapping"/>
            </w:r>
            <w:r>
              <w:rPr>
                <w:rFonts w:ascii="宋体" w:hAnsi="宋体" w:eastAsia="宋体" w:cs="宋体"/>
                <w:i w:val="0"/>
                <w:iCs w:val="0"/>
                <w:color w:val="000000"/>
                <w:kern w:val="0"/>
                <w:sz w:val="18"/>
                <w:szCs w:val="18"/>
                <w:u w:val="none"/>
                <w:lang w:val="en-US" w:eastAsia="zh-CN"/>
              </w:rPr>
              <w:t xml:space="preserve"> 目标3：指导各地加大对政策的宣传，提高政策的知晓率。</w:t>
            </w:r>
            <w:r>
              <w:br w:type="textWrapping"/>
            </w:r>
            <w:r>
              <w:rPr>
                <w:rFonts w:ascii="宋体" w:hAnsi="宋体" w:eastAsia="宋体" w:cs="宋体"/>
                <w:i w:val="0"/>
                <w:iCs w:val="0"/>
                <w:color w:val="000000"/>
                <w:kern w:val="0"/>
                <w:sz w:val="18"/>
                <w:szCs w:val="18"/>
                <w:u w:val="none"/>
                <w:lang w:val="en-US" w:eastAsia="zh-CN"/>
              </w:rPr>
              <w:t xml:space="preserve"> ……</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已督促各地不断完善机制，按时发放残疾人两项补贴资金；指导各地严格按照残疾人两项补贴程序和要求，依法审定补贴对象；指导各地加大对政策的宣传，提高政策的知晓率。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指标1：符合条件的残疾人申请纳入保障范围率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指标1：残疾人“两项补贴”对象认定准确率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指标2：残疾人“两项补贴”发放率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不低于上年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指标3：残疾人“两项补贴”发放标准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不低于上年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指标2：向各区财政部门下达两项补贴资金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指标1：领取残疾人两项补贴对象生活水平和照护服务水平提升情况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指标1：残疾人两项补贴对象满意度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残疾人两项补贴对象满意度不断提升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提前下达2023年受艾滋病影响人员生活定量补助市级资金（上级配套支出）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目标1：按时足额发放受艾滋病影响人员基本生活定量补助</w:t>
            </w:r>
            <w:r>
              <w:br w:type="textWrapping"/>
            </w:r>
            <w:r>
              <w:rPr>
                <w:rFonts w:ascii="宋体" w:hAnsi="宋体" w:eastAsia="宋体" w:cs="宋体"/>
                <w:i w:val="0"/>
                <w:iCs w:val="0"/>
                <w:color w:val="000000"/>
                <w:kern w:val="0"/>
                <w:sz w:val="18"/>
                <w:szCs w:val="18"/>
                <w:u w:val="none"/>
                <w:lang w:val="en-US" w:eastAsia="zh-CN"/>
              </w:rPr>
              <w:t xml:space="preserve"> 目标2：保障特殊困难群体的基本生活</w:t>
            </w:r>
            <w:r>
              <w:br w:type="textWrapping"/>
            </w:r>
            <w:r>
              <w:rPr>
                <w:rFonts w:ascii="宋体" w:hAnsi="宋体" w:eastAsia="宋体" w:cs="宋体"/>
                <w:i w:val="0"/>
                <w:iCs w:val="0"/>
                <w:color w:val="000000"/>
                <w:kern w:val="0"/>
                <w:sz w:val="18"/>
                <w:szCs w:val="18"/>
                <w:u w:val="none"/>
                <w:lang w:val="en-US" w:eastAsia="zh-CN"/>
              </w:rPr>
              <w:t xml:space="preserve"> 目标3：提高困难群众的获得感</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已按要求按时足额发放受艾滋病影响人员基本生活定量补助；保障特殊困难群体的基本生活；提高困难群众的获得感。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符合条件的受艾滋病影响人员申请补贴纳入保障范围率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200元/月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200元/月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受艾滋病影响人员基本生活定量补助对象认定准确率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受艾滋病影响人员基本生活定量补助资金社会化发放率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受艾滋病影响人员生活水平情况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有所提升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受艾滋病影响人员基本生活定量补助的满意度不断提升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慈善总会财政补助资金（基本运转支出）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目标1：保障总会工作人员的待遇，根据工作年限、学历、技术职称制定实施工作人员待遇增长机制；</w:t>
            </w:r>
            <w:r>
              <w:br w:type="textWrapping"/>
            </w:r>
            <w:r>
              <w:rPr>
                <w:rFonts w:ascii="宋体" w:hAnsi="宋体" w:eastAsia="宋体" w:cs="宋体"/>
                <w:i w:val="0"/>
                <w:iCs w:val="0"/>
                <w:color w:val="000000"/>
                <w:kern w:val="0"/>
                <w:sz w:val="18"/>
                <w:szCs w:val="18"/>
                <w:u w:val="none"/>
                <w:lang w:val="en-US" w:eastAsia="zh-CN"/>
              </w:rPr>
              <w:t xml:space="preserve"> 目标2：为总会工作人员缴纳保险、住房公积金；</w:t>
            </w:r>
            <w:r>
              <w:br w:type="textWrapping"/>
            </w:r>
            <w:r>
              <w:rPr>
                <w:rFonts w:ascii="宋体" w:hAnsi="宋体" w:eastAsia="宋体" w:cs="宋体"/>
                <w:i w:val="0"/>
                <w:iCs w:val="0"/>
                <w:color w:val="000000"/>
                <w:kern w:val="0"/>
                <w:sz w:val="18"/>
                <w:szCs w:val="18"/>
                <w:u w:val="none"/>
                <w:lang w:val="en-US" w:eastAsia="zh-CN"/>
              </w:rPr>
              <w:t xml:space="preserve"> 目标3：维护总会日常办公运行。</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已完成保障总会工作人员的待遇，根据工作年限、学历、技术职称制定实施工作人员待遇增长机制；为总会工作人员缴纳保险、住房公积金；维护总会日常办公运行。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指标1：慈善总会工资发放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指标2：社会保险缴纳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指标3：日常办公运行维护费（办公费，水电费等）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指标2：日常办公运行维护费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指标1：慈善总会发放工资人数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指标1：补助发放准确率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指标2：维护总会日常办公运行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指标1：补助发放及时情况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及时发放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指标2：2022年全年维护日常办公运行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指标1：工作人员生活水平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2023年省级困难群众救助补助资金-新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br w:type="textWrapping"/>
            </w:r>
            <w:r>
              <w:rPr>
                <w:rFonts w:ascii="宋体" w:hAnsi="宋体" w:eastAsia="宋体" w:cs="宋体"/>
                <w:i w:val="0"/>
                <w:iCs w:val="0"/>
                <w:color w:val="000000"/>
                <w:kern w:val="0"/>
                <w:sz w:val="18"/>
                <w:szCs w:val="18"/>
                <w:u w:val="none"/>
                <w:lang w:val="en-US" w:eastAsia="zh-CN"/>
              </w:rPr>
              <w:t>1.提高孤儿基本生活保障水平，孤儿生活保障政策规范高效实施，使孤儿和艾滋病病毒感染儿童生活基本得到保障。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完成提高孤儿基本生活保障水平，孤儿生活保障政策规范高效实施，使孤儿和艾滋病病毒感染儿童生活基本得到保障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院内孤儿数量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孤儿基本生活水平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不低于上年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孤儿生活水平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院内孤儿满意度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残疾人“两项补贴”市级补助资金剩余部分-困难残疾人生活补贴（上级配套支出）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29.72</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目标1：督促各地不断完善机制，按时发放残疾人两项补贴资金；</w:t>
            </w:r>
            <w:r>
              <w:br w:type="textWrapping"/>
            </w:r>
            <w:r>
              <w:rPr>
                <w:rFonts w:ascii="宋体" w:hAnsi="宋体" w:eastAsia="宋体" w:cs="宋体"/>
                <w:i w:val="0"/>
                <w:iCs w:val="0"/>
                <w:color w:val="000000"/>
                <w:kern w:val="0"/>
                <w:sz w:val="18"/>
                <w:szCs w:val="18"/>
                <w:u w:val="none"/>
                <w:lang w:val="en-US" w:eastAsia="zh-CN"/>
              </w:rPr>
              <w:t xml:space="preserve"> 目标2：指导各地严格按照残疾人两项补贴程序和要求，依法审定补贴对象；</w:t>
            </w:r>
            <w:r>
              <w:br w:type="textWrapping"/>
            </w:r>
            <w:r>
              <w:rPr>
                <w:rFonts w:ascii="宋体" w:hAnsi="宋体" w:eastAsia="宋体" w:cs="宋体"/>
                <w:i w:val="0"/>
                <w:iCs w:val="0"/>
                <w:color w:val="000000"/>
                <w:kern w:val="0"/>
                <w:sz w:val="18"/>
                <w:szCs w:val="18"/>
                <w:u w:val="none"/>
                <w:lang w:val="en-US" w:eastAsia="zh-CN"/>
              </w:rPr>
              <w:t xml:space="preserve"> 目标3：指导各地加大对政策的宣传，提高政策的知晓率。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按要求督促各地不断完善机制，按时发放残疾人两项补贴资金；指导各地严格按照残疾人两项补贴程序和要求，依法审定补贴对象；指导各地加大对政策的宣传，提高政策的知晓率。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指标1：符合条件的残疾人受助残疾人数量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指标1：残疾人“两项补贴”对象认定准确率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指标2：残疾人“两项补贴”发放率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指标3：残疾人“两项补贴”发放标准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75元/月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指标2：向各区财政部门下达两项补贴资金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指标1：领取残疾人两项补贴对象生活水平和照护服务水平提升情况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指标1：残疾人两项补贴对象满意度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残疾人两项补贴对象满意度不断提升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支持社会组织参与社会公益服务项目补助（结转上级资金）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1.97</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通过政府购买服务方式，支持社会组织参与农村留守儿童关爱服务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已按照要求通过政府购买服务方式，支持社会组织参与农村留守儿童关爱服务，提升儿童幸福感。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受关爱农村留守儿童数量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247个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247个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针对农村留守儿童年龄和性别特点，分时段开展形式多样符合儿童身心特点的活动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对需要上门探访的儿童进行上门探访，进行面对面咨询辅导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对所有服务对象进行基本状况评估，并建立基本情况档案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许昌地区农村留守儿童身心健康发展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有所提升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不断提高许昌农村留守儿童身心健康发展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受关爱农村留守儿童满意度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民政值班应急智慧系统（结转本级资金）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目标1：民政值班应急指挥视频会议系统1套</w:t>
            </w:r>
            <w:r>
              <w:br w:type="textWrapping"/>
            </w:r>
            <w:r>
              <w:rPr>
                <w:rFonts w:ascii="宋体" w:hAnsi="宋体" w:eastAsia="宋体" w:cs="宋体"/>
                <w:i w:val="0"/>
                <w:iCs w:val="0"/>
                <w:color w:val="000000"/>
                <w:kern w:val="0"/>
                <w:sz w:val="18"/>
                <w:szCs w:val="18"/>
                <w:u w:val="none"/>
                <w:lang w:val="en-US" w:eastAsia="zh-CN"/>
              </w:rPr>
              <w:t>目标2：值班点名与应急指挥调度能力</w:t>
            </w:r>
            <w:r>
              <w:br w:type="textWrapping"/>
            </w:r>
            <w:r>
              <w:rPr>
                <w:rFonts w:ascii="宋体" w:hAnsi="宋体" w:eastAsia="宋体" w:cs="宋体"/>
                <w:i w:val="0"/>
                <w:iCs w:val="0"/>
                <w:color w:val="000000"/>
                <w:kern w:val="0"/>
                <w:sz w:val="18"/>
                <w:szCs w:val="18"/>
                <w:u w:val="none"/>
                <w:lang w:val="en-US" w:eastAsia="zh-CN"/>
              </w:rPr>
              <w:t>目标3：市县区视频会议能力</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已按照文件要求完成民政值班应急指挥视频会议系统1套，提升值班点名与应急指挥调度能力，提升市县区视频会议能力。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民政电视电话会议系统升级改造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1套多点控制器MCU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1台智慧屏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1台移动支架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1套集成与辅材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相关设备合格率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规定时间内完成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12月31日前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显著提高值班点名与应急指挥工作效率与信息化水平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部门人员体验满意度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春节期间慰问困难群众资金（基本运转支出）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209.14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209.13</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209.14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209.13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目标1：冬春慰问困难群众</w:t>
            </w:r>
            <w:r>
              <w:br w:type="textWrapping"/>
            </w:r>
            <w:r>
              <w:rPr>
                <w:rFonts w:ascii="宋体" w:hAnsi="宋体" w:eastAsia="宋体" w:cs="宋体"/>
                <w:i w:val="0"/>
                <w:iCs w:val="0"/>
                <w:color w:val="000000"/>
                <w:kern w:val="0"/>
                <w:sz w:val="18"/>
                <w:szCs w:val="18"/>
                <w:u w:val="none"/>
                <w:lang w:val="en-US" w:eastAsia="zh-CN"/>
              </w:rPr>
              <w:t>目标2：有效提高困难群众的获得感</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按照时间要求冬春慰问困难群众，有效提高困难群众的获得感幸福感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冬春慰问困难群众预算安排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209.13万元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冬春困难群众春节慰问户数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≥3500户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3500户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冬春困难群众春节慰问标准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提高困难群众的获得感、满意度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不断提高困难群众获得感、幸福感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拨付2023年1-3月份免除的市区城乡居民基本殡葬服务费（区级专项上解资金）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136.11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136.11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目标1：免除基本殡葬服务费，提高全市火化率。</w:t>
            </w:r>
            <w:r>
              <w:br w:type="textWrapping"/>
            </w:r>
            <w:r>
              <w:rPr>
                <w:rFonts w:ascii="宋体" w:hAnsi="宋体" w:eastAsia="宋体" w:cs="宋体"/>
                <w:i w:val="0"/>
                <w:iCs w:val="0"/>
                <w:color w:val="000000"/>
                <w:kern w:val="0"/>
                <w:sz w:val="18"/>
                <w:szCs w:val="18"/>
                <w:u w:val="none"/>
                <w:lang w:val="en-US" w:eastAsia="zh-CN"/>
              </w:rPr>
              <w:t>目标2：不断完善机制，确保殡故人员享受应享受的优惠。</w:t>
            </w:r>
            <w:r>
              <w:br w:type="textWrapping"/>
            </w:r>
            <w:r>
              <w:rPr>
                <w:rFonts w:ascii="宋体" w:hAnsi="宋体" w:eastAsia="宋体" w:cs="宋体"/>
                <w:i w:val="0"/>
                <w:iCs w:val="0"/>
                <w:color w:val="000000"/>
                <w:kern w:val="0"/>
                <w:sz w:val="18"/>
                <w:szCs w:val="18"/>
                <w:u w:val="none"/>
                <w:lang w:val="en-US" w:eastAsia="zh-CN"/>
              </w:rPr>
              <w:t>目标3：指导各地加大对政策的宣传，倡导文明殡葬。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已按要求免除基本殡葬服务费，提高全市火化率；不断完善机制，确保殡故人员享受应享受的优惠；指导各地加大对政策的宣传，倡导文明殡葬。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136.1106万元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符合条件的人员纳入保障范围率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基本殡葬免费配套资金认定准确率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提高火化率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追加慈善总会工作经费（结转本级资金）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目标1：保障总会工作人员的待遇，根据工作年限、学历、技术职称制定实施工作人员待遇增长机制。</w:t>
            </w:r>
            <w:r>
              <w:br w:type="textWrapping"/>
            </w:r>
            <w:r>
              <w:rPr>
                <w:rFonts w:ascii="宋体" w:hAnsi="宋体" w:eastAsia="宋体" w:cs="宋体"/>
                <w:i w:val="0"/>
                <w:iCs w:val="0"/>
                <w:color w:val="000000"/>
                <w:kern w:val="0"/>
                <w:sz w:val="18"/>
                <w:szCs w:val="18"/>
                <w:u w:val="none"/>
                <w:lang w:val="en-US" w:eastAsia="zh-CN"/>
              </w:rPr>
              <w:t xml:space="preserve"> 目标2：为总会工作人员缴纳保险、住房公积金。</w:t>
            </w:r>
            <w:r>
              <w:br w:type="textWrapping"/>
            </w:r>
            <w:r>
              <w:rPr>
                <w:rFonts w:ascii="宋体" w:hAnsi="宋体" w:eastAsia="宋体" w:cs="宋体"/>
                <w:i w:val="0"/>
                <w:iCs w:val="0"/>
                <w:color w:val="000000"/>
                <w:kern w:val="0"/>
                <w:sz w:val="18"/>
                <w:szCs w:val="18"/>
                <w:u w:val="none"/>
                <w:lang w:val="en-US" w:eastAsia="zh-CN"/>
              </w:rPr>
              <w:t xml:space="preserve"> 目标3：维护总工会日常办公运行。</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已完成保障总会工作人员的待遇，根据工作年限、学历、技术职称制定实施工作人员待遇增长机制；为总会工作人员缴纳保险、住房公积金；维护总工会日常办公运行。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追加预算安排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慈善总会发放工资人数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日常办公运行维护费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工资、补贴发放及时情况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及时发放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工作人员幸福感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工作人员幸福感不断提升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下达2023年80岁以上老人高龄津贴补助资金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257</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引导各区稳步提升高龄老人生活水平。</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已完成引导各区稳步提升高龄老人生活水平。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257万元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年度累计发放高龄津贴的80岁以上老年人口数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≥2.85万人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2.85万人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80-89岁老年人每月发放标准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90-99岁老年人每月发放标准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高龄津贴资金社会化发放率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高龄津贴资金政策的合规性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补助资金及时发放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高龄老人生活水平提升情况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80岁以上老年人满意度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80岁以上老年人满意度不断提升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提前下达2023年残疾人“两项补贴”市级补助资金-重度残疾人护理补贴（上级配套支出）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目标1：督促各地不断完善机制，按时发放残疾人两项补贴资金；</w:t>
            </w:r>
            <w:r>
              <w:br w:type="textWrapping"/>
            </w:r>
            <w:r>
              <w:rPr>
                <w:rFonts w:ascii="宋体" w:hAnsi="宋体" w:eastAsia="宋体" w:cs="宋体"/>
                <w:i w:val="0"/>
                <w:iCs w:val="0"/>
                <w:color w:val="000000"/>
                <w:kern w:val="0"/>
                <w:sz w:val="18"/>
                <w:szCs w:val="18"/>
                <w:u w:val="none"/>
                <w:lang w:val="en-US" w:eastAsia="zh-CN"/>
              </w:rPr>
              <w:t xml:space="preserve"> 目标2：指导各地严格按照残疾人两项补贴程序和要求，依法审定补贴对象；</w:t>
            </w:r>
            <w:r>
              <w:br w:type="textWrapping"/>
            </w:r>
            <w:r>
              <w:rPr>
                <w:rFonts w:ascii="宋体" w:hAnsi="宋体" w:eastAsia="宋体" w:cs="宋体"/>
                <w:i w:val="0"/>
                <w:iCs w:val="0"/>
                <w:color w:val="000000"/>
                <w:kern w:val="0"/>
                <w:sz w:val="18"/>
                <w:szCs w:val="18"/>
                <w:u w:val="none"/>
                <w:lang w:val="en-US" w:eastAsia="zh-CN"/>
              </w:rPr>
              <w:t xml:space="preserve"> 目标3：指导各地加大对政策的宣传，提高政策的知晓率。</w:t>
            </w:r>
            <w:r>
              <w:br w:type="textWrapping"/>
            </w:r>
            <w:r>
              <w:rPr>
                <w:rFonts w:ascii="宋体" w:hAnsi="宋体" w:eastAsia="宋体" w:cs="宋体"/>
                <w:i w:val="0"/>
                <w:iCs w:val="0"/>
                <w:color w:val="000000"/>
                <w:kern w:val="0"/>
                <w:sz w:val="18"/>
                <w:szCs w:val="18"/>
                <w:u w:val="none"/>
                <w:lang w:val="en-US" w:eastAsia="zh-CN"/>
              </w:rPr>
              <w:t xml:space="preserve"> ……</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按要求督促各地不断完善机制，按时发放残疾人两项补贴资金；指导各地严格按照残疾人两项补贴程序和要求，依法审定补贴对象；指导各地加大对政策的宣传，提高政策的知晓率。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指标1：符合条件的残疾人申请纳入保障范围率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指标1：残疾人“两项补贴”对象认定准确率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指标2：残疾人“两项补贴”发放率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不低于上年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指标3：残疾人“两项补贴”发放标准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不低于上年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指标2：向各区财政部门下达两项补贴资金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指标2：领取残疾人两项补贴对象生活水平和照护服务水平提升情况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残疾人两项体贴对象生活水平和招呼服务水平不断提升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指标1：残疾人两项补贴对象满意度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残疾人两项体贴对象满意度不断提升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2022年10-12月份基本殡葬免除费（区级上解）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161.46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161.46</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161.46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目标1：免除基本殡葬服务费，提高全市火化率。</w:t>
            </w:r>
            <w:r>
              <w:br w:type="textWrapping"/>
            </w:r>
            <w:r>
              <w:rPr>
                <w:rFonts w:ascii="宋体" w:hAnsi="宋体" w:eastAsia="宋体" w:cs="宋体"/>
                <w:i w:val="0"/>
                <w:iCs w:val="0"/>
                <w:color w:val="000000"/>
                <w:kern w:val="0"/>
                <w:sz w:val="18"/>
                <w:szCs w:val="18"/>
                <w:u w:val="none"/>
                <w:lang w:val="en-US" w:eastAsia="zh-CN"/>
              </w:rPr>
              <w:t>目标2：不断完善机制，确保殡故人员享受应享受的优惠。</w:t>
            </w:r>
            <w:r>
              <w:br w:type="textWrapping"/>
            </w:r>
            <w:r>
              <w:rPr>
                <w:rFonts w:ascii="宋体" w:hAnsi="宋体" w:eastAsia="宋体" w:cs="宋体"/>
                <w:i w:val="0"/>
                <w:iCs w:val="0"/>
                <w:color w:val="000000"/>
                <w:kern w:val="0"/>
                <w:sz w:val="18"/>
                <w:szCs w:val="18"/>
                <w:u w:val="none"/>
                <w:lang w:val="en-US" w:eastAsia="zh-CN"/>
              </w:rPr>
              <w:t>目标3：指导各地加大对政策的宣传，倡导文明殡葬。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按照要求免除基本殡葬服务费，提高全市火化率；不断完善机制，确保殡故人员享受应享受的优惠；指导各地加大对政策的宣传，倡导文明殡葬。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161.46万元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161.46万元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符合条件的人员纳入保障范围率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基本殡葬免费配套资金认定准确率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提高火化率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火化率逐步提升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2023年市城区城市低保家庭冬季供暖补贴（市级奖补支出）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目标1：为城区城市低保对象发放取暖补贴</w:t>
            </w:r>
            <w:r>
              <w:br w:type="textWrapping"/>
            </w:r>
            <w:r>
              <w:rPr>
                <w:rFonts w:ascii="宋体" w:hAnsi="宋体" w:eastAsia="宋体" w:cs="宋体"/>
                <w:i w:val="0"/>
                <w:iCs w:val="0"/>
                <w:color w:val="000000"/>
                <w:kern w:val="0"/>
                <w:sz w:val="18"/>
                <w:szCs w:val="18"/>
                <w:u w:val="none"/>
                <w:lang w:val="en-US" w:eastAsia="zh-CN"/>
              </w:rPr>
              <w:t xml:space="preserve"> 目标2：保障城区城市低保对象温暖过冬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已完成为城区城市低保对象发放取暖补贴；保障城区城市低保对象温暖过冬。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取暖补贴标准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≤160元/户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160元/户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指标1：低保家庭数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≥6000户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5750户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根据实际户数支出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指标1：发放时间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每年12月底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指标1：低保家庭生活情况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有所提升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救助对象对社会救助实施的满意度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救助对象对社会救助实施满意度不断提升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惠民殡葬服务费（市级奖补支出）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758.82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108.26</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758.82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108.26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目标1：免除基本殡葬服务费，提高全市火化率。</w:t>
            </w:r>
            <w:r>
              <w:br w:type="textWrapping"/>
            </w:r>
            <w:r>
              <w:rPr>
                <w:rFonts w:ascii="宋体" w:hAnsi="宋体" w:eastAsia="宋体" w:cs="宋体"/>
                <w:i w:val="0"/>
                <w:iCs w:val="0"/>
                <w:color w:val="000000"/>
                <w:kern w:val="0"/>
                <w:sz w:val="18"/>
                <w:szCs w:val="18"/>
                <w:u w:val="none"/>
                <w:lang w:val="en-US" w:eastAsia="zh-CN"/>
              </w:rPr>
              <w:t>目标2：不断完善机制，确保殡故人员享受应享受的优惠。</w:t>
            </w:r>
            <w:r>
              <w:br w:type="textWrapping"/>
            </w:r>
            <w:r>
              <w:rPr>
                <w:rFonts w:ascii="宋体" w:hAnsi="宋体" w:eastAsia="宋体" w:cs="宋体"/>
                <w:i w:val="0"/>
                <w:iCs w:val="0"/>
                <w:color w:val="000000"/>
                <w:kern w:val="0"/>
                <w:sz w:val="18"/>
                <w:szCs w:val="18"/>
                <w:u w:val="none"/>
                <w:lang w:val="en-US" w:eastAsia="zh-CN"/>
              </w:rPr>
              <w:t>目标3：指导各地加大对政策的宣传，倡导文明殡葬。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已完成免除基本殡葬服务费，提高全市火化率；不断完善机制，确保殡故人员享受应享受的优惠；指导各地加大对政策的宣传，倡导文明殡葬。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基本殡葬免除服务费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≤1190元/具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660元/具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符合条件的纳入保障范围率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基本殡葬免费配套资金认定准确率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提高火化率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火化率不断提高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拨付2023年1-3月份免除的市区城乡居民基本殡葬服务费（上级配套支出）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92.2</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目标1：免除基本殡葬服务费，提高全市火化率。</w:t>
            </w:r>
            <w:r>
              <w:br w:type="textWrapping"/>
            </w:r>
            <w:r>
              <w:rPr>
                <w:rFonts w:ascii="宋体" w:hAnsi="宋体" w:eastAsia="宋体" w:cs="宋体"/>
                <w:i w:val="0"/>
                <w:iCs w:val="0"/>
                <w:color w:val="000000"/>
                <w:kern w:val="0"/>
                <w:sz w:val="18"/>
                <w:szCs w:val="18"/>
                <w:u w:val="none"/>
                <w:lang w:val="en-US" w:eastAsia="zh-CN"/>
              </w:rPr>
              <w:t>目标2：不断完善机制，确保殡故人员享受应享受的优惠。</w:t>
            </w:r>
            <w:r>
              <w:br w:type="textWrapping"/>
            </w:r>
            <w:r>
              <w:rPr>
                <w:rFonts w:ascii="宋体" w:hAnsi="宋体" w:eastAsia="宋体" w:cs="宋体"/>
                <w:i w:val="0"/>
                <w:iCs w:val="0"/>
                <w:color w:val="000000"/>
                <w:kern w:val="0"/>
                <w:sz w:val="18"/>
                <w:szCs w:val="18"/>
                <w:u w:val="none"/>
                <w:lang w:val="en-US" w:eastAsia="zh-CN"/>
              </w:rPr>
              <w:t>目标3：指导各地加大对政策的宣传，倡导文明殡葬。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已完成免除基本殡葬服务费，提高全市火化率；不断完善机制，确保殡故人员享受应享受的优惠；指导各地加大对政策的宣传，倡导文明殡葬。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92.2034万元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符合条件的人员纳入保障范围率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基本殡葬免费配套资金认定准确率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提高火化率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2023年受艾滋病影响人员生活定量补助市级资金剩余部分（上级配套支出）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目标1：按时足额发放受艾滋病影响人员基本生活定量补助</w:t>
            </w:r>
            <w:r>
              <w:br w:type="textWrapping"/>
            </w:r>
            <w:r>
              <w:rPr>
                <w:rFonts w:ascii="宋体" w:hAnsi="宋体" w:eastAsia="宋体" w:cs="宋体"/>
                <w:i w:val="0"/>
                <w:iCs w:val="0"/>
                <w:color w:val="000000"/>
                <w:kern w:val="0"/>
                <w:sz w:val="18"/>
                <w:szCs w:val="18"/>
                <w:u w:val="none"/>
                <w:lang w:val="en-US" w:eastAsia="zh-CN"/>
              </w:rPr>
              <w:t xml:space="preserve"> 目标2：保障特殊困难群体的基本生活</w:t>
            </w:r>
            <w:r>
              <w:br w:type="textWrapping"/>
            </w:r>
            <w:r>
              <w:rPr>
                <w:rFonts w:ascii="宋体" w:hAnsi="宋体" w:eastAsia="宋体" w:cs="宋体"/>
                <w:i w:val="0"/>
                <w:iCs w:val="0"/>
                <w:color w:val="000000"/>
                <w:kern w:val="0"/>
                <w:sz w:val="18"/>
                <w:szCs w:val="18"/>
                <w:u w:val="none"/>
                <w:lang w:val="en-US" w:eastAsia="zh-CN"/>
              </w:rPr>
              <w:t xml:space="preserve"> 目标3：提高困难群众的获得感</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已按时足额发放受艾滋病影响人员基本生活定量补助、保障特殊困难群体的基本生活、提高困难群众的获得感。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符合条件的受艾滋病影响人员补助数量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受艾滋病影响人员基本生活定量补助对象认定准确率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受艾滋病影响人员基本生活定量补助资金社会化发放率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受艾滋病影响人员生活水平情况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有所提升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受艾滋病影响人员生活水平不断提高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提前下达2023年困难群众救助补助资金（上级提前下达）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333.27</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89.35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333.27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89.35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1.规范城乡低保政策实施，合理确定保障标准，使低保对象基本生活得到有效保障。                                        </w:t>
            </w:r>
            <w:r>
              <w:br w:type="textWrapping"/>
            </w:r>
            <w:r>
              <w:rPr>
                <w:rFonts w:ascii="宋体" w:hAnsi="宋体" w:eastAsia="宋体" w:cs="宋体"/>
                <w:i w:val="0"/>
                <w:iCs w:val="0"/>
                <w:color w:val="000000"/>
                <w:kern w:val="0"/>
                <w:sz w:val="18"/>
                <w:szCs w:val="18"/>
                <w:u w:val="none"/>
                <w:lang w:val="en-US" w:eastAsia="zh-CN"/>
              </w:rPr>
              <w:t>2.统筹城乡特困人员救助供养工作，合理确定保障标准。</w:t>
            </w:r>
            <w:r>
              <w:br w:type="textWrapping"/>
            </w:r>
            <w:r>
              <w:rPr>
                <w:rFonts w:ascii="宋体" w:hAnsi="宋体" w:eastAsia="宋体" w:cs="宋体"/>
                <w:i w:val="0"/>
                <w:iCs w:val="0"/>
                <w:color w:val="000000"/>
                <w:kern w:val="0"/>
                <w:sz w:val="18"/>
                <w:szCs w:val="18"/>
                <w:u w:val="none"/>
                <w:lang w:val="en-US" w:eastAsia="zh-CN"/>
              </w:rPr>
              <w:t>3.规范实施临时救助政策，实现及时高效，救急解难。</w:t>
            </w:r>
            <w:r>
              <w:br w:type="textWrapping"/>
            </w:r>
            <w:r>
              <w:rPr>
                <w:rFonts w:ascii="宋体" w:hAnsi="宋体" w:eastAsia="宋体" w:cs="宋体"/>
                <w:i w:val="0"/>
                <w:iCs w:val="0"/>
                <w:color w:val="000000"/>
                <w:kern w:val="0"/>
                <w:sz w:val="18"/>
                <w:szCs w:val="18"/>
                <w:u w:val="none"/>
                <w:lang w:val="en-US" w:eastAsia="zh-CN"/>
              </w:rPr>
              <w:t>4.对流浪未成年人提供特殊优先保护及教育矫治等专业服务，确保其健康成长。</w:t>
            </w:r>
            <w:r>
              <w:br w:type="textWrapping"/>
            </w:r>
            <w:r>
              <w:rPr>
                <w:rFonts w:ascii="宋体" w:hAnsi="宋体" w:eastAsia="宋体" w:cs="宋体"/>
                <w:i w:val="0"/>
                <w:iCs w:val="0"/>
                <w:color w:val="000000"/>
                <w:kern w:val="0"/>
                <w:sz w:val="18"/>
                <w:szCs w:val="18"/>
                <w:u w:val="none"/>
                <w:lang w:val="en-US" w:eastAsia="zh-CN"/>
              </w:rPr>
              <w:t>5.对存在流浪风险的未成年人开展摸底排查、家庭监护评估、监护监督等工作，为其提供临时照料、医疗救治、心理疏导、行为矫治、社会融入、家庭关系协调、法律援助等专业服务，从源头上预防未成年人外出流浪。</w:t>
            </w:r>
            <w:r>
              <w:br w:type="textWrapping"/>
            </w:r>
            <w:r>
              <w:rPr>
                <w:rFonts w:ascii="宋体" w:hAnsi="宋体" w:eastAsia="宋体" w:cs="宋体"/>
                <w:i w:val="0"/>
                <w:iCs w:val="0"/>
                <w:color w:val="000000"/>
                <w:kern w:val="0"/>
                <w:sz w:val="18"/>
                <w:szCs w:val="18"/>
                <w:u w:val="none"/>
                <w:lang w:val="en-US" w:eastAsia="zh-CN"/>
              </w:rPr>
              <w:t>6.引导市县提高孤儿基本生活保障水平，孤儿生活保障政策规范高效实施，使孤儿和艾滋病病毒感染儿童生活基本得到保障。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要求规范城乡低保政策实施，合理确定保障标准，使低保对象基本生活得到有效保障；统筹城乡特困人员救助供养工作，合理确定保障标准；规范实施临时救助政策，实现及时高效，救急解难；对流浪未成年人提供特殊优先保护及教育矫治等专业服务，确保其健康成长；对存在流浪风险的未成年人开展摸底排查、家庭监护评估、监护监督等工作，为其提供临时照料、医疗救治、心理疏导、行为矫治、社会融入、家庭关系协调、法律援助等专业服务，从源头上预防未成年人外出流浪；引导市县提高孤儿基本生活保障水平，孤儿生活保障政策规范高效实施，使孤儿和艾滋病病毒感染儿童生活基本得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373万元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333.27万元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低保对象人数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5360人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按照资金支付进度完成相应低保人数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临时救助人次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≥200次/年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按照资金支付进度完成相应救助人次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城乡低保标准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建立社会救助家庭经济状况核对机制的县（市、区）比例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建立社会救助家庭经济状况核对机制的县（市、区）比例不断完善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困难群众认定准确率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困难群众基本生活救助和孤儿基本生活费按时发放率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及时发放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困难群众生活水平情况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有所提升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帮助查明身份滞留乞讨人员返乡情况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即使送返</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救助对象对社会救助实施的满意度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救助对象对社会救助实施的满意度不断提升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2022年中央集中彩票公益金支持社会福利事业专项资金-防疫物资采购项目（结转上级资金）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28.28</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养老服务设施改造、设备购置，配备疫情防控、消防安全物资设施设备，提升养老服务设施服务能力。</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已按照要求对养老服务设施改造、设备购置，配备疫情防控、消防安全物资设施设备，提升养老服务设施服务能力。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采购成本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≤28.28万元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28.28万元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配备物资的养老机构数量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199个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199个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购置设备质量合格率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资金分解下达时效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养老机构应急救援能力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养老机构应急救援能力不断提升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养老机构受助老年人满意度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关于调整提前下达2023年中央集中彩票公益金支持社会福利事业专项资金-老年人福利类项目资金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政府购买服务、委托运营等方式选择专业机构运营社区养老服务设施，提供助餐、助洁、健康管理、文化娱乐等服务，推进运营服务提质。支持养老服务技能进街道、进社区、进家庭，帮助老年人及其家庭成员、护理人员逐步提高服务能力。</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要求通过政府购买服务、委托运营等方式选择专业机构运营社区养老服务设施，提供助餐、助洁、健康管理、文化娱乐等服务，推进运营服务提质。支持养老服务技能进街道、进社区、进家庭，帮助老年人及其家庭成员、护理人员逐步提高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项目方案编制完整性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采购后一年内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养老服务有效供给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养老服务有效供给 持续增加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养老服务有效供给不断完善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服务人群覆盖面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持续扩大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居家社区养老服务条件和服务水平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受益人群满意度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受益人群满意度不断提升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核酸检测等费用（结转本级资金）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目标1：保障我院核酸检测所需费用</w:t>
            </w:r>
            <w:r>
              <w:br w:type="textWrapping"/>
            </w:r>
            <w:r>
              <w:rPr>
                <w:rFonts w:ascii="宋体" w:hAnsi="宋体" w:eastAsia="宋体" w:cs="宋体"/>
                <w:i w:val="0"/>
                <w:iCs w:val="0"/>
                <w:color w:val="000000"/>
                <w:kern w:val="0"/>
                <w:sz w:val="18"/>
                <w:szCs w:val="18"/>
                <w:u w:val="none"/>
                <w:lang w:val="en-US" w:eastAsia="zh-CN"/>
              </w:rPr>
              <w:t>目标2：保障我院防护物资所需费用</w:t>
            </w:r>
            <w:r>
              <w:br w:type="textWrapping"/>
            </w:r>
            <w:r>
              <w:rPr>
                <w:rFonts w:ascii="宋体" w:hAnsi="宋体" w:eastAsia="宋体" w:cs="宋体"/>
                <w:i w:val="0"/>
                <w:iCs w:val="0"/>
                <w:color w:val="000000"/>
                <w:kern w:val="0"/>
                <w:sz w:val="18"/>
                <w:szCs w:val="18"/>
                <w:u w:val="none"/>
                <w:lang w:val="en-US" w:eastAsia="zh-CN"/>
              </w:rPr>
              <w:t>目标3：保障我院增加的运营费用</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指标1：核酸检测等所需资金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指标2：核酸检测的人数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289人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指标1：防护物资服务人数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289人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指标1：用于保障核酸检测等支出比例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指标1：资金支出进度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及时合规支出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指标1：我院疫情防控水平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指标1：收养对象满意度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2022年省级福利彩票公益金（结转上级资金）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目标1：为残疾孤儿做好医疗、康复保障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孤儿明天计划资金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享受医疗、康复保障的残疾孤儿数量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补助资金按时发放率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孤儿身体、生活状况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越来越好</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享受医疗、康复的残疾孤儿满意度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困难群众救助补助资金（豫财社2023-76号，中央资金）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1.规范城乡低保政策实施，合理确定保障标准，使低保对象基本生活得到有效保障。                                        </w:t>
            </w:r>
            <w:r>
              <w:br w:type="textWrapping"/>
            </w:r>
            <w:r>
              <w:rPr>
                <w:rFonts w:ascii="宋体" w:hAnsi="宋体" w:eastAsia="宋体" w:cs="宋体"/>
                <w:i w:val="0"/>
                <w:iCs w:val="0"/>
                <w:color w:val="000000"/>
                <w:kern w:val="0"/>
                <w:sz w:val="18"/>
                <w:szCs w:val="18"/>
                <w:u w:val="none"/>
                <w:lang w:val="en-US" w:eastAsia="zh-CN"/>
              </w:rPr>
              <w:t>2.统筹城乡特困人员救助供养工作，合理确定保障标准。</w:t>
            </w:r>
            <w:r>
              <w:br w:type="textWrapping"/>
            </w:r>
            <w:r>
              <w:rPr>
                <w:rFonts w:ascii="宋体" w:hAnsi="宋体" w:eastAsia="宋体" w:cs="宋体"/>
                <w:i w:val="0"/>
                <w:iCs w:val="0"/>
                <w:color w:val="000000"/>
                <w:kern w:val="0"/>
                <w:sz w:val="18"/>
                <w:szCs w:val="18"/>
                <w:u w:val="none"/>
                <w:lang w:val="en-US" w:eastAsia="zh-CN"/>
              </w:rPr>
              <w:t>3.规范实施临时救助政策，实现及时高效，救急解难。</w:t>
            </w:r>
            <w:r>
              <w:br w:type="textWrapping"/>
            </w:r>
            <w:r>
              <w:rPr>
                <w:rFonts w:ascii="宋体" w:hAnsi="宋体" w:eastAsia="宋体" w:cs="宋体"/>
                <w:i w:val="0"/>
                <w:iCs w:val="0"/>
                <w:color w:val="000000"/>
                <w:kern w:val="0"/>
                <w:sz w:val="18"/>
                <w:szCs w:val="18"/>
                <w:u w:val="none"/>
                <w:lang w:val="en-US" w:eastAsia="zh-CN"/>
              </w:rPr>
              <w:t>4.对流浪未成年人提供特殊优先保护及教育矫治等专业服务，确保其健康成长。</w:t>
            </w:r>
            <w:r>
              <w:br w:type="textWrapping"/>
            </w:r>
            <w:r>
              <w:rPr>
                <w:rFonts w:ascii="宋体" w:hAnsi="宋体" w:eastAsia="宋体" w:cs="宋体"/>
                <w:i w:val="0"/>
                <w:iCs w:val="0"/>
                <w:color w:val="000000"/>
                <w:kern w:val="0"/>
                <w:sz w:val="18"/>
                <w:szCs w:val="18"/>
                <w:u w:val="none"/>
                <w:lang w:val="en-US" w:eastAsia="zh-CN"/>
              </w:rPr>
              <w:t>5.对存在流浪风险的未成年人开展摸底排查、家庭监护评估、监护监督等工作，为其提供临时照料、医疗救治、心理疏导、行为矫治、社会融入、家庭关系协调、法律援助等专业服务，从源头上预防未成年人外出流浪。</w:t>
            </w:r>
            <w:r>
              <w:br w:type="textWrapping"/>
            </w:r>
            <w:r>
              <w:rPr>
                <w:rFonts w:ascii="宋体" w:hAnsi="宋体" w:eastAsia="宋体" w:cs="宋体"/>
                <w:i w:val="0"/>
                <w:iCs w:val="0"/>
                <w:color w:val="000000"/>
                <w:kern w:val="0"/>
                <w:sz w:val="18"/>
                <w:szCs w:val="18"/>
                <w:u w:val="none"/>
                <w:lang w:val="en-US" w:eastAsia="zh-CN"/>
              </w:rPr>
              <w:t>6.引导市县提高孤儿基本生活保障水平，孤儿生活保障政策规范高效实施，使孤儿和艾滋病病毒感染儿童生活基本得到保障。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要求规范城乡低保政策实施，合理确定保障标准，使低保对象基本生活得到有效保障；统筹城乡特困人员救助供养工作，合理确定保障标准；规范实施临时救助政策，实现及时高效，救急解难；对流浪未成年人提供特殊优先保护及教育矫治等专业服务，确保其健康成长；对存在流浪风险的未成年人开展摸底排查、家庭监护评估、监护监督等工作，为其提供临时照料、医疗救治、心理疏导、行为矫治、社会融入、家庭关系协调、法律援助等专业服务，从源头上预防未成年人外出流浪；引导市县提高孤儿基本生活保障水平，孤儿生活保障政策规范高效实施，使孤儿和艾滋病病毒感染儿童生活基本得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低保对象人数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困难群众基本生活救助和孤儿基本生活费按时发放率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困难群众生活水平情况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受助困难群众满意度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受助困难群众满意度不断提升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2023年城乡义务教育公用经费中央资金-特教（培智学校）（上级提前下达）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坚持以服务教学为中心，为学校日常教学活动、日常运行等提供经费保障，保障教学活动开展有序</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办公费、水电等其他费用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学生人数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公用经费合理合规使用率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各项教学任务完成率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费用支付时间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2023年12月31日前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义务教育巩固率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学生对学校满意率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关于提前下达2021年中央集中彩票公益金支持社会福利事业专项资金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0.83</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资助考上普通全日制本科、专科学校的孤儿完成学业。</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0.84万元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0.84万元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享受补贴人数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补贴对象认定准确率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每月初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为社会提供有用人才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效果显著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受资助孤儿满意度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2023年城乡义务教育公用经费省级资金-特教（培智学校）（上级提前下达）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坚持以服务教学为中心，为学校日常教学活动、日常运行等提供经费保障，保障教学活动开展有序</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办公费、水电等其他费用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学生人数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各项教学任务完成率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公用经费合理合规使用率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费用支付时间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2023年12月31日前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义务教育巩固率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学生对学校满意率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2022年困难群众救助补助资金（结转上级资金）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3.42</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目标1：为留守儿童、困境儿童、流浪乞讨儿童提供救助帮扶</w:t>
            </w:r>
            <w:r>
              <w:br w:type="textWrapping"/>
            </w:r>
            <w:r>
              <w:rPr>
                <w:rFonts w:ascii="宋体" w:hAnsi="宋体" w:eastAsia="宋体" w:cs="宋体"/>
                <w:i w:val="0"/>
                <w:iCs w:val="0"/>
                <w:color w:val="000000"/>
                <w:kern w:val="0"/>
                <w:sz w:val="18"/>
                <w:szCs w:val="18"/>
                <w:u w:val="none"/>
                <w:lang w:val="en-US" w:eastAsia="zh-CN"/>
              </w:rPr>
              <w:t>目标2：为留守儿童、困境儿童、流浪乞讨儿童提供精神关爱</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指标1：为困境儿童提供帮扶标准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指标1：提供帮扶对象人数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指标1：用于未成年人保护资金支出比例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指标1：资金使用时间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按进度及时使用资金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指标1：未成年人救助水平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逐渐提高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指标1：救助对象满意度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福利院运行经费（基本运转支出）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目标1：保障我院基本水费、电费、物业管理费、维修维保费等开支需求</w:t>
            </w:r>
            <w:r>
              <w:br w:type="textWrapping"/>
            </w:r>
            <w:r>
              <w:rPr>
                <w:rFonts w:ascii="宋体" w:hAnsi="宋体" w:eastAsia="宋体" w:cs="宋体"/>
                <w:i w:val="0"/>
                <w:iCs w:val="0"/>
                <w:color w:val="000000"/>
                <w:kern w:val="0"/>
                <w:sz w:val="18"/>
                <w:szCs w:val="18"/>
                <w:u w:val="none"/>
                <w:lang w:val="en-US" w:eastAsia="zh-CN"/>
              </w:rPr>
              <w:t>目标2：为我院顺利开展工作提供后勤保障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维修维护费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服务特困人数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25974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服务孤儿人数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收养对象日常生活质量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按时缴纳各项费用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政府形象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收养对象满意度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2022年中央集中彩票公益金支持社会福利事业专项资金（结转上级资金）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目标1：为残疾孤儿做好医疗保障</w:t>
            </w:r>
            <w:r>
              <w:br w:type="textWrapping"/>
            </w:r>
            <w:r>
              <w:rPr>
                <w:rFonts w:ascii="宋体" w:hAnsi="宋体" w:eastAsia="宋体" w:cs="宋体"/>
                <w:i w:val="0"/>
                <w:iCs w:val="0"/>
                <w:color w:val="000000"/>
                <w:kern w:val="0"/>
                <w:sz w:val="18"/>
                <w:szCs w:val="18"/>
                <w:u w:val="none"/>
                <w:lang w:val="en-US" w:eastAsia="zh-CN"/>
              </w:rPr>
              <w:t>目标2：为残疾孤儿做好康复保障</w:t>
            </w:r>
            <w:r>
              <w:br w:type="textWrapping"/>
            </w:r>
            <w:r>
              <w:rPr>
                <w:rFonts w:ascii="宋体" w:hAnsi="宋体" w:eastAsia="宋体" w:cs="宋体"/>
                <w:i w:val="0"/>
                <w:iCs w:val="0"/>
                <w:color w:val="000000"/>
                <w:kern w:val="0"/>
                <w:sz w:val="18"/>
                <w:szCs w:val="18"/>
                <w:u w:val="none"/>
                <w:lang w:val="en-US" w:eastAsia="zh-CN"/>
              </w:rPr>
              <w:t>目标3：为孤儿入学提供资金支持</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目标1：孤儿助学金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目标2：孤儿明天计划资金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目标1：享受医疗康复保障的残疾孤儿数量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目标2：享受助学金孤儿数量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目标1：资金按规定足额拨付率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目标1：补助资金按时发放率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目标1：孤儿受教育状况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越来越好</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目标2：孤儿身体生活状况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越来越好</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目标1：孤儿受教育满意度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目标2：享受医疗康复保障的残疾孤儿满意度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孤儿基本生活费市级配套资金（上级配套支出）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124.46</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124.46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目标1：保障我院孤儿基本生活水平</w:t>
            </w:r>
            <w:r>
              <w:br w:type="textWrapping"/>
            </w:r>
            <w:r>
              <w:rPr>
                <w:rFonts w:ascii="宋体" w:hAnsi="宋体" w:eastAsia="宋体" w:cs="宋体"/>
                <w:i w:val="0"/>
                <w:iCs w:val="0"/>
                <w:color w:val="000000"/>
                <w:kern w:val="0"/>
                <w:sz w:val="18"/>
                <w:szCs w:val="18"/>
                <w:u w:val="none"/>
                <w:lang w:val="en-US" w:eastAsia="zh-CN"/>
              </w:rPr>
              <w:t xml:space="preserve"> 目标2：保障我院孤儿基本医疗健康水平</w:t>
            </w:r>
            <w:r>
              <w:br w:type="textWrapping"/>
            </w:r>
            <w:r>
              <w:rPr>
                <w:rFonts w:ascii="宋体" w:hAnsi="宋体" w:eastAsia="宋体" w:cs="宋体"/>
                <w:i w:val="0"/>
                <w:iCs w:val="0"/>
                <w:color w:val="000000"/>
                <w:kern w:val="0"/>
                <w:sz w:val="18"/>
                <w:szCs w:val="18"/>
                <w:u w:val="none"/>
                <w:lang w:val="en-US" w:eastAsia="zh-CN"/>
              </w:rPr>
              <w:t xml:space="preserve"> 目标3：保障我院孤儿正常就学入学</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指标1：孤儿基本生活保障费市级配套资金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124.46万元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指标2：孤儿每人每月生活费标准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1450元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院内孤儿数量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用于保障孤儿生活资金支出比例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指标1：提高我院孤儿生活水平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逐渐提高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指标2：提高我院孤儿医疗救助水平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逐渐提高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指标3：我院孤儿正常就学入学率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指标1：院内孤儿满意度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孤儿基本生活保障金（结转本级资金）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目标1：保障我院孤儿基本生活水平</w:t>
            </w:r>
            <w:r>
              <w:br w:type="textWrapping"/>
            </w:r>
            <w:r>
              <w:rPr>
                <w:rFonts w:ascii="宋体" w:hAnsi="宋体" w:eastAsia="宋体" w:cs="宋体"/>
                <w:i w:val="0"/>
                <w:iCs w:val="0"/>
                <w:color w:val="000000"/>
                <w:kern w:val="0"/>
                <w:sz w:val="18"/>
                <w:szCs w:val="18"/>
                <w:u w:val="none"/>
                <w:lang w:val="en-US" w:eastAsia="zh-CN"/>
              </w:rPr>
              <w:t>目标2：保障我院孤儿基本医疗健康水平</w:t>
            </w:r>
            <w:r>
              <w:br w:type="textWrapping"/>
            </w:r>
            <w:r>
              <w:rPr>
                <w:rFonts w:ascii="宋体" w:hAnsi="宋体" w:eastAsia="宋体" w:cs="宋体"/>
                <w:i w:val="0"/>
                <w:iCs w:val="0"/>
                <w:color w:val="000000"/>
                <w:kern w:val="0"/>
                <w:sz w:val="18"/>
                <w:szCs w:val="18"/>
                <w:u w:val="none"/>
                <w:lang w:val="en-US" w:eastAsia="zh-CN"/>
              </w:rPr>
              <w:t>目标3：保障我院孤儿正常就学入学</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指标1：孤儿基本生活保障费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指标2：孤儿每人每月生活标准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1450元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指标1：院内孤儿数量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指标1：用于保障孤儿生活资金支出比例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指标1：保障我院孤儿基本生活水平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逐渐提高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指标2：保障我院孤儿基本医疗健康水平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逐渐提高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指标3：保障我院孤儿正常就学入学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逐渐提高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指标1：院内孤儿满意度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提前下达2023年中央集中彩票公益金支持社会福利事业发展专项资金（上级提前下达）-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1.资助考上普通全日制本科、专科学校孤儿完成学业</w:t>
            </w:r>
            <w:r>
              <w:br w:type="textWrapping"/>
            </w:r>
            <w:r>
              <w:rPr>
                <w:rFonts w:ascii="宋体" w:hAnsi="宋体" w:eastAsia="宋体" w:cs="宋体"/>
                <w:i w:val="0"/>
                <w:iCs w:val="0"/>
                <w:color w:val="000000"/>
                <w:kern w:val="0"/>
                <w:sz w:val="18"/>
                <w:szCs w:val="18"/>
                <w:u w:val="none"/>
                <w:lang w:val="en-US" w:eastAsia="zh-CN"/>
              </w:rPr>
              <w:t>2.保障孤儿基本医疗健康水平</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助学资金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医疗资金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符合条件助学孤儿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被救助孤儿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提升自身能力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效果显著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提高医疗救助水平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保障就医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保障孤儿正常就学入学生活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效果显著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保障孤儿健康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兜底服务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2023年特殊教育补助资金-培智学校（上级提前下达）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11.4</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进行无障碍设施改造，改善培智学校学生就学环境</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改造项目资金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项目未实施完毕，故未支出后续资金。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受益人员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改造收益率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项目实施年内完成率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项目未实施完毕，故未支出后续资金。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残疾人就学条件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显著改善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改造后残疾人生活自理能力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受助对象满意率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76.84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基本殡葬免除服务费（结转本级资金）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许昌市殡仪馆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292.41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292.41</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292.41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292.41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目标1：免除基本殡葬服务费，提高全市火化率。</w:t>
            </w:r>
            <w:r>
              <w:br w:type="textWrapping"/>
            </w:r>
            <w:r>
              <w:rPr>
                <w:rFonts w:ascii="宋体" w:hAnsi="宋体" w:eastAsia="宋体" w:cs="宋体"/>
                <w:i w:val="0"/>
                <w:iCs w:val="0"/>
                <w:color w:val="000000"/>
                <w:kern w:val="0"/>
                <w:sz w:val="18"/>
                <w:szCs w:val="18"/>
                <w:u w:val="none"/>
                <w:lang w:val="en-US" w:eastAsia="zh-CN"/>
              </w:rPr>
              <w:t>目标2：不断完善机制，确保殡故人员享受应享受的优惠。</w:t>
            </w:r>
            <w:r>
              <w:br w:type="textWrapping"/>
            </w:r>
            <w:r>
              <w:rPr>
                <w:rFonts w:ascii="宋体" w:hAnsi="宋体" w:eastAsia="宋体" w:cs="宋体"/>
                <w:i w:val="0"/>
                <w:iCs w:val="0"/>
                <w:color w:val="000000"/>
                <w:kern w:val="0"/>
                <w:sz w:val="18"/>
                <w:szCs w:val="18"/>
                <w:u w:val="none"/>
                <w:lang w:val="en-US" w:eastAsia="zh-CN"/>
              </w:rPr>
              <w:t>目标3：指导各地加大对政策的宣传，倡导文明殡葬。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基本殡葬服务费减免率达到100%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323.71万元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292.41万元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符合条件的人员纳入保障范围率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基本殡葬免费配套资金认定准确率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基本殡葬服务费减免率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提高火化率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该指标需各部门的共同推进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殡葬事业发展奖补资金（上级提前下达）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许昌市殡仪馆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支持殡葬服务机构紧急维修和采购火化炉、冷藏设备、消毒设备等，提升殡葬服务保障能力，有效应对新形势带来的新变化。</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对火化炉相关设施进行了紧急维修，提升了设备性能，保障工作良好运转，提升群众满意度。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维修和采购成本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维修和购买火化设备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2023年年底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市区殡葬服务保障能力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市本级公益性公墓运转经费（单位资金支出）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许昌市殡仪馆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241.36</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68.34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68.34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更加细化、合理化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保障公益性公墓园区正常运转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公益性公墓园区正常运转，充分体现了其公益性，保证群众满意度。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≤309.44万元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232.08万元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维修费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墓穴管理费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≤6.8万元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水电费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0.83万元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维护墓穴数量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墓园正常运转率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委托业务时间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≤365天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运转经费支付时间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按月支付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殡葬文明规范程度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指标2：殡葬家属满意度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惠民殡葬服务费（市级奖补支出）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许昌市殡仪馆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108.26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108.26</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108.26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108.26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目标1：免除基本殡葬服务费，提高全市火化率。</w:t>
            </w:r>
            <w:r>
              <w:br w:type="textWrapping"/>
            </w:r>
            <w:r>
              <w:rPr>
                <w:rFonts w:ascii="宋体" w:hAnsi="宋体" w:eastAsia="宋体" w:cs="宋体"/>
                <w:i w:val="0"/>
                <w:iCs w:val="0"/>
                <w:color w:val="000000"/>
                <w:kern w:val="0"/>
                <w:sz w:val="18"/>
                <w:szCs w:val="18"/>
                <w:u w:val="none"/>
                <w:lang w:val="en-US" w:eastAsia="zh-CN"/>
              </w:rPr>
              <w:t>目标2：不断完善机制，确保殡故人员享受应享受的优惠。</w:t>
            </w:r>
            <w:r>
              <w:br w:type="textWrapping"/>
            </w:r>
            <w:r>
              <w:rPr>
                <w:rFonts w:ascii="宋体" w:hAnsi="宋体" w:eastAsia="宋体" w:cs="宋体"/>
                <w:i w:val="0"/>
                <w:iCs w:val="0"/>
                <w:color w:val="000000"/>
                <w:kern w:val="0"/>
                <w:sz w:val="18"/>
                <w:szCs w:val="18"/>
                <w:u w:val="none"/>
                <w:lang w:val="en-US" w:eastAsia="zh-CN"/>
              </w:rPr>
              <w:t>目标3：指导各地加大对政策的宣传，倡导文明殡葬。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基本殡葬服务费减免率达到100%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基本殡葬免费配套资金发放标准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≤1190元/次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660元/次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符合条件的人员纳入保障范围率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基本殡葬免费配套资金认定准确率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指标1：基本殡葬服务费减免率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指标1：提高火化率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该指标需各部门的共同推进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提前下达2023年中央集中彩票公益金支持社会福利事业发展专项资金（上级提前下达）-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许昌市按摩医院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130</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目标1：打造精神卫生社区康复示范点，形成规范性的工作流程和工作制度；</w:t>
            </w:r>
            <w:r>
              <w:br w:type="textWrapping"/>
            </w:r>
            <w:r>
              <w:rPr>
                <w:rFonts w:ascii="宋体" w:hAnsi="宋体" w:eastAsia="宋体" w:cs="宋体"/>
                <w:i w:val="0"/>
                <w:iCs w:val="0"/>
                <w:color w:val="000000"/>
                <w:kern w:val="0"/>
                <w:sz w:val="18"/>
                <w:szCs w:val="18"/>
                <w:u w:val="none"/>
                <w:lang w:val="en-US" w:eastAsia="zh-CN"/>
              </w:rPr>
              <w:t xml:space="preserve"> 目标2：许昌市康复医院精神卫生康复中心2号康复楼周边的土方清运，混凝土道路、安砌路缘石、消防回车场、人行道铺装，室外篮球场、大门、绿化、给排水及部分室外照明等施工内容,确保我单位落户安置的16岁以上城乡特困、城乡低保、流浪乞讨人员、优抚对象等民政服务群体中的精神障碍患者、重度残疾人在室外活动及人身安全需求；</w:t>
            </w:r>
            <w:r>
              <w:br w:type="textWrapping"/>
            </w:r>
            <w:r>
              <w:rPr>
                <w:rFonts w:ascii="宋体" w:hAnsi="宋体" w:eastAsia="宋体" w:cs="宋体"/>
                <w:i w:val="0"/>
                <w:iCs w:val="0"/>
                <w:color w:val="000000"/>
                <w:kern w:val="0"/>
                <w:sz w:val="18"/>
                <w:szCs w:val="18"/>
                <w:u w:val="none"/>
                <w:lang w:val="en-US" w:eastAsia="zh-CN"/>
              </w:rPr>
              <w:t xml:space="preserve"> 目标3：通过对精神障碍患者学习（训练）措施和环境支持，以尽可能使其社会性及职业性角色功能恢复到最大限度，克服疾病所导致的各种功能缺陷，达到躯体功能、心理功能、社会功能和职业功能的全面康复，回归社会。</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要求打造精神卫生社区康复示范点，形成规范性的工作流程和工作制度；许昌市康复医院精神卫生康复中心2号康复楼周边的土方清运，混凝土道路、安砌路缘石、消防回车场、人行道铺装，室外篮球场、大门、绿化、给排水及部分室外照明等施工内容,确保我单位落户安置的16岁以上城乡特困、城乡低保、流浪乞讨人员、优抚对象等民政服务群体中的精神障碍患者、重度残疾人在室外活动及人身安全需求；通过对精神障碍患者学习（训练）措施和环境支持，以尽可能使其社会性及职业性角色功能恢复到最大限度，克服疾病所导致的各种功能缺陷，达到躯体功能、心理功能、社会功能和职业功能的全面康复，回归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满足精神障碍患者需要的成人康复器材，儿童康复器材，检验设备，病房病床设施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患者康复服务档案建立率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精神障碍社区康复示范点建设完成及时性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12月底前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辖区患者人数接受社区康复服务占比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辖区患者人数接受社区康复服务占比不断提升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精神障碍患者满意度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精神障碍患者满意度不断提升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提前下达2022年中央集中福利彩票公益金（结转上级资金）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许昌市按摩医院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br w:type="textWrapping"/>
            </w:r>
            <w:r>
              <w:rPr>
                <w:rFonts w:ascii="宋体" w:hAnsi="宋体" w:eastAsia="宋体" w:cs="宋体"/>
                <w:i w:val="0"/>
                <w:iCs w:val="0"/>
                <w:color w:val="000000"/>
                <w:kern w:val="0"/>
                <w:sz w:val="18"/>
                <w:szCs w:val="18"/>
                <w:u w:val="none"/>
                <w:lang w:val="en-US" w:eastAsia="zh-CN"/>
              </w:rPr>
              <w:t xml:space="preserve"> 目标1：面向城镇“三无”、农村五保、城乡低保、流浪乞讨人员、优抚对象等社会兜底服务对象中的精神障碍等患者开展救治、救助、康复、护理和照料等服务；</w:t>
            </w:r>
            <w:r>
              <w:br w:type="textWrapping"/>
            </w:r>
            <w:r>
              <w:rPr>
                <w:rFonts w:ascii="宋体" w:hAnsi="宋体" w:eastAsia="宋体" w:cs="宋体"/>
                <w:i w:val="0"/>
                <w:iCs w:val="0"/>
                <w:color w:val="000000"/>
                <w:kern w:val="0"/>
                <w:sz w:val="18"/>
                <w:szCs w:val="18"/>
                <w:u w:val="none"/>
                <w:lang w:val="en-US" w:eastAsia="zh-CN"/>
              </w:rPr>
              <w:t xml:space="preserve"> 目标2：与周边的许昌市社会福利院及许昌市救助站等单位相呼应，完善许昌市民政“救、治、养”相关体系中“治”的环节，填补许昌市无民政直属精神卫生福利机构的空白；</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面向城镇“三无”、农村五保、城乡低保、流浪乞讨人员、优抚对象等社会兜底服务对象中的精神障碍等患者开展救治、救助、康复、护理和照料等服务；与周边的许昌市社会福利院及许昌市救助站等单位相呼应，完善许昌市民政“救、治、养”相关体系中“治”的环节，填补许昌市无民政直属精神卫生福利机构的空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≥70人/次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工程施工合格率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工程完成及时率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工作效率或服务水平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工作效率或服务水平不断提升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民政兜底服务对象救助方面的意义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意义重大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精神卫生康复救助制度健全性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不断完善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精神卫生康复救助制度健全性不断完善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受益人员满意度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受益人员满意度不断提升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98.04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提前下达2023年困难群众救助补助资金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许昌市救助管理站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64.17</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根据资金使用办法进行预算执行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按下达预算项目执行，未出现截留挤占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纳入绩效管理，设置绩效目标申报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1、开展站内救助管理工作，包括生活救助，护送返乡等工作。</w:t>
            </w:r>
            <w:r>
              <w:br w:type="textWrapping"/>
            </w:r>
            <w:r>
              <w:rPr>
                <w:rFonts w:ascii="宋体" w:hAnsi="宋体" w:eastAsia="宋体" w:cs="宋体"/>
                <w:i w:val="0"/>
                <w:iCs w:val="0"/>
                <w:color w:val="000000"/>
                <w:kern w:val="0"/>
                <w:sz w:val="18"/>
                <w:szCs w:val="18"/>
                <w:u w:val="none"/>
                <w:lang w:val="en-US" w:eastAsia="zh-CN"/>
              </w:rPr>
              <w:t>2、开展站外救助管理工作，包括医疗救治、街面劝导，街面救助等工作。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2023年我站共救助流浪乞讨人员288人次，其中老年人30人次，妇女56人次，肢体残疾10人次，智障及精神病人102人，救治危重病人1人。跨省接送13人次，寻亲成功返乡11人次。已完成预期救助工作目标。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临时救助资金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64.17万元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年救助受助人员数量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≥100人次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协助受助人员返乡数量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≥50人次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高效救助需帮助人员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高效救助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接处警时间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≤1小时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社会和谐度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受助人员满意度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1906" w:h="16838"/>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Ll1uVLQAAAA&#10;BQEAAA8AAAAAAAAAAQAgAAAAOAAAAGRycy9kb3ducmV2LnhtbFBLAQIUABQAAAAIAIdO4kBWyOHD&#10;AwIAAAsEAAAOAAAAAAAAAAEAIAAAADUBAABkcnMvZTJvRG9jLnhtbFBLAQIUAAoAAAAAAIdO4kAA&#10;AAAAAAAAAAAAAAAEAAAAAAAAAAAAEAAAABYAAABkcnMvUEsBAhQACgAAAAAAh07iQAAAAAAAAAAA&#10;AAAAAAYAAAAAAAAAAAAQAAAAZAMAAF9yZWxzL1BLBQYAAAAABgAGAFkBAACq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EE69E"/>
    <w:multiLevelType w:val="multilevel"/>
    <w:tmpl w:val="FD9EE69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FFDF4AB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2e61a80d-34a4-40d8-84e8-d8c377794615"/>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61c31444-6e7d-41d4-8f84-02f93e298def"/>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haunghe</cp:lastModifiedBy>
  <dcterms:modified xsi:type="dcterms:W3CDTF">2024-10-10T15:32:53Z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DF94CE1DC53D4C5F990C8EECCB3F5EB2_13</vt:lpwstr>
  </property>
</Properties>
</file>