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许昌市机关事务中心（本级）单位决算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许昌市机关事务中心（本级）概况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许昌市机关事务中心（本级）概况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 xml:space="preserve"> 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（一）负责机关事务的管理、保障、服务工作；制定许昌市机关事务工作的规章制度并组织实施；负责市直机关办公区的运行保障；负责其他统一纳入管理的房地产及设施设备资产管理。</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（二）制定机关后勤体制改革的规划、制度和办法并监督实施；指导县（市、区）有关机关事务工作。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三）负责全市行政事业单位一般公务用车编制、购置审批；负责市直行政事业单位一般公务用车计划、配备、更新、使用并按规定处置；组织制定车辆管理办法并监督执行。依据《许昌市公务用车管理实施办法》，通过全市公车信息管理平台加强对全市公车信息化的监督管理；通过公车保障平台保障市直单位基层调研、突发应急事件处置、综合执法等符合条件的公务出行；负责市直单位社会化用车租赁管理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四）承担本级党政机关办公用房和省管干部周转住房管理工作，指导下级党政机关办公用房和周转住房管理工作；负责集中办公区基本建设工作。按资产管理要求，会同市财政国资管理部门做好市本级行政事业单位房地产管理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（五）承担公共机构节能监管，能耗统计、监测和评价考核等具体工作。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（六）指导和监督全市市管干部周转住房管理工作；负责省管干部周转住房的食宿及后勤服务工作。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（七）负责制定市直机关安全保卫、综合治理相关制度并监督实施。</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（八）负责健全公务接待制度，落实公务接待标准，指导下级机关国内公务接待工作，加强对本级各部门和下级机关国内公务接待工作的监督检查。</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九）负责接待来许的国家和省委、省人大、省政府、省政协机关现职副厅级以上领导同志；省内省辖市现职副厅级以上领导同志；省直部门正厅级领导同志；市委、市人大、市政府、市政协安排的其他重要宾客。负责接待国家和省委、省人大、省政府、省政协来许的工作组、调研组、检查组。协助安排市有关部门组织的大型视察团(组)。协助做好国家、省在许召开的重要会议和重大节庆活动的接待服务工作。为赴外地的重要公务活动提供联络、服务保障工作。负责接待应市委、市政府邀请前来考察、访问的国内外重要宾客。配合外事部门做好重要来宾的接待服务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（十）承办市委、市政府交办的其他事项。</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许昌市机关事务中心（本级）内设机构11个,包括：办公室、人事科、资产财务科、房地产管理科、车辆管理科、公共机构节能科、后勤改革与发展指导科、周转住房管理科、公务接待监督指导科、公务接待服务保障科、机关党委。</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从决算单位构成看，许昌市机关事务中心（本级）单位决算包括：本级决算（1个）。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_GB2312" w:hAnsi="仿宋_GB2312" w:eastAsia="仿宋_GB2312" w:cs="仿宋_GB2312"/>
          <w:kern w:val="0"/>
          <w:sz w:val="32"/>
          <w:szCs w:val="32"/>
          <w:lang w:val="en-US" w:eastAsia="zh-CN"/>
        </w:rPr>
        <w:t>1. 许昌市机关事务中心(本级）</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单位：许昌市机关事务中心（本级）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6" w:hRule="exact"/>
          <w:jc w:val="center"/>
        </w:trPr>
        <w:tc>
          <w:tcPr>
            <w:tcW w:w="4180" w:type="dxa"/>
            <w:gridSpan w:val="3"/>
            <w:vAlign w:val="center"/>
          </w:tcPr>
          <w:p>
            <w:pPr>
              <w:jc w:val="center"/>
            </w:pPr>
            <w:r>
              <w:rPr>
                <w:rFonts w:ascii="宋体" w:hAnsi="宋体" w:eastAsia="宋体" w:cs="宋体"/>
                <w:b w:val="0"/>
                <w:i w:val="0"/>
                <w:color w:val="000000"/>
                <w:sz w:val="21"/>
              </w:rPr>
              <w:t>收入</w:t>
            </w:r>
          </w:p>
        </w:tc>
        <w:tc>
          <w:tcPr>
            <w:tcW w:w="418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40" w:type="dxa"/>
            <w:vAlign w:val="center"/>
          </w:tcPr>
          <w:p>
            <w:pPr>
              <w:jc w:val="center"/>
            </w:pPr>
            <w:r>
              <w:rPr>
                <w:rFonts w:ascii="宋体" w:hAnsi="宋体" w:eastAsia="宋体" w:cs="宋体"/>
                <w:b w:val="0"/>
                <w:i w:val="0"/>
                <w:color w:val="000000"/>
                <w:sz w:val="21"/>
              </w:rPr>
              <w:t>金额</w:t>
            </w:r>
          </w:p>
        </w:tc>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3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40" w:type="dxa"/>
            <w:vAlign w:val="center"/>
          </w:tcPr>
          <w:p>
            <w:pPr>
              <w:jc w:val="center"/>
            </w:pPr>
            <w:r>
              <w:rPr>
                <w:rFonts w:ascii="宋体" w:hAnsi="宋体" w:eastAsia="宋体" w:cs="宋体"/>
                <w:b w:val="0"/>
                <w:i w:val="0"/>
                <w:color w:val="000000"/>
                <w:sz w:val="21"/>
              </w:rPr>
              <w:t>1</w:t>
            </w:r>
          </w:p>
        </w:tc>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3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6" w:hRule="exact"/>
          <w:jc w:val="center"/>
        </w:trPr>
        <w:tc>
          <w:tcPr>
            <w:tcW w:w="4180" w:type="dxa"/>
            <w:vAlign w:val="center"/>
          </w:tcPr>
          <w:p>
            <w:pPr>
              <w:jc w:val="left"/>
            </w:pPr>
            <w:r>
              <w:rPr>
                <w:rFonts w:ascii="宋体" w:hAnsi="宋体" w:eastAsia="宋体" w:cs="宋体"/>
                <w:b w:val="0"/>
                <w:i w:val="0"/>
                <w:color w:val="000000"/>
                <w:sz w:val="21"/>
              </w:rPr>
              <w:t>一、一般公共预算财政拨款收入</w:t>
            </w:r>
          </w:p>
        </w:tc>
        <w:tc>
          <w:tcPr>
            <w:tcW w:w="560" w:type="dxa"/>
            <w:vAlign w:val="center"/>
          </w:tcPr>
          <w:p>
            <w:pPr>
              <w:jc w:val="center"/>
            </w:pPr>
            <w:r>
              <w:rPr>
                <w:rFonts w:ascii="宋体" w:hAnsi="宋体" w:eastAsia="宋体" w:cs="宋体"/>
                <w:b w:val="0"/>
                <w:i w:val="0"/>
                <w:color w:val="000000"/>
                <w:sz w:val="21"/>
              </w:rPr>
              <w:t>1</w:t>
            </w:r>
          </w:p>
        </w:tc>
        <w:tc>
          <w:tcPr>
            <w:tcW w:w="2240" w:type="dxa"/>
            <w:vAlign w:val="center"/>
          </w:tcPr>
          <w:p>
            <w:pPr>
              <w:jc w:val="right"/>
            </w:pPr>
            <w:r>
              <w:rPr>
                <w:rFonts w:ascii="宋体" w:hAnsi="宋体" w:eastAsia="宋体" w:cs="宋体"/>
                <w:b w:val="0"/>
                <w:i w:val="0"/>
                <w:color w:val="000000"/>
                <w:sz w:val="21"/>
              </w:rPr>
              <w:t>1,566.17</w:t>
            </w:r>
          </w:p>
        </w:tc>
        <w:tc>
          <w:tcPr>
            <w:tcW w:w="4180" w:type="dxa"/>
            <w:vAlign w:val="center"/>
          </w:tcPr>
          <w:p>
            <w:pPr>
              <w:jc w:val="left"/>
            </w:pPr>
            <w:r>
              <w:rPr>
                <w:rFonts w:ascii="宋体" w:hAnsi="宋体" w:eastAsia="宋体" w:cs="宋体"/>
                <w:b w:val="0"/>
                <w:i w:val="0"/>
                <w:color w:val="000000"/>
                <w:sz w:val="21"/>
              </w:rPr>
              <w:t>一、一般公共服务支出</w:t>
            </w:r>
          </w:p>
        </w:tc>
        <w:tc>
          <w:tcPr>
            <w:tcW w:w="560" w:type="dxa"/>
            <w:vAlign w:val="center"/>
          </w:tcPr>
          <w:p>
            <w:pPr>
              <w:jc w:val="center"/>
            </w:pPr>
            <w:r>
              <w:rPr>
                <w:rFonts w:ascii="宋体" w:hAnsi="宋体" w:eastAsia="宋体" w:cs="宋体"/>
                <w:b w:val="0"/>
                <w:i w:val="0"/>
                <w:color w:val="000000"/>
                <w:sz w:val="21"/>
              </w:rPr>
              <w:t>32</w:t>
            </w:r>
          </w:p>
        </w:tc>
        <w:tc>
          <w:tcPr>
            <w:tcW w:w="2238" w:type="dxa"/>
            <w:vAlign w:val="center"/>
          </w:tcPr>
          <w:p>
            <w:pPr>
              <w:jc w:val="right"/>
            </w:pPr>
            <w:r>
              <w:rPr>
                <w:rFonts w:ascii="宋体" w:hAnsi="宋体" w:eastAsia="宋体" w:cs="宋体"/>
                <w:b w:val="0"/>
                <w:i w:val="0"/>
                <w:color w:val="000000"/>
                <w:sz w:val="21"/>
              </w:rPr>
              <w:t>1,423.44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6" w:hRule="exact"/>
          <w:jc w:val="center"/>
        </w:trPr>
        <w:tc>
          <w:tcPr>
            <w:tcW w:w="4180" w:type="dxa"/>
            <w:vAlign w:val="center"/>
          </w:tcPr>
          <w:p>
            <w:pPr>
              <w:jc w:val="left"/>
            </w:pPr>
            <w:r>
              <w:rPr>
                <w:rFonts w:ascii="宋体" w:hAnsi="宋体" w:eastAsia="宋体" w:cs="宋体"/>
                <w:b w:val="0"/>
                <w:i w:val="0"/>
                <w:color w:val="000000"/>
                <w:sz w:val="21"/>
              </w:rPr>
              <w:t>二、政府性基金预算财政拨款收入</w:t>
            </w:r>
          </w:p>
        </w:tc>
        <w:tc>
          <w:tcPr>
            <w:tcW w:w="560" w:type="dxa"/>
            <w:vAlign w:val="center"/>
          </w:tcPr>
          <w:p>
            <w:pPr>
              <w:jc w:val="center"/>
            </w:pPr>
            <w:r>
              <w:rPr>
                <w:rFonts w:ascii="宋体" w:hAnsi="宋体" w:eastAsia="宋体" w:cs="宋体"/>
                <w:b w:val="0"/>
                <w:i w:val="0"/>
                <w:color w:val="000000"/>
                <w:sz w:val="21"/>
              </w:rPr>
              <w:t>2</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二、外交支出</w:t>
            </w:r>
          </w:p>
        </w:tc>
        <w:tc>
          <w:tcPr>
            <w:tcW w:w="560" w:type="dxa"/>
            <w:vAlign w:val="center"/>
          </w:tcPr>
          <w:p>
            <w:pPr>
              <w:jc w:val="center"/>
            </w:pPr>
            <w:r>
              <w:rPr>
                <w:rFonts w:ascii="宋体" w:hAnsi="宋体" w:eastAsia="宋体" w:cs="宋体"/>
                <w:b w:val="0"/>
                <w:i w:val="0"/>
                <w:color w:val="000000"/>
                <w:sz w:val="21"/>
              </w:rPr>
              <w:t>33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三、国有资本经营预算财政拨款收入</w:t>
            </w:r>
          </w:p>
        </w:tc>
        <w:tc>
          <w:tcPr>
            <w:tcW w:w="560" w:type="dxa"/>
            <w:vAlign w:val="center"/>
          </w:tcPr>
          <w:p>
            <w:pPr>
              <w:jc w:val="center"/>
            </w:pPr>
            <w:r>
              <w:rPr>
                <w:rFonts w:ascii="宋体" w:hAnsi="宋体" w:eastAsia="宋体" w:cs="宋体"/>
                <w:b w:val="0"/>
                <w:i w:val="0"/>
                <w:color w:val="000000"/>
                <w:sz w:val="21"/>
              </w:rPr>
              <w:t>3</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三、国防支出</w:t>
            </w:r>
          </w:p>
        </w:tc>
        <w:tc>
          <w:tcPr>
            <w:tcW w:w="560" w:type="dxa"/>
            <w:vAlign w:val="center"/>
          </w:tcPr>
          <w:p>
            <w:pPr>
              <w:jc w:val="center"/>
            </w:pPr>
            <w:r>
              <w:rPr>
                <w:rFonts w:ascii="宋体" w:hAnsi="宋体" w:eastAsia="宋体" w:cs="宋体"/>
                <w:b w:val="0"/>
                <w:i w:val="0"/>
                <w:color w:val="000000"/>
                <w:sz w:val="21"/>
              </w:rPr>
              <w:t>34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四、上级补助收入</w:t>
            </w:r>
          </w:p>
        </w:tc>
        <w:tc>
          <w:tcPr>
            <w:tcW w:w="560" w:type="dxa"/>
            <w:vAlign w:val="center"/>
          </w:tcPr>
          <w:p>
            <w:pPr>
              <w:jc w:val="center"/>
            </w:pPr>
            <w:r>
              <w:rPr>
                <w:rFonts w:ascii="宋体" w:hAnsi="宋体" w:eastAsia="宋体" w:cs="宋体"/>
                <w:b w:val="0"/>
                <w:i w:val="0"/>
                <w:color w:val="000000"/>
                <w:sz w:val="21"/>
              </w:rPr>
              <w:t>4</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四、公共安全支出</w:t>
            </w:r>
          </w:p>
        </w:tc>
        <w:tc>
          <w:tcPr>
            <w:tcW w:w="560" w:type="dxa"/>
            <w:vAlign w:val="center"/>
          </w:tcPr>
          <w:p>
            <w:pPr>
              <w:jc w:val="center"/>
            </w:pPr>
            <w:r>
              <w:rPr>
                <w:rFonts w:ascii="宋体" w:hAnsi="宋体" w:eastAsia="宋体" w:cs="宋体"/>
                <w:b w:val="0"/>
                <w:i w:val="0"/>
                <w:color w:val="000000"/>
                <w:sz w:val="21"/>
              </w:rPr>
              <w:t>35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6" w:hRule="exact"/>
          <w:jc w:val="center"/>
        </w:trPr>
        <w:tc>
          <w:tcPr>
            <w:tcW w:w="4180" w:type="dxa"/>
            <w:vAlign w:val="center"/>
          </w:tcPr>
          <w:p>
            <w:pPr>
              <w:jc w:val="left"/>
            </w:pPr>
            <w:r>
              <w:rPr>
                <w:rFonts w:ascii="宋体" w:hAnsi="宋体" w:eastAsia="宋体" w:cs="宋体"/>
                <w:b w:val="0"/>
                <w:i w:val="0"/>
                <w:color w:val="000000"/>
                <w:sz w:val="21"/>
              </w:rPr>
              <w:t>五、事业收入</w:t>
            </w:r>
          </w:p>
        </w:tc>
        <w:tc>
          <w:tcPr>
            <w:tcW w:w="560" w:type="dxa"/>
            <w:vAlign w:val="center"/>
          </w:tcPr>
          <w:p>
            <w:pPr>
              <w:jc w:val="center"/>
            </w:pPr>
            <w:r>
              <w:rPr>
                <w:rFonts w:ascii="宋体" w:hAnsi="宋体" w:eastAsia="宋体" w:cs="宋体"/>
                <w:b w:val="0"/>
                <w:i w:val="0"/>
                <w:color w:val="000000"/>
                <w:sz w:val="21"/>
              </w:rPr>
              <w:t>5</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五、教育支出</w:t>
            </w:r>
          </w:p>
        </w:tc>
        <w:tc>
          <w:tcPr>
            <w:tcW w:w="560" w:type="dxa"/>
            <w:vAlign w:val="center"/>
          </w:tcPr>
          <w:p>
            <w:pPr>
              <w:jc w:val="center"/>
            </w:pPr>
            <w:r>
              <w:rPr>
                <w:rFonts w:ascii="宋体" w:hAnsi="宋体" w:eastAsia="宋体" w:cs="宋体"/>
                <w:b w:val="0"/>
                <w:i w:val="0"/>
                <w:color w:val="000000"/>
                <w:sz w:val="21"/>
              </w:rPr>
              <w:t>36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6" w:hRule="exact"/>
          <w:jc w:val="center"/>
        </w:trPr>
        <w:tc>
          <w:tcPr>
            <w:tcW w:w="4180" w:type="dxa"/>
            <w:vAlign w:val="center"/>
          </w:tcPr>
          <w:p>
            <w:pPr>
              <w:jc w:val="left"/>
            </w:pPr>
            <w:r>
              <w:rPr>
                <w:rFonts w:ascii="宋体" w:hAnsi="宋体" w:eastAsia="宋体" w:cs="宋体"/>
                <w:b w:val="0"/>
                <w:i w:val="0"/>
                <w:color w:val="000000"/>
                <w:sz w:val="21"/>
              </w:rPr>
              <w:t>六、经营收入</w:t>
            </w:r>
          </w:p>
        </w:tc>
        <w:tc>
          <w:tcPr>
            <w:tcW w:w="560" w:type="dxa"/>
            <w:vAlign w:val="center"/>
          </w:tcPr>
          <w:p>
            <w:pPr>
              <w:jc w:val="center"/>
            </w:pPr>
            <w:r>
              <w:rPr>
                <w:rFonts w:ascii="宋体" w:hAnsi="宋体" w:eastAsia="宋体" w:cs="宋体"/>
                <w:b w:val="0"/>
                <w:i w:val="0"/>
                <w:color w:val="000000"/>
                <w:sz w:val="21"/>
              </w:rPr>
              <w:t>6</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六、科学技术支出</w:t>
            </w:r>
          </w:p>
        </w:tc>
        <w:tc>
          <w:tcPr>
            <w:tcW w:w="560" w:type="dxa"/>
            <w:vAlign w:val="center"/>
          </w:tcPr>
          <w:p>
            <w:pPr>
              <w:jc w:val="center"/>
            </w:pPr>
            <w:r>
              <w:rPr>
                <w:rFonts w:ascii="宋体" w:hAnsi="宋体" w:eastAsia="宋体" w:cs="宋体"/>
                <w:b w:val="0"/>
                <w:i w:val="0"/>
                <w:color w:val="000000"/>
                <w:sz w:val="21"/>
              </w:rPr>
              <w:t>37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七、附属单位上缴收入</w:t>
            </w:r>
          </w:p>
        </w:tc>
        <w:tc>
          <w:tcPr>
            <w:tcW w:w="560" w:type="dxa"/>
            <w:vAlign w:val="center"/>
          </w:tcPr>
          <w:p>
            <w:pPr>
              <w:jc w:val="center"/>
            </w:pPr>
            <w:r>
              <w:rPr>
                <w:rFonts w:ascii="宋体" w:hAnsi="宋体" w:eastAsia="宋体" w:cs="宋体"/>
                <w:b w:val="0"/>
                <w:i w:val="0"/>
                <w:color w:val="000000"/>
                <w:sz w:val="21"/>
              </w:rPr>
              <w:t>7</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七、文化旅游体育与传媒支出</w:t>
            </w:r>
          </w:p>
        </w:tc>
        <w:tc>
          <w:tcPr>
            <w:tcW w:w="560" w:type="dxa"/>
            <w:vAlign w:val="center"/>
          </w:tcPr>
          <w:p>
            <w:pPr>
              <w:jc w:val="center"/>
            </w:pPr>
            <w:r>
              <w:rPr>
                <w:rFonts w:ascii="宋体" w:hAnsi="宋体" w:eastAsia="宋体" w:cs="宋体"/>
                <w:b w:val="0"/>
                <w:i w:val="0"/>
                <w:color w:val="000000"/>
                <w:sz w:val="21"/>
              </w:rPr>
              <w:t>38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八、其他收入</w:t>
            </w:r>
          </w:p>
        </w:tc>
        <w:tc>
          <w:tcPr>
            <w:tcW w:w="560" w:type="dxa"/>
            <w:vAlign w:val="center"/>
          </w:tcPr>
          <w:p>
            <w:pPr>
              <w:jc w:val="center"/>
            </w:pPr>
            <w:r>
              <w:rPr>
                <w:rFonts w:ascii="宋体" w:hAnsi="宋体" w:eastAsia="宋体" w:cs="宋体"/>
                <w:b w:val="0"/>
                <w:i w:val="0"/>
                <w:color w:val="000000"/>
                <w:sz w:val="21"/>
              </w:rPr>
              <w:t>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八、社会保障和就业支出</w:t>
            </w:r>
          </w:p>
        </w:tc>
        <w:tc>
          <w:tcPr>
            <w:tcW w:w="560" w:type="dxa"/>
            <w:vAlign w:val="center"/>
          </w:tcPr>
          <w:p>
            <w:pPr>
              <w:jc w:val="center"/>
            </w:pPr>
            <w:r>
              <w:rPr>
                <w:rFonts w:ascii="宋体" w:hAnsi="宋体" w:eastAsia="宋体" w:cs="宋体"/>
                <w:b w:val="0"/>
                <w:i w:val="0"/>
                <w:color w:val="000000"/>
                <w:sz w:val="21"/>
              </w:rPr>
              <w:t>39</w:t>
            </w:r>
          </w:p>
        </w:tc>
        <w:tc>
          <w:tcPr>
            <w:tcW w:w="2238" w:type="dxa"/>
            <w:vAlign w:val="center"/>
          </w:tcPr>
          <w:p>
            <w:pPr>
              <w:jc w:val="right"/>
            </w:pPr>
            <w:r>
              <w:rPr>
                <w:rFonts w:ascii="宋体" w:hAnsi="宋体" w:eastAsia="宋体" w:cs="宋体"/>
                <w:b w:val="0"/>
                <w:i w:val="0"/>
                <w:color w:val="000000"/>
                <w:sz w:val="21"/>
              </w:rPr>
              <w:t>71.52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九、卫生健康支出</w:t>
            </w:r>
          </w:p>
        </w:tc>
        <w:tc>
          <w:tcPr>
            <w:tcW w:w="560" w:type="dxa"/>
            <w:vAlign w:val="center"/>
          </w:tcPr>
          <w:p>
            <w:pPr>
              <w:jc w:val="center"/>
            </w:pPr>
            <w:r>
              <w:rPr>
                <w:rFonts w:ascii="宋体" w:hAnsi="宋体" w:eastAsia="宋体" w:cs="宋体"/>
                <w:b w:val="0"/>
                <w:i w:val="0"/>
                <w:color w:val="000000"/>
                <w:sz w:val="21"/>
              </w:rPr>
              <w:t>40</w:t>
            </w:r>
          </w:p>
        </w:tc>
        <w:tc>
          <w:tcPr>
            <w:tcW w:w="2238" w:type="dxa"/>
            <w:vAlign w:val="center"/>
          </w:tcPr>
          <w:p>
            <w:pPr>
              <w:jc w:val="right"/>
            </w:pPr>
            <w:r>
              <w:rPr>
                <w:rFonts w:ascii="宋体" w:hAnsi="宋体" w:eastAsia="宋体" w:cs="宋体"/>
                <w:b w:val="0"/>
                <w:i w:val="0"/>
                <w:color w:val="000000"/>
                <w:sz w:val="21"/>
              </w:rPr>
              <w:t>35.96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十、节能环保支出</w:t>
            </w:r>
          </w:p>
        </w:tc>
        <w:tc>
          <w:tcPr>
            <w:tcW w:w="560" w:type="dxa"/>
            <w:vAlign w:val="center"/>
          </w:tcPr>
          <w:p>
            <w:pPr>
              <w:jc w:val="center"/>
            </w:pPr>
            <w:r>
              <w:rPr>
                <w:rFonts w:ascii="宋体" w:hAnsi="宋体" w:eastAsia="宋体" w:cs="宋体"/>
                <w:b w:val="0"/>
                <w:i w:val="0"/>
                <w:color w:val="000000"/>
                <w:sz w:val="21"/>
              </w:rPr>
              <w:t>41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十一、城乡社区支出</w:t>
            </w:r>
          </w:p>
        </w:tc>
        <w:tc>
          <w:tcPr>
            <w:tcW w:w="560" w:type="dxa"/>
            <w:vAlign w:val="center"/>
          </w:tcPr>
          <w:p>
            <w:pPr>
              <w:jc w:val="center"/>
            </w:pPr>
            <w:r>
              <w:rPr>
                <w:rFonts w:ascii="宋体" w:hAnsi="宋体" w:eastAsia="宋体" w:cs="宋体"/>
                <w:b w:val="0"/>
                <w:i w:val="0"/>
                <w:color w:val="000000"/>
                <w:sz w:val="21"/>
              </w:rPr>
              <w:t>42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十二、农林水支出</w:t>
            </w:r>
          </w:p>
        </w:tc>
        <w:tc>
          <w:tcPr>
            <w:tcW w:w="560" w:type="dxa"/>
            <w:vAlign w:val="center"/>
          </w:tcPr>
          <w:p>
            <w:pPr>
              <w:jc w:val="center"/>
            </w:pPr>
            <w:r>
              <w:rPr>
                <w:rFonts w:ascii="宋体" w:hAnsi="宋体" w:eastAsia="宋体" w:cs="宋体"/>
                <w:b w:val="0"/>
                <w:i w:val="0"/>
                <w:color w:val="000000"/>
                <w:sz w:val="21"/>
              </w:rPr>
              <w:t>43</w:t>
            </w:r>
          </w:p>
        </w:tc>
        <w:tc>
          <w:tcPr>
            <w:tcW w:w="2238" w:type="dxa"/>
            <w:vAlign w:val="center"/>
          </w:tcPr>
          <w:p>
            <w:pPr>
              <w:jc w:val="right"/>
            </w:pPr>
            <w:r>
              <w:rPr>
                <w:rFonts w:ascii="宋体" w:hAnsi="宋体" w:eastAsia="宋体" w:cs="宋体"/>
                <w:b w:val="0"/>
                <w:i w:val="0"/>
                <w:color w:val="000000"/>
                <w:sz w:val="21"/>
              </w:rPr>
              <w:t>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十三、交通运输支出</w:t>
            </w:r>
          </w:p>
        </w:tc>
        <w:tc>
          <w:tcPr>
            <w:tcW w:w="560" w:type="dxa"/>
            <w:vAlign w:val="center"/>
          </w:tcPr>
          <w:p>
            <w:pPr>
              <w:jc w:val="center"/>
            </w:pPr>
            <w:r>
              <w:rPr>
                <w:rFonts w:ascii="宋体" w:hAnsi="宋体" w:eastAsia="宋体" w:cs="宋体"/>
                <w:b w:val="0"/>
                <w:i w:val="0"/>
                <w:color w:val="000000"/>
                <w:sz w:val="21"/>
              </w:rPr>
              <w:t>44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十四、资源勘探工业信息等支出</w:t>
            </w:r>
          </w:p>
        </w:tc>
        <w:tc>
          <w:tcPr>
            <w:tcW w:w="560" w:type="dxa"/>
            <w:vAlign w:val="center"/>
          </w:tcPr>
          <w:p>
            <w:pPr>
              <w:jc w:val="center"/>
            </w:pPr>
            <w:r>
              <w:rPr>
                <w:rFonts w:ascii="宋体" w:hAnsi="宋体" w:eastAsia="宋体" w:cs="宋体"/>
                <w:b w:val="0"/>
                <w:i w:val="0"/>
                <w:color w:val="000000"/>
                <w:sz w:val="21"/>
              </w:rPr>
              <w:t>45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十五、商业服务业等支出</w:t>
            </w:r>
          </w:p>
        </w:tc>
        <w:tc>
          <w:tcPr>
            <w:tcW w:w="560" w:type="dxa"/>
            <w:vAlign w:val="center"/>
          </w:tcPr>
          <w:p>
            <w:pPr>
              <w:jc w:val="center"/>
            </w:pPr>
            <w:r>
              <w:rPr>
                <w:rFonts w:ascii="宋体" w:hAnsi="宋体" w:eastAsia="宋体" w:cs="宋体"/>
                <w:b w:val="0"/>
                <w:i w:val="0"/>
                <w:color w:val="000000"/>
                <w:sz w:val="21"/>
              </w:rPr>
              <w:t>46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十六、金融支出</w:t>
            </w:r>
          </w:p>
        </w:tc>
        <w:tc>
          <w:tcPr>
            <w:tcW w:w="560" w:type="dxa"/>
            <w:vAlign w:val="center"/>
          </w:tcPr>
          <w:p>
            <w:pPr>
              <w:jc w:val="center"/>
            </w:pPr>
            <w:r>
              <w:rPr>
                <w:rFonts w:ascii="宋体" w:hAnsi="宋体" w:eastAsia="宋体" w:cs="宋体"/>
                <w:b w:val="0"/>
                <w:i w:val="0"/>
                <w:color w:val="000000"/>
                <w:sz w:val="21"/>
              </w:rPr>
              <w:t>47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17</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十七、援助其他地区支出</w:t>
            </w:r>
          </w:p>
        </w:tc>
        <w:tc>
          <w:tcPr>
            <w:tcW w:w="560" w:type="dxa"/>
            <w:vAlign w:val="center"/>
          </w:tcPr>
          <w:p>
            <w:pPr>
              <w:jc w:val="center"/>
            </w:pPr>
            <w:r>
              <w:rPr>
                <w:rFonts w:ascii="宋体" w:hAnsi="宋体" w:eastAsia="宋体" w:cs="宋体"/>
                <w:b w:val="0"/>
                <w:i w:val="0"/>
                <w:color w:val="000000"/>
                <w:sz w:val="21"/>
              </w:rPr>
              <w:t>48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18</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十八、自然资源海洋气象等支出</w:t>
            </w:r>
          </w:p>
        </w:tc>
        <w:tc>
          <w:tcPr>
            <w:tcW w:w="560" w:type="dxa"/>
            <w:vAlign w:val="center"/>
          </w:tcPr>
          <w:p>
            <w:pPr>
              <w:jc w:val="center"/>
            </w:pPr>
            <w:r>
              <w:rPr>
                <w:rFonts w:ascii="宋体" w:hAnsi="宋体" w:eastAsia="宋体" w:cs="宋体"/>
                <w:b w:val="0"/>
                <w:i w:val="0"/>
                <w:color w:val="000000"/>
                <w:sz w:val="21"/>
              </w:rPr>
              <w:t>49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十九、住房保障支出</w:t>
            </w:r>
          </w:p>
        </w:tc>
        <w:tc>
          <w:tcPr>
            <w:tcW w:w="560" w:type="dxa"/>
            <w:vAlign w:val="center"/>
          </w:tcPr>
          <w:p>
            <w:pPr>
              <w:jc w:val="center"/>
            </w:pPr>
            <w:r>
              <w:rPr>
                <w:rFonts w:ascii="宋体" w:hAnsi="宋体" w:eastAsia="宋体" w:cs="宋体"/>
                <w:b w:val="0"/>
                <w:i w:val="0"/>
                <w:color w:val="000000"/>
                <w:sz w:val="21"/>
              </w:rPr>
              <w:t>50</w:t>
            </w:r>
          </w:p>
        </w:tc>
        <w:tc>
          <w:tcPr>
            <w:tcW w:w="2238" w:type="dxa"/>
            <w:vAlign w:val="center"/>
          </w:tcPr>
          <w:p>
            <w:pPr>
              <w:jc w:val="right"/>
            </w:pPr>
            <w:r>
              <w:rPr>
                <w:rFonts w:ascii="宋体" w:hAnsi="宋体" w:eastAsia="宋体" w:cs="宋体"/>
                <w:b w:val="0"/>
                <w:i w:val="0"/>
                <w:color w:val="000000"/>
                <w:sz w:val="21"/>
              </w:rPr>
              <w:t>32.99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二十、粮油物资储备支出</w:t>
            </w:r>
          </w:p>
        </w:tc>
        <w:tc>
          <w:tcPr>
            <w:tcW w:w="560" w:type="dxa"/>
            <w:vAlign w:val="center"/>
          </w:tcPr>
          <w:p>
            <w:pPr>
              <w:jc w:val="center"/>
            </w:pPr>
            <w:r>
              <w:rPr>
                <w:rFonts w:ascii="宋体" w:hAnsi="宋体" w:eastAsia="宋体" w:cs="宋体"/>
                <w:b w:val="0"/>
                <w:i w:val="0"/>
                <w:color w:val="000000"/>
                <w:sz w:val="21"/>
              </w:rPr>
              <w:t>51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二十一、国有资本经营预算支出</w:t>
            </w:r>
          </w:p>
        </w:tc>
        <w:tc>
          <w:tcPr>
            <w:tcW w:w="560" w:type="dxa"/>
            <w:vAlign w:val="center"/>
          </w:tcPr>
          <w:p>
            <w:pPr>
              <w:jc w:val="center"/>
            </w:pPr>
            <w:r>
              <w:rPr>
                <w:rFonts w:ascii="宋体" w:hAnsi="宋体" w:eastAsia="宋体" w:cs="宋体"/>
                <w:b w:val="0"/>
                <w:i w:val="0"/>
                <w:color w:val="000000"/>
                <w:sz w:val="21"/>
              </w:rPr>
              <w:t>52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二十二、灾害防治及应急管理支出</w:t>
            </w:r>
          </w:p>
        </w:tc>
        <w:tc>
          <w:tcPr>
            <w:tcW w:w="560" w:type="dxa"/>
            <w:vAlign w:val="center"/>
          </w:tcPr>
          <w:p>
            <w:pPr>
              <w:jc w:val="center"/>
            </w:pPr>
            <w:r>
              <w:rPr>
                <w:rFonts w:ascii="宋体" w:hAnsi="宋体" w:eastAsia="宋体" w:cs="宋体"/>
                <w:b w:val="0"/>
                <w:i w:val="0"/>
                <w:color w:val="000000"/>
                <w:sz w:val="21"/>
              </w:rPr>
              <w:t>53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二十三、其他支出</w:t>
            </w:r>
          </w:p>
        </w:tc>
        <w:tc>
          <w:tcPr>
            <w:tcW w:w="560" w:type="dxa"/>
            <w:vAlign w:val="center"/>
          </w:tcPr>
          <w:p>
            <w:pPr>
              <w:jc w:val="center"/>
            </w:pPr>
            <w:r>
              <w:rPr>
                <w:rFonts w:ascii="宋体" w:hAnsi="宋体" w:eastAsia="宋体" w:cs="宋体"/>
                <w:b w:val="0"/>
                <w:i w:val="0"/>
                <w:color w:val="000000"/>
                <w:sz w:val="21"/>
              </w:rPr>
              <w:t>54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二十四、债务还本支出</w:t>
            </w:r>
          </w:p>
        </w:tc>
        <w:tc>
          <w:tcPr>
            <w:tcW w:w="560" w:type="dxa"/>
            <w:vAlign w:val="center"/>
          </w:tcPr>
          <w:p>
            <w:pPr>
              <w:jc w:val="center"/>
            </w:pPr>
            <w:r>
              <w:rPr>
                <w:rFonts w:ascii="宋体" w:hAnsi="宋体" w:eastAsia="宋体" w:cs="宋体"/>
                <w:b w:val="0"/>
                <w:i w:val="0"/>
                <w:color w:val="000000"/>
                <w:sz w:val="21"/>
              </w:rPr>
              <w:t>55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二十五、债务付息支出</w:t>
            </w:r>
          </w:p>
        </w:tc>
        <w:tc>
          <w:tcPr>
            <w:tcW w:w="560" w:type="dxa"/>
            <w:vAlign w:val="center"/>
          </w:tcPr>
          <w:p>
            <w:pPr>
              <w:jc w:val="center"/>
            </w:pPr>
            <w:r>
              <w:rPr>
                <w:rFonts w:ascii="宋体" w:hAnsi="宋体" w:eastAsia="宋体" w:cs="宋体"/>
                <w:b w:val="0"/>
                <w:i w:val="0"/>
                <w:color w:val="000000"/>
                <w:sz w:val="21"/>
              </w:rPr>
              <w:t>56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二十六、抗疫特别国债安排的支出</w:t>
            </w:r>
          </w:p>
        </w:tc>
        <w:tc>
          <w:tcPr>
            <w:tcW w:w="560" w:type="dxa"/>
            <w:vAlign w:val="center"/>
          </w:tcPr>
          <w:p>
            <w:pPr>
              <w:jc w:val="center"/>
            </w:pPr>
            <w:r>
              <w:rPr>
                <w:rFonts w:ascii="宋体" w:hAnsi="宋体" w:eastAsia="宋体" w:cs="宋体"/>
                <w:b w:val="0"/>
                <w:i w:val="0"/>
                <w:color w:val="000000"/>
                <w:sz w:val="21"/>
              </w:rPr>
              <w:t>57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本年收入合计</w:t>
            </w:r>
          </w:p>
        </w:tc>
        <w:tc>
          <w:tcPr>
            <w:tcW w:w="560" w:type="dxa"/>
            <w:vAlign w:val="center"/>
          </w:tcPr>
          <w:p>
            <w:pPr>
              <w:jc w:val="center"/>
            </w:pPr>
            <w:r>
              <w:rPr>
                <w:rFonts w:ascii="宋体" w:hAnsi="宋体" w:eastAsia="宋体" w:cs="宋体"/>
                <w:b w:val="0"/>
                <w:i w:val="0"/>
                <w:color w:val="000000"/>
                <w:sz w:val="21"/>
              </w:rPr>
              <w:t>27</w:t>
            </w:r>
          </w:p>
        </w:tc>
        <w:tc>
          <w:tcPr>
            <w:tcW w:w="2240" w:type="dxa"/>
            <w:vAlign w:val="center"/>
          </w:tcPr>
          <w:p>
            <w:pPr>
              <w:jc w:val="right"/>
            </w:pPr>
            <w:r>
              <w:rPr>
                <w:rFonts w:ascii="宋体" w:hAnsi="宋体" w:eastAsia="宋体" w:cs="宋体"/>
                <w:b w:val="0"/>
                <w:i w:val="0"/>
                <w:color w:val="000000"/>
                <w:sz w:val="21"/>
              </w:rPr>
              <w:t>1,566.17</w:t>
            </w:r>
          </w:p>
        </w:tc>
        <w:tc>
          <w:tcPr>
            <w:tcW w:w="4180" w:type="dxa"/>
            <w:vAlign w:val="center"/>
          </w:tcPr>
          <w:p>
            <w:pPr>
              <w:jc w:val="center"/>
            </w:pPr>
            <w:r>
              <w:rPr>
                <w:rFonts w:ascii="宋体" w:hAnsi="宋体" w:eastAsia="宋体" w:cs="宋体"/>
                <w:b/>
                <w:i w:val="0"/>
                <w:color w:val="000000"/>
                <w:sz w:val="21"/>
              </w:rPr>
              <w:t>本年支出合计</w:t>
            </w:r>
          </w:p>
        </w:tc>
        <w:tc>
          <w:tcPr>
            <w:tcW w:w="560" w:type="dxa"/>
            <w:vAlign w:val="center"/>
          </w:tcPr>
          <w:p>
            <w:pPr>
              <w:jc w:val="center"/>
            </w:pPr>
            <w:r>
              <w:rPr>
                <w:rFonts w:ascii="宋体" w:hAnsi="宋体" w:eastAsia="宋体" w:cs="宋体"/>
                <w:b w:val="0"/>
                <w:i w:val="0"/>
                <w:color w:val="000000"/>
                <w:sz w:val="21"/>
              </w:rPr>
              <w:t>58</w:t>
            </w:r>
          </w:p>
        </w:tc>
        <w:tc>
          <w:tcPr>
            <w:tcW w:w="2238" w:type="dxa"/>
            <w:vAlign w:val="center"/>
          </w:tcPr>
          <w:p>
            <w:pPr>
              <w:jc w:val="right"/>
            </w:pPr>
            <w:r>
              <w:rPr>
                <w:rFonts w:ascii="宋体" w:hAnsi="宋体" w:eastAsia="宋体" w:cs="宋体"/>
                <w:b w:val="0"/>
                <w:i w:val="0"/>
                <w:color w:val="000000"/>
                <w:sz w:val="21"/>
              </w:rPr>
              <w:t>1,566.17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使用非财政拨款结余和专用结余</w:t>
            </w:r>
          </w:p>
        </w:tc>
        <w:tc>
          <w:tcPr>
            <w:tcW w:w="560" w:type="dxa"/>
            <w:vAlign w:val="center"/>
          </w:tcPr>
          <w:p>
            <w:pPr>
              <w:jc w:val="center"/>
            </w:pPr>
            <w:r>
              <w:rPr>
                <w:rFonts w:ascii="宋体" w:hAnsi="宋体" w:eastAsia="宋体" w:cs="宋体"/>
                <w:b w:val="0"/>
                <w:i w:val="0"/>
                <w:color w:val="000000"/>
                <w:sz w:val="21"/>
              </w:rPr>
              <w:t>28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结余分配</w:t>
            </w:r>
          </w:p>
        </w:tc>
        <w:tc>
          <w:tcPr>
            <w:tcW w:w="560" w:type="dxa"/>
            <w:vAlign w:val="center"/>
          </w:tcPr>
          <w:p>
            <w:pPr>
              <w:jc w:val="center"/>
            </w:pPr>
            <w:r>
              <w:rPr>
                <w:rFonts w:ascii="宋体" w:hAnsi="宋体" w:eastAsia="宋体" w:cs="宋体"/>
                <w:b w:val="0"/>
                <w:i w:val="0"/>
                <w:color w:val="000000"/>
                <w:sz w:val="21"/>
              </w:rPr>
              <w:t>59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6" w:hRule="exact"/>
          <w:jc w:val="center"/>
        </w:trPr>
        <w:tc>
          <w:tcPr>
            <w:tcW w:w="4180" w:type="dxa"/>
            <w:vAlign w:val="center"/>
          </w:tcPr>
          <w:p>
            <w:pPr>
              <w:jc w:val="left"/>
            </w:pPr>
            <w:r>
              <w:rPr>
                <w:rFonts w:ascii="宋体" w:hAnsi="宋体" w:eastAsia="宋体" w:cs="宋体"/>
                <w:b w:val="0"/>
                <w:i w:val="0"/>
                <w:color w:val="000000"/>
                <w:sz w:val="21"/>
              </w:rPr>
              <w:t>年初结转和结余</w:t>
            </w:r>
          </w:p>
        </w:tc>
        <w:tc>
          <w:tcPr>
            <w:tcW w:w="560" w:type="dxa"/>
            <w:vAlign w:val="center"/>
          </w:tcPr>
          <w:p>
            <w:pPr>
              <w:jc w:val="center"/>
            </w:pPr>
            <w:r>
              <w:rPr>
                <w:rFonts w:ascii="宋体" w:hAnsi="宋体" w:eastAsia="宋体" w:cs="宋体"/>
                <w:b w:val="0"/>
                <w:i w:val="0"/>
                <w:color w:val="000000"/>
                <w:sz w:val="21"/>
              </w:rPr>
              <w:t>29</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年末结转和结余</w:t>
            </w:r>
          </w:p>
        </w:tc>
        <w:tc>
          <w:tcPr>
            <w:tcW w:w="560" w:type="dxa"/>
            <w:vAlign w:val="center"/>
          </w:tcPr>
          <w:p>
            <w:pPr>
              <w:jc w:val="center"/>
            </w:pPr>
            <w:r>
              <w:rPr>
                <w:rFonts w:ascii="宋体" w:hAnsi="宋体" w:eastAsia="宋体" w:cs="宋体"/>
                <w:b w:val="0"/>
                <w:i w:val="0"/>
                <w:color w:val="000000"/>
                <w:sz w:val="21"/>
              </w:rPr>
              <w:t>60</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30</w:t>
            </w:r>
          </w:p>
        </w:tc>
        <w:tc>
          <w:tcPr>
            <w:tcW w:w="2240" w:type="dxa"/>
            <w:vAlign w:val="center"/>
          </w:tcPr>
          <w:p/>
        </w:tc>
        <w:tc>
          <w:tcPr>
            <w:tcW w:w="4180" w:type="dxa"/>
            <w:vAlign w:val="center"/>
          </w:tcPr>
          <w:p/>
        </w:tc>
        <w:tc>
          <w:tcPr>
            <w:tcW w:w="560" w:type="dxa"/>
            <w:vAlign w:val="center"/>
          </w:tcPr>
          <w:p>
            <w:pPr>
              <w:jc w:val="center"/>
            </w:pPr>
            <w:r>
              <w:rPr>
                <w:rFonts w:ascii="宋体" w:hAnsi="宋体" w:eastAsia="宋体" w:cs="宋体"/>
                <w:b w:val="0"/>
                <w:i w:val="0"/>
                <w:color w:val="000000"/>
                <w:sz w:val="21"/>
              </w:rPr>
              <w:t>61</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31</w:t>
            </w:r>
          </w:p>
        </w:tc>
        <w:tc>
          <w:tcPr>
            <w:tcW w:w="2240" w:type="dxa"/>
            <w:vAlign w:val="center"/>
          </w:tcPr>
          <w:p>
            <w:pPr>
              <w:jc w:val="right"/>
            </w:pPr>
            <w:r>
              <w:rPr>
                <w:rFonts w:ascii="宋体" w:hAnsi="宋体" w:eastAsia="宋体" w:cs="宋体"/>
                <w:b w:val="0"/>
                <w:i w:val="0"/>
                <w:color w:val="000000"/>
                <w:sz w:val="21"/>
              </w:rPr>
              <w:t>1,566.17</w:t>
            </w:r>
          </w:p>
        </w:tc>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62</w:t>
            </w:r>
          </w:p>
        </w:tc>
        <w:tc>
          <w:tcPr>
            <w:tcW w:w="2238" w:type="dxa"/>
            <w:vAlign w:val="center"/>
          </w:tcPr>
          <w:p>
            <w:pPr>
              <w:jc w:val="right"/>
            </w:pPr>
            <w:r>
              <w:rPr>
                <w:rFonts w:ascii="宋体" w:hAnsi="宋体" w:eastAsia="宋体" w:cs="宋体"/>
                <w:b w:val="0"/>
                <w:i w:val="0"/>
                <w:color w:val="000000"/>
                <w:sz w:val="21"/>
              </w:rPr>
              <w:t>1,566.17</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单位：许昌市机关事务中心（本级）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1,566.17</w:t>
            </w:r>
          </w:p>
        </w:tc>
        <w:tc>
          <w:tcPr>
            <w:tcW w:w="1440" w:type="dxa"/>
            <w:vAlign w:val="center"/>
          </w:tcPr>
          <w:p>
            <w:pPr>
              <w:jc w:val="right"/>
            </w:pPr>
            <w:r>
              <w:rPr>
                <w:rFonts w:ascii="宋体" w:hAnsi="宋体" w:eastAsia="宋体" w:cs="宋体"/>
                <w:b/>
                <w:i w:val="0"/>
                <w:color w:val="000000"/>
                <w:sz w:val="17"/>
              </w:rPr>
              <w:t>1,566.17</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398" w:type="dxa"/>
            <w:vAlign w:val="center"/>
          </w:tcPr>
          <w:p>
            <w:pPr>
              <w:jc w:val="right"/>
            </w:pPr>
            <w:r>
              <w:rPr>
                <w:rFonts w:ascii="宋体" w:hAnsi="宋体" w:eastAsia="宋体" w:cs="宋体"/>
                <w:b/>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1,423.45</w:t>
            </w:r>
          </w:p>
        </w:tc>
        <w:tc>
          <w:tcPr>
            <w:tcW w:w="1440" w:type="dxa"/>
            <w:vAlign w:val="center"/>
          </w:tcPr>
          <w:p>
            <w:pPr>
              <w:jc w:val="right"/>
            </w:pPr>
            <w:r>
              <w:rPr>
                <w:rFonts w:ascii="宋体" w:hAnsi="宋体" w:eastAsia="宋体" w:cs="宋体"/>
                <w:b w:val="0"/>
                <w:i w:val="0"/>
                <w:color w:val="000000"/>
                <w:sz w:val="17"/>
              </w:rPr>
              <w:t>1,423.45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20101</w:t>
            </w:r>
          </w:p>
        </w:tc>
        <w:tc>
          <w:tcPr>
            <w:tcW w:w="3140" w:type="dxa"/>
            <w:vAlign w:val="center"/>
          </w:tcPr>
          <w:p>
            <w:pPr>
              <w:jc w:val="left"/>
            </w:pPr>
            <w:r>
              <w:rPr>
                <w:rFonts w:ascii="宋体" w:hAnsi="宋体" w:eastAsia="宋体" w:cs="宋体"/>
                <w:b w:val="0"/>
                <w:i w:val="0"/>
                <w:color w:val="000000"/>
                <w:sz w:val="17"/>
              </w:rPr>
              <w:t>人大事务</w:t>
            </w:r>
          </w:p>
        </w:tc>
        <w:tc>
          <w:tcPr>
            <w:tcW w:w="1440" w:type="dxa"/>
            <w:vAlign w:val="center"/>
          </w:tcPr>
          <w:p>
            <w:pPr>
              <w:jc w:val="right"/>
            </w:pPr>
            <w:r>
              <w:rPr>
                <w:rFonts w:ascii="宋体" w:hAnsi="宋体" w:eastAsia="宋体" w:cs="宋体"/>
                <w:b w:val="0"/>
                <w:i w:val="0"/>
                <w:color w:val="000000"/>
                <w:sz w:val="17"/>
              </w:rPr>
              <w:t>30.02</w:t>
            </w:r>
          </w:p>
        </w:tc>
        <w:tc>
          <w:tcPr>
            <w:tcW w:w="1440" w:type="dxa"/>
            <w:vAlign w:val="center"/>
          </w:tcPr>
          <w:p>
            <w:pPr>
              <w:jc w:val="right"/>
            </w:pPr>
            <w:r>
              <w:rPr>
                <w:rFonts w:ascii="宋体" w:hAnsi="宋体" w:eastAsia="宋体" w:cs="宋体"/>
                <w:b w:val="0"/>
                <w:i w:val="0"/>
                <w:color w:val="000000"/>
                <w:sz w:val="17"/>
              </w:rPr>
              <w:t>30.02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2010103</w:t>
            </w:r>
          </w:p>
        </w:tc>
        <w:tc>
          <w:tcPr>
            <w:tcW w:w="3140" w:type="dxa"/>
            <w:vAlign w:val="center"/>
          </w:tcPr>
          <w:p>
            <w:pPr>
              <w:jc w:val="left"/>
            </w:pPr>
            <w:r>
              <w:rPr>
                <w:rFonts w:ascii="宋体" w:hAnsi="宋体" w:eastAsia="宋体" w:cs="宋体"/>
                <w:b w:val="0"/>
                <w:i w:val="0"/>
                <w:color w:val="000000"/>
                <w:sz w:val="17"/>
              </w:rPr>
              <w:t>机关服务</w:t>
            </w:r>
          </w:p>
        </w:tc>
        <w:tc>
          <w:tcPr>
            <w:tcW w:w="1440" w:type="dxa"/>
            <w:vAlign w:val="center"/>
          </w:tcPr>
          <w:p>
            <w:pPr>
              <w:jc w:val="right"/>
            </w:pPr>
            <w:r>
              <w:rPr>
                <w:rFonts w:ascii="宋体" w:hAnsi="宋体" w:eastAsia="宋体" w:cs="宋体"/>
                <w:b w:val="0"/>
                <w:i w:val="0"/>
                <w:color w:val="000000"/>
                <w:sz w:val="17"/>
              </w:rPr>
              <w:t>30.02</w:t>
            </w:r>
          </w:p>
        </w:tc>
        <w:tc>
          <w:tcPr>
            <w:tcW w:w="1440" w:type="dxa"/>
            <w:vAlign w:val="center"/>
          </w:tcPr>
          <w:p>
            <w:pPr>
              <w:jc w:val="right"/>
            </w:pPr>
            <w:r>
              <w:rPr>
                <w:rFonts w:ascii="宋体" w:hAnsi="宋体" w:eastAsia="宋体" w:cs="宋体"/>
                <w:b w:val="0"/>
                <w:i w:val="0"/>
                <w:color w:val="000000"/>
                <w:sz w:val="17"/>
              </w:rPr>
              <w:t>30.02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20103</w:t>
            </w:r>
          </w:p>
        </w:tc>
        <w:tc>
          <w:tcPr>
            <w:tcW w:w="3140" w:type="dxa"/>
            <w:vAlign w:val="center"/>
          </w:tcPr>
          <w:p>
            <w:pPr>
              <w:jc w:val="left"/>
            </w:pPr>
            <w:r>
              <w:rPr>
                <w:rFonts w:ascii="宋体" w:hAnsi="宋体" w:eastAsia="宋体" w:cs="宋体"/>
                <w:b w:val="0"/>
                <w:i w:val="0"/>
                <w:color w:val="000000"/>
                <w:sz w:val="17"/>
              </w:rPr>
              <w:t>政府办公厅（室）及相关机构事务</w:t>
            </w:r>
          </w:p>
        </w:tc>
        <w:tc>
          <w:tcPr>
            <w:tcW w:w="1440" w:type="dxa"/>
            <w:vAlign w:val="center"/>
          </w:tcPr>
          <w:p>
            <w:pPr>
              <w:jc w:val="right"/>
            </w:pPr>
            <w:r>
              <w:rPr>
                <w:rFonts w:ascii="宋体" w:hAnsi="宋体" w:eastAsia="宋体" w:cs="宋体"/>
                <w:b w:val="0"/>
                <w:i w:val="0"/>
                <w:color w:val="000000"/>
                <w:sz w:val="17"/>
              </w:rPr>
              <w:t>1,362.72</w:t>
            </w:r>
          </w:p>
        </w:tc>
        <w:tc>
          <w:tcPr>
            <w:tcW w:w="1440" w:type="dxa"/>
            <w:vAlign w:val="center"/>
          </w:tcPr>
          <w:p>
            <w:pPr>
              <w:jc w:val="right"/>
            </w:pPr>
            <w:r>
              <w:rPr>
                <w:rFonts w:ascii="宋体" w:hAnsi="宋体" w:eastAsia="宋体" w:cs="宋体"/>
                <w:b w:val="0"/>
                <w:i w:val="0"/>
                <w:color w:val="000000"/>
                <w:sz w:val="17"/>
              </w:rPr>
              <w:t>1,362.72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2010303</w:t>
            </w:r>
          </w:p>
        </w:tc>
        <w:tc>
          <w:tcPr>
            <w:tcW w:w="3140" w:type="dxa"/>
            <w:vAlign w:val="center"/>
          </w:tcPr>
          <w:p>
            <w:pPr>
              <w:jc w:val="left"/>
            </w:pPr>
            <w:r>
              <w:rPr>
                <w:rFonts w:ascii="宋体" w:hAnsi="宋体" w:eastAsia="宋体" w:cs="宋体"/>
                <w:b w:val="0"/>
                <w:i w:val="0"/>
                <w:color w:val="000000"/>
                <w:sz w:val="17"/>
              </w:rPr>
              <w:t>机关服务</w:t>
            </w:r>
          </w:p>
        </w:tc>
        <w:tc>
          <w:tcPr>
            <w:tcW w:w="1440" w:type="dxa"/>
            <w:vAlign w:val="center"/>
          </w:tcPr>
          <w:p>
            <w:pPr>
              <w:jc w:val="right"/>
            </w:pPr>
            <w:r>
              <w:rPr>
                <w:rFonts w:ascii="宋体" w:hAnsi="宋体" w:eastAsia="宋体" w:cs="宋体"/>
                <w:b w:val="0"/>
                <w:i w:val="0"/>
                <w:color w:val="000000"/>
                <w:sz w:val="17"/>
              </w:rPr>
              <w:t>1,362.72</w:t>
            </w:r>
          </w:p>
        </w:tc>
        <w:tc>
          <w:tcPr>
            <w:tcW w:w="1440" w:type="dxa"/>
            <w:vAlign w:val="center"/>
          </w:tcPr>
          <w:p>
            <w:pPr>
              <w:jc w:val="right"/>
            </w:pPr>
            <w:r>
              <w:rPr>
                <w:rFonts w:ascii="宋体" w:hAnsi="宋体" w:eastAsia="宋体" w:cs="宋体"/>
                <w:b w:val="0"/>
                <w:i w:val="0"/>
                <w:color w:val="000000"/>
                <w:sz w:val="17"/>
              </w:rPr>
              <w:t>1,362.72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3.19</w:t>
            </w:r>
          </w:p>
        </w:tc>
        <w:tc>
          <w:tcPr>
            <w:tcW w:w="1440" w:type="dxa"/>
            <w:vAlign w:val="center"/>
          </w:tcPr>
          <w:p>
            <w:pPr>
              <w:jc w:val="right"/>
            </w:pPr>
            <w:r>
              <w:rPr>
                <w:rFonts w:ascii="宋体" w:hAnsi="宋体" w:eastAsia="宋体" w:cs="宋体"/>
                <w:b w:val="0"/>
                <w:i w:val="0"/>
                <w:color w:val="000000"/>
                <w:sz w:val="17"/>
              </w:rPr>
              <w:t>3.19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3.19</w:t>
            </w:r>
          </w:p>
        </w:tc>
        <w:tc>
          <w:tcPr>
            <w:tcW w:w="1440" w:type="dxa"/>
            <w:vAlign w:val="center"/>
          </w:tcPr>
          <w:p>
            <w:pPr>
              <w:jc w:val="right"/>
            </w:pPr>
            <w:r>
              <w:rPr>
                <w:rFonts w:ascii="宋体" w:hAnsi="宋体" w:eastAsia="宋体" w:cs="宋体"/>
                <w:b w:val="0"/>
                <w:i w:val="0"/>
                <w:color w:val="000000"/>
                <w:sz w:val="17"/>
              </w:rPr>
              <w:t>3.19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27.52</w:t>
            </w:r>
          </w:p>
        </w:tc>
        <w:tc>
          <w:tcPr>
            <w:tcW w:w="1440" w:type="dxa"/>
            <w:vAlign w:val="center"/>
          </w:tcPr>
          <w:p>
            <w:pPr>
              <w:jc w:val="right"/>
            </w:pPr>
            <w:r>
              <w:rPr>
                <w:rFonts w:ascii="宋体" w:hAnsi="宋体" w:eastAsia="宋体" w:cs="宋体"/>
                <w:b w:val="0"/>
                <w:i w:val="0"/>
                <w:color w:val="000000"/>
                <w:sz w:val="17"/>
              </w:rPr>
              <w:t>27.52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27.52</w:t>
            </w:r>
          </w:p>
        </w:tc>
        <w:tc>
          <w:tcPr>
            <w:tcW w:w="1440" w:type="dxa"/>
            <w:vAlign w:val="center"/>
          </w:tcPr>
          <w:p>
            <w:pPr>
              <w:jc w:val="right"/>
            </w:pPr>
            <w:r>
              <w:rPr>
                <w:rFonts w:ascii="宋体" w:hAnsi="宋体" w:eastAsia="宋体" w:cs="宋体"/>
                <w:b w:val="0"/>
                <w:i w:val="0"/>
                <w:color w:val="000000"/>
                <w:sz w:val="17"/>
              </w:rPr>
              <w:t>27.52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71.52</w:t>
            </w:r>
          </w:p>
        </w:tc>
        <w:tc>
          <w:tcPr>
            <w:tcW w:w="1440" w:type="dxa"/>
            <w:vAlign w:val="center"/>
          </w:tcPr>
          <w:p>
            <w:pPr>
              <w:jc w:val="right"/>
            </w:pPr>
            <w:r>
              <w:rPr>
                <w:rFonts w:ascii="宋体" w:hAnsi="宋体" w:eastAsia="宋体" w:cs="宋体"/>
                <w:b w:val="0"/>
                <w:i w:val="0"/>
                <w:color w:val="000000"/>
                <w:sz w:val="17"/>
              </w:rPr>
              <w:t>71.52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71.52</w:t>
            </w:r>
          </w:p>
        </w:tc>
        <w:tc>
          <w:tcPr>
            <w:tcW w:w="1440" w:type="dxa"/>
            <w:vAlign w:val="center"/>
          </w:tcPr>
          <w:p>
            <w:pPr>
              <w:jc w:val="right"/>
            </w:pPr>
            <w:r>
              <w:rPr>
                <w:rFonts w:ascii="宋体" w:hAnsi="宋体" w:eastAsia="宋体" w:cs="宋体"/>
                <w:b w:val="0"/>
                <w:i w:val="0"/>
                <w:color w:val="000000"/>
                <w:sz w:val="17"/>
              </w:rPr>
              <w:t>71.52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37.89</w:t>
            </w:r>
          </w:p>
        </w:tc>
        <w:tc>
          <w:tcPr>
            <w:tcW w:w="1440" w:type="dxa"/>
            <w:vAlign w:val="center"/>
          </w:tcPr>
          <w:p>
            <w:pPr>
              <w:jc w:val="right"/>
            </w:pPr>
            <w:r>
              <w:rPr>
                <w:rFonts w:ascii="宋体" w:hAnsi="宋体" w:eastAsia="宋体" w:cs="宋体"/>
                <w:b w:val="0"/>
                <w:i w:val="0"/>
                <w:color w:val="000000"/>
                <w:sz w:val="17"/>
              </w:rPr>
              <w:t>37.89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33.63</w:t>
            </w:r>
          </w:p>
        </w:tc>
        <w:tc>
          <w:tcPr>
            <w:tcW w:w="1440" w:type="dxa"/>
            <w:vAlign w:val="center"/>
          </w:tcPr>
          <w:p>
            <w:pPr>
              <w:jc w:val="right"/>
            </w:pPr>
            <w:r>
              <w:rPr>
                <w:rFonts w:ascii="宋体" w:hAnsi="宋体" w:eastAsia="宋体" w:cs="宋体"/>
                <w:b w:val="0"/>
                <w:i w:val="0"/>
                <w:color w:val="000000"/>
                <w:sz w:val="17"/>
              </w:rPr>
              <w:t>33.63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35.96</w:t>
            </w:r>
          </w:p>
        </w:tc>
        <w:tc>
          <w:tcPr>
            <w:tcW w:w="1440" w:type="dxa"/>
            <w:vAlign w:val="center"/>
          </w:tcPr>
          <w:p>
            <w:pPr>
              <w:jc w:val="right"/>
            </w:pPr>
            <w:r>
              <w:rPr>
                <w:rFonts w:ascii="宋体" w:hAnsi="宋体" w:eastAsia="宋体" w:cs="宋体"/>
                <w:b w:val="0"/>
                <w:i w:val="0"/>
                <w:color w:val="000000"/>
                <w:sz w:val="17"/>
              </w:rPr>
              <w:t>35.96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35.96</w:t>
            </w:r>
          </w:p>
        </w:tc>
        <w:tc>
          <w:tcPr>
            <w:tcW w:w="1440" w:type="dxa"/>
            <w:vAlign w:val="center"/>
          </w:tcPr>
          <w:p>
            <w:pPr>
              <w:jc w:val="right"/>
            </w:pPr>
            <w:r>
              <w:rPr>
                <w:rFonts w:ascii="宋体" w:hAnsi="宋体" w:eastAsia="宋体" w:cs="宋体"/>
                <w:b w:val="0"/>
                <w:i w:val="0"/>
                <w:color w:val="000000"/>
                <w:sz w:val="17"/>
              </w:rPr>
              <w:t>35.96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17.45</w:t>
            </w:r>
          </w:p>
        </w:tc>
        <w:tc>
          <w:tcPr>
            <w:tcW w:w="1440" w:type="dxa"/>
            <w:vAlign w:val="center"/>
          </w:tcPr>
          <w:p>
            <w:pPr>
              <w:jc w:val="right"/>
            </w:pPr>
            <w:r>
              <w:rPr>
                <w:rFonts w:ascii="宋体" w:hAnsi="宋体" w:eastAsia="宋体" w:cs="宋体"/>
                <w:b w:val="0"/>
                <w:i w:val="0"/>
                <w:color w:val="000000"/>
                <w:sz w:val="17"/>
              </w:rPr>
              <w:t>17.45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18.51</w:t>
            </w:r>
          </w:p>
        </w:tc>
        <w:tc>
          <w:tcPr>
            <w:tcW w:w="1440" w:type="dxa"/>
            <w:vAlign w:val="center"/>
          </w:tcPr>
          <w:p>
            <w:pPr>
              <w:jc w:val="right"/>
            </w:pPr>
            <w:r>
              <w:rPr>
                <w:rFonts w:ascii="宋体" w:hAnsi="宋体" w:eastAsia="宋体" w:cs="宋体"/>
                <w:b w:val="0"/>
                <w:i w:val="0"/>
                <w:color w:val="000000"/>
                <w:sz w:val="17"/>
              </w:rPr>
              <w:t>18.51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w:t>
            </w:r>
          </w:p>
        </w:tc>
        <w:tc>
          <w:tcPr>
            <w:tcW w:w="3140" w:type="dxa"/>
            <w:vAlign w:val="center"/>
          </w:tcPr>
          <w:p>
            <w:pPr>
              <w:jc w:val="left"/>
            </w:pPr>
            <w:r>
              <w:rPr>
                <w:rFonts w:ascii="宋体" w:hAnsi="宋体" w:eastAsia="宋体" w:cs="宋体"/>
                <w:b w:val="0"/>
                <w:i w:val="0"/>
                <w:color w:val="000000"/>
                <w:sz w:val="17"/>
              </w:rPr>
              <w:t>农林水支出</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w:t>
            </w:r>
          </w:p>
        </w:tc>
        <w:tc>
          <w:tcPr>
            <w:tcW w:w="3140" w:type="dxa"/>
            <w:vAlign w:val="center"/>
          </w:tcPr>
          <w:p>
            <w:pPr>
              <w:jc w:val="left"/>
            </w:pPr>
            <w:r>
              <w:rPr>
                <w:rFonts w:ascii="宋体" w:hAnsi="宋体" w:eastAsia="宋体" w:cs="宋体"/>
                <w:b w:val="0"/>
                <w:i w:val="0"/>
                <w:color w:val="000000"/>
                <w:sz w:val="17"/>
              </w:rPr>
              <w:t>巩固脱贫攻坚成果衔接乡村振兴</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32.99</w:t>
            </w:r>
          </w:p>
        </w:tc>
        <w:tc>
          <w:tcPr>
            <w:tcW w:w="1440" w:type="dxa"/>
            <w:vAlign w:val="center"/>
          </w:tcPr>
          <w:p>
            <w:pPr>
              <w:jc w:val="right"/>
            </w:pPr>
            <w:r>
              <w:rPr>
                <w:rFonts w:ascii="宋体" w:hAnsi="宋体" w:eastAsia="宋体" w:cs="宋体"/>
                <w:b w:val="0"/>
                <w:i w:val="0"/>
                <w:color w:val="000000"/>
                <w:sz w:val="17"/>
              </w:rPr>
              <w:t>32.99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32.99</w:t>
            </w:r>
          </w:p>
        </w:tc>
        <w:tc>
          <w:tcPr>
            <w:tcW w:w="1440" w:type="dxa"/>
            <w:vAlign w:val="center"/>
          </w:tcPr>
          <w:p>
            <w:pPr>
              <w:jc w:val="right"/>
            </w:pPr>
            <w:r>
              <w:rPr>
                <w:rFonts w:ascii="宋体" w:hAnsi="宋体" w:eastAsia="宋体" w:cs="宋体"/>
                <w:b w:val="0"/>
                <w:i w:val="0"/>
                <w:color w:val="000000"/>
                <w:sz w:val="17"/>
              </w:rPr>
              <w:t>32.99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32.99</w:t>
            </w:r>
          </w:p>
        </w:tc>
        <w:tc>
          <w:tcPr>
            <w:tcW w:w="1440" w:type="dxa"/>
            <w:vAlign w:val="center"/>
          </w:tcPr>
          <w:p>
            <w:pPr>
              <w:jc w:val="right"/>
            </w:pPr>
            <w:r>
              <w:rPr>
                <w:rFonts w:ascii="宋体" w:hAnsi="宋体" w:eastAsia="宋体" w:cs="宋体"/>
                <w:b w:val="0"/>
                <w:i w:val="0"/>
                <w:color w:val="000000"/>
                <w:sz w:val="17"/>
              </w:rPr>
              <w:t>32.99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单位：许昌市机关事务中心（本级）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1,566.17</w:t>
            </w:r>
          </w:p>
        </w:tc>
        <w:tc>
          <w:tcPr>
            <w:tcW w:w="1600" w:type="dxa"/>
            <w:vAlign w:val="center"/>
          </w:tcPr>
          <w:p>
            <w:pPr>
              <w:jc w:val="right"/>
            </w:pPr>
            <w:r>
              <w:rPr>
                <w:rFonts w:ascii="宋体" w:hAnsi="宋体" w:eastAsia="宋体" w:cs="宋体"/>
                <w:b/>
                <w:i w:val="0"/>
                <w:color w:val="000000"/>
                <w:sz w:val="19"/>
              </w:rPr>
              <w:t>729.20</w:t>
            </w:r>
          </w:p>
        </w:tc>
        <w:tc>
          <w:tcPr>
            <w:tcW w:w="1600" w:type="dxa"/>
            <w:vAlign w:val="center"/>
          </w:tcPr>
          <w:p>
            <w:pPr>
              <w:jc w:val="right"/>
            </w:pPr>
            <w:r>
              <w:rPr>
                <w:rFonts w:ascii="宋体" w:hAnsi="宋体" w:eastAsia="宋体" w:cs="宋体"/>
                <w:b/>
                <w:i w:val="0"/>
                <w:color w:val="000000"/>
                <w:sz w:val="19"/>
              </w:rPr>
              <w:t>836.96</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578" w:type="dxa"/>
            <w:vAlign w:val="center"/>
          </w:tcPr>
          <w:p>
            <w:pPr>
              <w:jc w:val="right"/>
            </w:pPr>
            <w:r>
              <w:rPr>
                <w:rFonts w:ascii="宋体" w:hAnsi="宋体" w:eastAsia="宋体" w:cs="宋体"/>
                <w:b/>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1,423.45</w:t>
            </w:r>
          </w:p>
        </w:tc>
        <w:tc>
          <w:tcPr>
            <w:tcW w:w="1600" w:type="dxa"/>
            <w:vAlign w:val="center"/>
          </w:tcPr>
          <w:p>
            <w:pPr>
              <w:jc w:val="right"/>
            </w:pPr>
            <w:r>
              <w:rPr>
                <w:rFonts w:ascii="宋体" w:hAnsi="宋体" w:eastAsia="宋体" w:cs="宋体"/>
                <w:b w:val="0"/>
                <w:i w:val="0"/>
                <w:color w:val="000000"/>
                <w:sz w:val="19"/>
              </w:rPr>
              <w:t>588.73</w:t>
            </w:r>
          </w:p>
        </w:tc>
        <w:tc>
          <w:tcPr>
            <w:tcW w:w="1600" w:type="dxa"/>
            <w:vAlign w:val="center"/>
          </w:tcPr>
          <w:p>
            <w:pPr>
              <w:jc w:val="right"/>
            </w:pPr>
            <w:r>
              <w:rPr>
                <w:rFonts w:ascii="宋体" w:hAnsi="宋体" w:eastAsia="宋体" w:cs="宋体"/>
                <w:b w:val="0"/>
                <w:i w:val="0"/>
                <w:color w:val="000000"/>
                <w:sz w:val="19"/>
              </w:rPr>
              <w:t>834.71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20101</w:t>
            </w:r>
          </w:p>
        </w:tc>
        <w:tc>
          <w:tcPr>
            <w:tcW w:w="3480" w:type="dxa"/>
            <w:vAlign w:val="center"/>
          </w:tcPr>
          <w:p>
            <w:pPr>
              <w:jc w:val="left"/>
            </w:pPr>
            <w:r>
              <w:rPr>
                <w:rFonts w:ascii="宋体" w:hAnsi="宋体" w:eastAsia="宋体" w:cs="宋体"/>
                <w:b w:val="0"/>
                <w:i w:val="0"/>
                <w:color w:val="000000"/>
                <w:sz w:val="19"/>
              </w:rPr>
              <w:t>人大事务</w:t>
            </w:r>
          </w:p>
        </w:tc>
        <w:tc>
          <w:tcPr>
            <w:tcW w:w="1600" w:type="dxa"/>
            <w:vAlign w:val="center"/>
          </w:tcPr>
          <w:p>
            <w:pPr>
              <w:jc w:val="right"/>
            </w:pPr>
            <w:r>
              <w:rPr>
                <w:rFonts w:ascii="宋体" w:hAnsi="宋体" w:eastAsia="宋体" w:cs="宋体"/>
                <w:b w:val="0"/>
                <w:i w:val="0"/>
                <w:color w:val="000000"/>
                <w:sz w:val="19"/>
              </w:rPr>
              <w:t>30.02</w:t>
            </w:r>
          </w:p>
        </w:tc>
        <w:tc>
          <w:tcPr>
            <w:tcW w:w="1600" w:type="dxa"/>
            <w:vAlign w:val="center"/>
          </w:tcPr>
          <w:p>
            <w:pPr>
              <w:jc w:val="right"/>
            </w:pPr>
            <w:r>
              <w:rPr>
                <w:rFonts w:ascii="宋体" w:hAnsi="宋体" w:eastAsia="宋体" w:cs="宋体"/>
                <w:b w:val="0"/>
                <w:i w:val="0"/>
                <w:color w:val="000000"/>
                <w:sz w:val="19"/>
              </w:rPr>
              <w:t>30.02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2010103</w:t>
            </w:r>
          </w:p>
        </w:tc>
        <w:tc>
          <w:tcPr>
            <w:tcW w:w="3480" w:type="dxa"/>
            <w:vAlign w:val="center"/>
          </w:tcPr>
          <w:p>
            <w:pPr>
              <w:jc w:val="left"/>
            </w:pPr>
            <w:r>
              <w:rPr>
                <w:rFonts w:ascii="宋体" w:hAnsi="宋体" w:eastAsia="宋体" w:cs="宋体"/>
                <w:b w:val="0"/>
                <w:i w:val="0"/>
                <w:color w:val="000000"/>
                <w:sz w:val="19"/>
              </w:rPr>
              <w:t>机关服务</w:t>
            </w:r>
          </w:p>
        </w:tc>
        <w:tc>
          <w:tcPr>
            <w:tcW w:w="1600" w:type="dxa"/>
            <w:vAlign w:val="center"/>
          </w:tcPr>
          <w:p>
            <w:pPr>
              <w:jc w:val="right"/>
            </w:pPr>
            <w:r>
              <w:rPr>
                <w:rFonts w:ascii="宋体" w:hAnsi="宋体" w:eastAsia="宋体" w:cs="宋体"/>
                <w:b w:val="0"/>
                <w:i w:val="0"/>
                <w:color w:val="000000"/>
                <w:sz w:val="19"/>
              </w:rPr>
              <w:t>30.02</w:t>
            </w:r>
          </w:p>
        </w:tc>
        <w:tc>
          <w:tcPr>
            <w:tcW w:w="1600" w:type="dxa"/>
            <w:vAlign w:val="center"/>
          </w:tcPr>
          <w:p>
            <w:pPr>
              <w:jc w:val="right"/>
            </w:pPr>
            <w:r>
              <w:rPr>
                <w:rFonts w:ascii="宋体" w:hAnsi="宋体" w:eastAsia="宋体" w:cs="宋体"/>
                <w:b w:val="0"/>
                <w:i w:val="0"/>
                <w:color w:val="000000"/>
                <w:sz w:val="19"/>
              </w:rPr>
              <w:t>30.02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20103</w:t>
            </w:r>
          </w:p>
        </w:tc>
        <w:tc>
          <w:tcPr>
            <w:tcW w:w="3480" w:type="dxa"/>
            <w:vAlign w:val="center"/>
          </w:tcPr>
          <w:p>
            <w:pPr>
              <w:jc w:val="left"/>
            </w:pPr>
            <w:r>
              <w:rPr>
                <w:rFonts w:ascii="宋体" w:hAnsi="宋体" w:eastAsia="宋体" w:cs="宋体"/>
                <w:b w:val="0"/>
                <w:i w:val="0"/>
                <w:color w:val="000000"/>
                <w:sz w:val="19"/>
              </w:rPr>
              <w:t>政府办公厅（室）及相关机构事务</w:t>
            </w:r>
          </w:p>
        </w:tc>
        <w:tc>
          <w:tcPr>
            <w:tcW w:w="1600" w:type="dxa"/>
            <w:vAlign w:val="center"/>
          </w:tcPr>
          <w:p>
            <w:pPr>
              <w:jc w:val="right"/>
            </w:pPr>
            <w:r>
              <w:rPr>
                <w:rFonts w:ascii="宋体" w:hAnsi="宋体" w:eastAsia="宋体" w:cs="宋体"/>
                <w:b w:val="0"/>
                <w:i w:val="0"/>
                <w:color w:val="000000"/>
                <w:sz w:val="19"/>
              </w:rPr>
              <w:t>1,362.72</w:t>
            </w:r>
          </w:p>
        </w:tc>
        <w:tc>
          <w:tcPr>
            <w:tcW w:w="1600" w:type="dxa"/>
            <w:vAlign w:val="center"/>
          </w:tcPr>
          <w:p>
            <w:pPr>
              <w:jc w:val="right"/>
            </w:pPr>
            <w:r>
              <w:rPr>
                <w:rFonts w:ascii="宋体" w:hAnsi="宋体" w:eastAsia="宋体" w:cs="宋体"/>
                <w:b w:val="0"/>
                <w:i w:val="0"/>
                <w:color w:val="000000"/>
                <w:sz w:val="19"/>
              </w:rPr>
              <w:t>528.00</w:t>
            </w:r>
          </w:p>
        </w:tc>
        <w:tc>
          <w:tcPr>
            <w:tcW w:w="1600" w:type="dxa"/>
            <w:vAlign w:val="center"/>
          </w:tcPr>
          <w:p>
            <w:pPr>
              <w:jc w:val="right"/>
            </w:pPr>
            <w:r>
              <w:rPr>
                <w:rFonts w:ascii="宋体" w:hAnsi="宋体" w:eastAsia="宋体" w:cs="宋体"/>
                <w:b w:val="0"/>
                <w:i w:val="0"/>
                <w:color w:val="000000"/>
                <w:sz w:val="19"/>
              </w:rPr>
              <w:t>834.71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2010303</w:t>
            </w:r>
          </w:p>
        </w:tc>
        <w:tc>
          <w:tcPr>
            <w:tcW w:w="3480" w:type="dxa"/>
            <w:vAlign w:val="center"/>
          </w:tcPr>
          <w:p>
            <w:pPr>
              <w:jc w:val="left"/>
            </w:pPr>
            <w:r>
              <w:rPr>
                <w:rFonts w:ascii="宋体" w:hAnsi="宋体" w:eastAsia="宋体" w:cs="宋体"/>
                <w:b w:val="0"/>
                <w:i w:val="0"/>
                <w:color w:val="000000"/>
                <w:sz w:val="19"/>
              </w:rPr>
              <w:t>机关服务</w:t>
            </w:r>
          </w:p>
        </w:tc>
        <w:tc>
          <w:tcPr>
            <w:tcW w:w="1600" w:type="dxa"/>
            <w:vAlign w:val="center"/>
          </w:tcPr>
          <w:p>
            <w:pPr>
              <w:jc w:val="right"/>
            </w:pPr>
            <w:r>
              <w:rPr>
                <w:rFonts w:ascii="宋体" w:hAnsi="宋体" w:eastAsia="宋体" w:cs="宋体"/>
                <w:b w:val="0"/>
                <w:i w:val="0"/>
                <w:color w:val="000000"/>
                <w:sz w:val="19"/>
              </w:rPr>
              <w:t>1,362.72</w:t>
            </w:r>
          </w:p>
        </w:tc>
        <w:tc>
          <w:tcPr>
            <w:tcW w:w="1600" w:type="dxa"/>
            <w:vAlign w:val="center"/>
          </w:tcPr>
          <w:p>
            <w:pPr>
              <w:jc w:val="right"/>
            </w:pPr>
            <w:r>
              <w:rPr>
                <w:rFonts w:ascii="宋体" w:hAnsi="宋体" w:eastAsia="宋体" w:cs="宋体"/>
                <w:b w:val="0"/>
                <w:i w:val="0"/>
                <w:color w:val="000000"/>
                <w:sz w:val="19"/>
              </w:rPr>
              <w:t>528.00</w:t>
            </w:r>
          </w:p>
        </w:tc>
        <w:tc>
          <w:tcPr>
            <w:tcW w:w="1600" w:type="dxa"/>
            <w:vAlign w:val="center"/>
          </w:tcPr>
          <w:p>
            <w:pPr>
              <w:jc w:val="right"/>
            </w:pPr>
            <w:r>
              <w:rPr>
                <w:rFonts w:ascii="宋体" w:hAnsi="宋体" w:eastAsia="宋体" w:cs="宋体"/>
                <w:b w:val="0"/>
                <w:i w:val="0"/>
                <w:color w:val="000000"/>
                <w:sz w:val="19"/>
              </w:rPr>
              <w:t>834.71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3.19</w:t>
            </w:r>
          </w:p>
        </w:tc>
        <w:tc>
          <w:tcPr>
            <w:tcW w:w="1600" w:type="dxa"/>
            <w:vAlign w:val="center"/>
          </w:tcPr>
          <w:p>
            <w:pPr>
              <w:jc w:val="right"/>
            </w:pPr>
            <w:r>
              <w:rPr>
                <w:rFonts w:ascii="宋体" w:hAnsi="宋体" w:eastAsia="宋体" w:cs="宋体"/>
                <w:b w:val="0"/>
                <w:i w:val="0"/>
                <w:color w:val="000000"/>
                <w:sz w:val="19"/>
              </w:rPr>
              <w:t>3.19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3.19</w:t>
            </w:r>
          </w:p>
        </w:tc>
        <w:tc>
          <w:tcPr>
            <w:tcW w:w="1600" w:type="dxa"/>
            <w:vAlign w:val="center"/>
          </w:tcPr>
          <w:p>
            <w:pPr>
              <w:jc w:val="right"/>
            </w:pPr>
            <w:r>
              <w:rPr>
                <w:rFonts w:ascii="宋体" w:hAnsi="宋体" w:eastAsia="宋体" w:cs="宋体"/>
                <w:b w:val="0"/>
                <w:i w:val="0"/>
                <w:color w:val="000000"/>
                <w:sz w:val="19"/>
              </w:rPr>
              <w:t>3.19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27.52</w:t>
            </w:r>
          </w:p>
        </w:tc>
        <w:tc>
          <w:tcPr>
            <w:tcW w:w="1600" w:type="dxa"/>
            <w:vAlign w:val="center"/>
          </w:tcPr>
          <w:p>
            <w:pPr>
              <w:jc w:val="right"/>
            </w:pPr>
            <w:r>
              <w:rPr>
                <w:rFonts w:ascii="宋体" w:hAnsi="宋体" w:eastAsia="宋体" w:cs="宋体"/>
                <w:b w:val="0"/>
                <w:i w:val="0"/>
                <w:color w:val="000000"/>
                <w:sz w:val="19"/>
              </w:rPr>
              <w:t>27.52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27.52</w:t>
            </w:r>
          </w:p>
        </w:tc>
        <w:tc>
          <w:tcPr>
            <w:tcW w:w="1600" w:type="dxa"/>
            <w:vAlign w:val="center"/>
          </w:tcPr>
          <w:p>
            <w:pPr>
              <w:jc w:val="right"/>
            </w:pPr>
            <w:r>
              <w:rPr>
                <w:rFonts w:ascii="宋体" w:hAnsi="宋体" w:eastAsia="宋体" w:cs="宋体"/>
                <w:b w:val="0"/>
                <w:i w:val="0"/>
                <w:color w:val="000000"/>
                <w:sz w:val="19"/>
              </w:rPr>
              <w:t>27.52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71.52</w:t>
            </w:r>
          </w:p>
        </w:tc>
        <w:tc>
          <w:tcPr>
            <w:tcW w:w="1600" w:type="dxa"/>
            <w:vAlign w:val="center"/>
          </w:tcPr>
          <w:p>
            <w:pPr>
              <w:jc w:val="right"/>
            </w:pPr>
            <w:r>
              <w:rPr>
                <w:rFonts w:ascii="宋体" w:hAnsi="宋体" w:eastAsia="宋体" w:cs="宋体"/>
                <w:b w:val="0"/>
                <w:i w:val="0"/>
                <w:color w:val="000000"/>
                <w:sz w:val="19"/>
              </w:rPr>
              <w:t>71.52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71.52</w:t>
            </w:r>
          </w:p>
        </w:tc>
        <w:tc>
          <w:tcPr>
            <w:tcW w:w="1600" w:type="dxa"/>
            <w:vAlign w:val="center"/>
          </w:tcPr>
          <w:p>
            <w:pPr>
              <w:jc w:val="right"/>
            </w:pPr>
            <w:r>
              <w:rPr>
                <w:rFonts w:ascii="宋体" w:hAnsi="宋体" w:eastAsia="宋体" w:cs="宋体"/>
                <w:b w:val="0"/>
                <w:i w:val="0"/>
                <w:color w:val="000000"/>
                <w:sz w:val="19"/>
              </w:rPr>
              <w:t>71.52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37.89</w:t>
            </w:r>
          </w:p>
        </w:tc>
        <w:tc>
          <w:tcPr>
            <w:tcW w:w="1600" w:type="dxa"/>
            <w:vAlign w:val="center"/>
          </w:tcPr>
          <w:p>
            <w:pPr>
              <w:jc w:val="right"/>
            </w:pPr>
            <w:r>
              <w:rPr>
                <w:rFonts w:ascii="宋体" w:hAnsi="宋体" w:eastAsia="宋体" w:cs="宋体"/>
                <w:b w:val="0"/>
                <w:i w:val="0"/>
                <w:color w:val="000000"/>
                <w:sz w:val="19"/>
              </w:rPr>
              <w:t>37.89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33.63</w:t>
            </w:r>
          </w:p>
        </w:tc>
        <w:tc>
          <w:tcPr>
            <w:tcW w:w="1600" w:type="dxa"/>
            <w:vAlign w:val="center"/>
          </w:tcPr>
          <w:p>
            <w:pPr>
              <w:jc w:val="right"/>
            </w:pPr>
            <w:r>
              <w:rPr>
                <w:rFonts w:ascii="宋体" w:hAnsi="宋体" w:eastAsia="宋体" w:cs="宋体"/>
                <w:b w:val="0"/>
                <w:i w:val="0"/>
                <w:color w:val="000000"/>
                <w:sz w:val="19"/>
              </w:rPr>
              <w:t>33.63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35.96</w:t>
            </w:r>
          </w:p>
        </w:tc>
        <w:tc>
          <w:tcPr>
            <w:tcW w:w="1600" w:type="dxa"/>
            <w:vAlign w:val="center"/>
          </w:tcPr>
          <w:p>
            <w:pPr>
              <w:jc w:val="right"/>
            </w:pPr>
            <w:r>
              <w:rPr>
                <w:rFonts w:ascii="宋体" w:hAnsi="宋体" w:eastAsia="宋体" w:cs="宋体"/>
                <w:b w:val="0"/>
                <w:i w:val="0"/>
                <w:color w:val="000000"/>
                <w:sz w:val="19"/>
              </w:rPr>
              <w:t>35.96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35.96</w:t>
            </w:r>
          </w:p>
        </w:tc>
        <w:tc>
          <w:tcPr>
            <w:tcW w:w="1600" w:type="dxa"/>
            <w:vAlign w:val="center"/>
          </w:tcPr>
          <w:p>
            <w:pPr>
              <w:jc w:val="right"/>
            </w:pPr>
            <w:r>
              <w:rPr>
                <w:rFonts w:ascii="宋体" w:hAnsi="宋体" w:eastAsia="宋体" w:cs="宋体"/>
                <w:b w:val="0"/>
                <w:i w:val="0"/>
                <w:color w:val="000000"/>
                <w:sz w:val="19"/>
              </w:rPr>
              <w:t>35.96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17.45</w:t>
            </w:r>
          </w:p>
        </w:tc>
        <w:tc>
          <w:tcPr>
            <w:tcW w:w="1600" w:type="dxa"/>
            <w:vAlign w:val="center"/>
          </w:tcPr>
          <w:p>
            <w:pPr>
              <w:jc w:val="right"/>
            </w:pPr>
            <w:r>
              <w:rPr>
                <w:rFonts w:ascii="宋体" w:hAnsi="宋体" w:eastAsia="宋体" w:cs="宋体"/>
                <w:b w:val="0"/>
                <w:i w:val="0"/>
                <w:color w:val="000000"/>
                <w:sz w:val="19"/>
              </w:rPr>
              <w:t>17.45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18.51</w:t>
            </w:r>
          </w:p>
        </w:tc>
        <w:tc>
          <w:tcPr>
            <w:tcW w:w="1600" w:type="dxa"/>
            <w:vAlign w:val="center"/>
          </w:tcPr>
          <w:p>
            <w:pPr>
              <w:jc w:val="right"/>
            </w:pPr>
            <w:r>
              <w:rPr>
                <w:rFonts w:ascii="宋体" w:hAnsi="宋体" w:eastAsia="宋体" w:cs="宋体"/>
                <w:b w:val="0"/>
                <w:i w:val="0"/>
                <w:color w:val="000000"/>
                <w:sz w:val="19"/>
              </w:rPr>
              <w:t>18.51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w:t>
            </w:r>
          </w:p>
        </w:tc>
        <w:tc>
          <w:tcPr>
            <w:tcW w:w="3480" w:type="dxa"/>
            <w:vAlign w:val="center"/>
          </w:tcPr>
          <w:p>
            <w:pPr>
              <w:jc w:val="left"/>
            </w:pPr>
            <w:r>
              <w:rPr>
                <w:rFonts w:ascii="宋体" w:hAnsi="宋体" w:eastAsia="宋体" w:cs="宋体"/>
                <w:b w:val="0"/>
                <w:i w:val="0"/>
                <w:color w:val="000000"/>
                <w:sz w:val="19"/>
              </w:rPr>
              <w:t>农林水支出</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w:t>
            </w:r>
          </w:p>
        </w:tc>
        <w:tc>
          <w:tcPr>
            <w:tcW w:w="3480" w:type="dxa"/>
            <w:vAlign w:val="center"/>
          </w:tcPr>
          <w:p>
            <w:pPr>
              <w:jc w:val="left"/>
            </w:pPr>
            <w:r>
              <w:rPr>
                <w:rFonts w:ascii="宋体" w:hAnsi="宋体" w:eastAsia="宋体" w:cs="宋体"/>
                <w:b w:val="0"/>
                <w:i w:val="0"/>
                <w:color w:val="000000"/>
                <w:sz w:val="19"/>
              </w:rPr>
              <w:t>巩固脱贫攻坚成果衔接乡村振兴</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32.99</w:t>
            </w:r>
          </w:p>
        </w:tc>
        <w:tc>
          <w:tcPr>
            <w:tcW w:w="1600" w:type="dxa"/>
            <w:vAlign w:val="center"/>
          </w:tcPr>
          <w:p>
            <w:pPr>
              <w:jc w:val="right"/>
            </w:pPr>
            <w:r>
              <w:rPr>
                <w:rFonts w:ascii="宋体" w:hAnsi="宋体" w:eastAsia="宋体" w:cs="宋体"/>
                <w:b w:val="0"/>
                <w:i w:val="0"/>
                <w:color w:val="000000"/>
                <w:sz w:val="19"/>
              </w:rPr>
              <w:t>32.99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32.99</w:t>
            </w:r>
          </w:p>
        </w:tc>
        <w:tc>
          <w:tcPr>
            <w:tcW w:w="1600" w:type="dxa"/>
            <w:vAlign w:val="center"/>
          </w:tcPr>
          <w:p>
            <w:pPr>
              <w:jc w:val="right"/>
            </w:pPr>
            <w:r>
              <w:rPr>
                <w:rFonts w:ascii="宋体" w:hAnsi="宋体" w:eastAsia="宋体" w:cs="宋体"/>
                <w:b w:val="0"/>
                <w:i w:val="0"/>
                <w:color w:val="000000"/>
                <w:sz w:val="19"/>
              </w:rPr>
              <w:t>32.99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32.99</w:t>
            </w:r>
          </w:p>
        </w:tc>
        <w:tc>
          <w:tcPr>
            <w:tcW w:w="1600" w:type="dxa"/>
            <w:vAlign w:val="center"/>
          </w:tcPr>
          <w:p>
            <w:pPr>
              <w:jc w:val="right"/>
            </w:pPr>
            <w:r>
              <w:rPr>
                <w:rFonts w:ascii="宋体" w:hAnsi="宋体" w:eastAsia="宋体" w:cs="宋体"/>
                <w:b w:val="0"/>
                <w:i w:val="0"/>
                <w:color w:val="000000"/>
                <w:sz w:val="19"/>
              </w:rPr>
              <w:t>32.99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单位：许昌市机关事务中心（本级）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1,566.17</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1,423.44</w:t>
            </w:r>
          </w:p>
        </w:tc>
        <w:tc>
          <w:tcPr>
            <w:tcW w:w="1420" w:type="dxa"/>
            <w:vAlign w:val="center"/>
          </w:tcPr>
          <w:p>
            <w:pPr>
              <w:jc w:val="right"/>
            </w:pPr>
            <w:r>
              <w:rPr>
                <w:rFonts w:ascii="宋体" w:hAnsi="宋体" w:eastAsia="宋体" w:cs="宋体"/>
                <w:b w:val="0"/>
                <w:i w:val="0"/>
                <w:color w:val="000000"/>
                <w:sz w:val="18"/>
              </w:rPr>
              <w:t>1,423.44</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71.52</w:t>
            </w:r>
          </w:p>
        </w:tc>
        <w:tc>
          <w:tcPr>
            <w:tcW w:w="1420" w:type="dxa"/>
            <w:vAlign w:val="center"/>
          </w:tcPr>
          <w:p>
            <w:pPr>
              <w:jc w:val="right"/>
            </w:pPr>
            <w:r>
              <w:rPr>
                <w:rFonts w:ascii="宋体" w:hAnsi="宋体" w:eastAsia="宋体" w:cs="宋体"/>
                <w:b w:val="0"/>
                <w:i w:val="0"/>
                <w:color w:val="000000"/>
                <w:sz w:val="18"/>
              </w:rPr>
              <w:t>71.52</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35.96</w:t>
            </w:r>
          </w:p>
        </w:tc>
        <w:tc>
          <w:tcPr>
            <w:tcW w:w="1420" w:type="dxa"/>
            <w:vAlign w:val="center"/>
          </w:tcPr>
          <w:p>
            <w:pPr>
              <w:jc w:val="right"/>
            </w:pPr>
            <w:r>
              <w:rPr>
                <w:rFonts w:ascii="宋体" w:hAnsi="宋体" w:eastAsia="宋体" w:cs="宋体"/>
                <w:b w:val="0"/>
                <w:i w:val="0"/>
                <w:color w:val="000000"/>
                <w:sz w:val="18"/>
              </w:rPr>
              <w:t>35.96</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2.25</w:t>
            </w:r>
          </w:p>
        </w:tc>
        <w:tc>
          <w:tcPr>
            <w:tcW w:w="1420" w:type="dxa"/>
            <w:vAlign w:val="center"/>
          </w:tcPr>
          <w:p>
            <w:pPr>
              <w:jc w:val="right"/>
            </w:pPr>
            <w:r>
              <w:rPr>
                <w:rFonts w:ascii="宋体" w:hAnsi="宋体" w:eastAsia="宋体" w:cs="宋体"/>
                <w:b w:val="0"/>
                <w:i w:val="0"/>
                <w:color w:val="000000"/>
                <w:sz w:val="18"/>
              </w:rPr>
              <w:t>2.25</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32.99</w:t>
            </w:r>
          </w:p>
        </w:tc>
        <w:tc>
          <w:tcPr>
            <w:tcW w:w="1420" w:type="dxa"/>
            <w:vAlign w:val="center"/>
          </w:tcPr>
          <w:p>
            <w:pPr>
              <w:jc w:val="right"/>
            </w:pPr>
            <w:r>
              <w:rPr>
                <w:rFonts w:ascii="宋体" w:hAnsi="宋体" w:eastAsia="宋体" w:cs="宋体"/>
                <w:b w:val="0"/>
                <w:i w:val="0"/>
                <w:color w:val="000000"/>
                <w:sz w:val="18"/>
              </w:rPr>
              <w:t>32.99</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1,566.17</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1,566.17</w:t>
            </w:r>
          </w:p>
        </w:tc>
        <w:tc>
          <w:tcPr>
            <w:tcW w:w="1420" w:type="dxa"/>
            <w:vAlign w:val="center"/>
          </w:tcPr>
          <w:p>
            <w:pPr>
              <w:jc w:val="right"/>
            </w:pPr>
            <w:r>
              <w:rPr>
                <w:rFonts w:ascii="宋体" w:hAnsi="宋体" w:eastAsia="宋体" w:cs="宋体"/>
                <w:b w:val="0"/>
                <w:i w:val="0"/>
                <w:color w:val="000000"/>
                <w:sz w:val="18"/>
              </w:rPr>
              <w:t>1,566.17</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1,566.17</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1,566.17</w:t>
            </w:r>
          </w:p>
        </w:tc>
        <w:tc>
          <w:tcPr>
            <w:tcW w:w="1420" w:type="dxa"/>
            <w:vAlign w:val="center"/>
          </w:tcPr>
          <w:p>
            <w:pPr>
              <w:jc w:val="right"/>
            </w:pPr>
            <w:r>
              <w:rPr>
                <w:rFonts w:ascii="宋体" w:hAnsi="宋体" w:eastAsia="宋体" w:cs="宋体"/>
                <w:b w:val="0"/>
                <w:i w:val="0"/>
                <w:color w:val="000000"/>
                <w:sz w:val="18"/>
              </w:rPr>
              <w:t>1,566.17</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单位：许昌市机关事务中心（本级）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1,566.17</w:t>
            </w:r>
          </w:p>
        </w:tc>
        <w:tc>
          <w:tcPr>
            <w:tcW w:w="2700" w:type="dxa"/>
            <w:vAlign w:val="center"/>
          </w:tcPr>
          <w:p>
            <w:pPr>
              <w:jc w:val="right"/>
            </w:pPr>
            <w:r>
              <w:rPr>
                <w:rFonts w:ascii="宋体" w:hAnsi="宋体" w:eastAsia="宋体" w:cs="宋体"/>
                <w:b/>
                <w:i w:val="0"/>
                <w:color w:val="000000"/>
                <w:sz w:val="25"/>
              </w:rPr>
              <w:t>729.20</w:t>
            </w:r>
          </w:p>
        </w:tc>
        <w:tc>
          <w:tcPr>
            <w:tcW w:w="2658" w:type="dxa"/>
            <w:vAlign w:val="center"/>
          </w:tcPr>
          <w:p>
            <w:pPr>
              <w:jc w:val="right"/>
            </w:pPr>
            <w:r>
              <w:rPr>
                <w:rFonts w:ascii="宋体" w:hAnsi="宋体" w:eastAsia="宋体" w:cs="宋体"/>
                <w:b/>
                <w:i w:val="0"/>
                <w:color w:val="000000"/>
                <w:sz w:val="25"/>
              </w:rPr>
              <w:t>836.96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1,423.45</w:t>
            </w:r>
          </w:p>
        </w:tc>
        <w:tc>
          <w:tcPr>
            <w:tcW w:w="2700" w:type="dxa"/>
            <w:vAlign w:val="center"/>
          </w:tcPr>
          <w:p>
            <w:pPr>
              <w:jc w:val="right"/>
            </w:pPr>
            <w:r>
              <w:rPr>
                <w:rFonts w:ascii="宋体" w:hAnsi="宋体" w:eastAsia="宋体" w:cs="宋体"/>
                <w:b w:val="0"/>
                <w:i w:val="0"/>
                <w:color w:val="000000"/>
                <w:sz w:val="25"/>
              </w:rPr>
              <w:t>588.73</w:t>
            </w:r>
          </w:p>
        </w:tc>
        <w:tc>
          <w:tcPr>
            <w:tcW w:w="2658" w:type="dxa"/>
            <w:vAlign w:val="center"/>
          </w:tcPr>
          <w:p>
            <w:pPr>
              <w:jc w:val="right"/>
            </w:pPr>
            <w:r>
              <w:rPr>
                <w:rFonts w:ascii="宋体" w:hAnsi="宋体" w:eastAsia="宋体" w:cs="宋体"/>
                <w:b w:val="0"/>
                <w:i w:val="0"/>
                <w:color w:val="000000"/>
                <w:sz w:val="25"/>
              </w:rPr>
              <w:t>834.71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20101</w:t>
            </w:r>
          </w:p>
        </w:tc>
        <w:tc>
          <w:tcPr>
            <w:tcW w:w="4700" w:type="dxa"/>
            <w:vAlign w:val="center"/>
          </w:tcPr>
          <w:p>
            <w:pPr>
              <w:jc w:val="left"/>
            </w:pPr>
            <w:r>
              <w:rPr>
                <w:rFonts w:ascii="宋体" w:hAnsi="宋体" w:eastAsia="宋体" w:cs="宋体"/>
                <w:b w:val="0"/>
                <w:i w:val="0"/>
                <w:color w:val="000000"/>
                <w:sz w:val="25"/>
              </w:rPr>
              <w:t>人大事务</w:t>
            </w:r>
          </w:p>
        </w:tc>
        <w:tc>
          <w:tcPr>
            <w:tcW w:w="2700" w:type="dxa"/>
            <w:vAlign w:val="center"/>
          </w:tcPr>
          <w:p>
            <w:pPr>
              <w:jc w:val="right"/>
            </w:pPr>
            <w:r>
              <w:rPr>
                <w:rFonts w:ascii="宋体" w:hAnsi="宋体" w:eastAsia="宋体" w:cs="宋体"/>
                <w:b w:val="0"/>
                <w:i w:val="0"/>
                <w:color w:val="000000"/>
                <w:sz w:val="25"/>
              </w:rPr>
              <w:t>30.02</w:t>
            </w:r>
          </w:p>
        </w:tc>
        <w:tc>
          <w:tcPr>
            <w:tcW w:w="2700" w:type="dxa"/>
            <w:vAlign w:val="center"/>
          </w:tcPr>
          <w:p>
            <w:pPr>
              <w:jc w:val="right"/>
            </w:pPr>
            <w:r>
              <w:rPr>
                <w:rFonts w:ascii="宋体" w:hAnsi="宋体" w:eastAsia="宋体" w:cs="宋体"/>
                <w:b w:val="0"/>
                <w:i w:val="0"/>
                <w:color w:val="000000"/>
                <w:sz w:val="25"/>
              </w:rPr>
              <w:t>30.02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2010103</w:t>
            </w:r>
          </w:p>
        </w:tc>
        <w:tc>
          <w:tcPr>
            <w:tcW w:w="4700" w:type="dxa"/>
            <w:vAlign w:val="center"/>
          </w:tcPr>
          <w:p>
            <w:pPr>
              <w:jc w:val="left"/>
            </w:pPr>
            <w:r>
              <w:rPr>
                <w:rFonts w:ascii="宋体" w:hAnsi="宋体" w:eastAsia="宋体" w:cs="宋体"/>
                <w:b w:val="0"/>
                <w:i w:val="0"/>
                <w:color w:val="000000"/>
                <w:sz w:val="25"/>
              </w:rPr>
              <w:t>机关服务</w:t>
            </w:r>
          </w:p>
        </w:tc>
        <w:tc>
          <w:tcPr>
            <w:tcW w:w="2700" w:type="dxa"/>
            <w:vAlign w:val="center"/>
          </w:tcPr>
          <w:p>
            <w:pPr>
              <w:jc w:val="right"/>
            </w:pPr>
            <w:r>
              <w:rPr>
                <w:rFonts w:ascii="宋体" w:hAnsi="宋体" w:eastAsia="宋体" w:cs="宋体"/>
                <w:b w:val="0"/>
                <w:i w:val="0"/>
                <w:color w:val="000000"/>
                <w:sz w:val="25"/>
              </w:rPr>
              <w:t>30.02</w:t>
            </w:r>
          </w:p>
        </w:tc>
        <w:tc>
          <w:tcPr>
            <w:tcW w:w="2700" w:type="dxa"/>
            <w:vAlign w:val="center"/>
          </w:tcPr>
          <w:p>
            <w:pPr>
              <w:jc w:val="right"/>
            </w:pPr>
            <w:r>
              <w:rPr>
                <w:rFonts w:ascii="宋体" w:hAnsi="宋体" w:eastAsia="宋体" w:cs="宋体"/>
                <w:b w:val="0"/>
                <w:i w:val="0"/>
                <w:color w:val="000000"/>
                <w:sz w:val="25"/>
              </w:rPr>
              <w:t>30.02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20103</w:t>
            </w:r>
          </w:p>
        </w:tc>
        <w:tc>
          <w:tcPr>
            <w:tcW w:w="4700" w:type="dxa"/>
            <w:vAlign w:val="center"/>
          </w:tcPr>
          <w:p>
            <w:pPr>
              <w:jc w:val="left"/>
            </w:pPr>
            <w:r>
              <w:rPr>
                <w:rFonts w:ascii="宋体" w:hAnsi="宋体" w:eastAsia="宋体" w:cs="宋体"/>
                <w:b w:val="0"/>
                <w:i w:val="0"/>
                <w:color w:val="000000"/>
                <w:sz w:val="25"/>
              </w:rPr>
              <w:t>政府办公厅（室）及相关机构事务</w:t>
            </w:r>
          </w:p>
        </w:tc>
        <w:tc>
          <w:tcPr>
            <w:tcW w:w="2700" w:type="dxa"/>
            <w:vAlign w:val="center"/>
          </w:tcPr>
          <w:p>
            <w:pPr>
              <w:jc w:val="right"/>
            </w:pPr>
            <w:r>
              <w:rPr>
                <w:rFonts w:ascii="宋体" w:hAnsi="宋体" w:eastAsia="宋体" w:cs="宋体"/>
                <w:b w:val="0"/>
                <w:i w:val="0"/>
                <w:color w:val="000000"/>
                <w:sz w:val="25"/>
              </w:rPr>
              <w:t>1,362.72</w:t>
            </w:r>
          </w:p>
        </w:tc>
        <w:tc>
          <w:tcPr>
            <w:tcW w:w="2700" w:type="dxa"/>
            <w:vAlign w:val="center"/>
          </w:tcPr>
          <w:p>
            <w:pPr>
              <w:jc w:val="right"/>
            </w:pPr>
            <w:r>
              <w:rPr>
                <w:rFonts w:ascii="宋体" w:hAnsi="宋体" w:eastAsia="宋体" w:cs="宋体"/>
                <w:b w:val="0"/>
                <w:i w:val="0"/>
                <w:color w:val="000000"/>
                <w:sz w:val="25"/>
              </w:rPr>
              <w:t>528.00</w:t>
            </w:r>
          </w:p>
        </w:tc>
        <w:tc>
          <w:tcPr>
            <w:tcW w:w="2658" w:type="dxa"/>
            <w:vAlign w:val="center"/>
          </w:tcPr>
          <w:p>
            <w:pPr>
              <w:jc w:val="right"/>
            </w:pPr>
            <w:r>
              <w:rPr>
                <w:rFonts w:ascii="宋体" w:hAnsi="宋体" w:eastAsia="宋体" w:cs="宋体"/>
                <w:b w:val="0"/>
                <w:i w:val="0"/>
                <w:color w:val="000000"/>
                <w:sz w:val="25"/>
              </w:rPr>
              <w:t>834.71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2010303</w:t>
            </w:r>
          </w:p>
        </w:tc>
        <w:tc>
          <w:tcPr>
            <w:tcW w:w="4700" w:type="dxa"/>
            <w:vAlign w:val="center"/>
          </w:tcPr>
          <w:p>
            <w:pPr>
              <w:jc w:val="left"/>
            </w:pPr>
            <w:r>
              <w:rPr>
                <w:rFonts w:ascii="宋体" w:hAnsi="宋体" w:eastAsia="宋体" w:cs="宋体"/>
                <w:b w:val="0"/>
                <w:i w:val="0"/>
                <w:color w:val="000000"/>
                <w:sz w:val="25"/>
              </w:rPr>
              <w:t>机关服务</w:t>
            </w:r>
          </w:p>
        </w:tc>
        <w:tc>
          <w:tcPr>
            <w:tcW w:w="2700" w:type="dxa"/>
            <w:vAlign w:val="center"/>
          </w:tcPr>
          <w:p>
            <w:pPr>
              <w:jc w:val="right"/>
            </w:pPr>
            <w:r>
              <w:rPr>
                <w:rFonts w:ascii="宋体" w:hAnsi="宋体" w:eastAsia="宋体" w:cs="宋体"/>
                <w:b w:val="0"/>
                <w:i w:val="0"/>
                <w:color w:val="000000"/>
                <w:sz w:val="25"/>
              </w:rPr>
              <w:t>1,362.72</w:t>
            </w:r>
          </w:p>
        </w:tc>
        <w:tc>
          <w:tcPr>
            <w:tcW w:w="2700" w:type="dxa"/>
            <w:vAlign w:val="center"/>
          </w:tcPr>
          <w:p>
            <w:pPr>
              <w:jc w:val="right"/>
            </w:pPr>
            <w:r>
              <w:rPr>
                <w:rFonts w:ascii="宋体" w:hAnsi="宋体" w:eastAsia="宋体" w:cs="宋体"/>
                <w:b w:val="0"/>
                <w:i w:val="0"/>
                <w:color w:val="000000"/>
                <w:sz w:val="25"/>
              </w:rPr>
              <w:t>528.00</w:t>
            </w:r>
          </w:p>
        </w:tc>
        <w:tc>
          <w:tcPr>
            <w:tcW w:w="2658" w:type="dxa"/>
            <w:vAlign w:val="center"/>
          </w:tcPr>
          <w:p>
            <w:pPr>
              <w:jc w:val="right"/>
            </w:pPr>
            <w:r>
              <w:rPr>
                <w:rFonts w:ascii="宋体" w:hAnsi="宋体" w:eastAsia="宋体" w:cs="宋体"/>
                <w:b w:val="0"/>
                <w:i w:val="0"/>
                <w:color w:val="000000"/>
                <w:sz w:val="25"/>
              </w:rPr>
              <w:t>834.71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3.19</w:t>
            </w:r>
          </w:p>
        </w:tc>
        <w:tc>
          <w:tcPr>
            <w:tcW w:w="2700" w:type="dxa"/>
            <w:vAlign w:val="center"/>
          </w:tcPr>
          <w:p>
            <w:pPr>
              <w:jc w:val="right"/>
            </w:pPr>
            <w:r>
              <w:rPr>
                <w:rFonts w:ascii="宋体" w:hAnsi="宋体" w:eastAsia="宋体" w:cs="宋体"/>
                <w:b w:val="0"/>
                <w:i w:val="0"/>
                <w:color w:val="000000"/>
                <w:sz w:val="25"/>
              </w:rPr>
              <w:t>3.19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3.19</w:t>
            </w:r>
          </w:p>
        </w:tc>
        <w:tc>
          <w:tcPr>
            <w:tcW w:w="2700" w:type="dxa"/>
            <w:vAlign w:val="center"/>
          </w:tcPr>
          <w:p>
            <w:pPr>
              <w:jc w:val="right"/>
            </w:pPr>
            <w:r>
              <w:rPr>
                <w:rFonts w:ascii="宋体" w:hAnsi="宋体" w:eastAsia="宋体" w:cs="宋体"/>
                <w:b w:val="0"/>
                <w:i w:val="0"/>
                <w:color w:val="000000"/>
                <w:sz w:val="25"/>
              </w:rPr>
              <w:t>3.19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27.52</w:t>
            </w:r>
          </w:p>
        </w:tc>
        <w:tc>
          <w:tcPr>
            <w:tcW w:w="2700" w:type="dxa"/>
            <w:vAlign w:val="center"/>
          </w:tcPr>
          <w:p>
            <w:pPr>
              <w:jc w:val="right"/>
            </w:pPr>
            <w:r>
              <w:rPr>
                <w:rFonts w:ascii="宋体" w:hAnsi="宋体" w:eastAsia="宋体" w:cs="宋体"/>
                <w:b w:val="0"/>
                <w:i w:val="0"/>
                <w:color w:val="000000"/>
                <w:sz w:val="25"/>
              </w:rPr>
              <w:t>27.52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27.52</w:t>
            </w:r>
          </w:p>
        </w:tc>
        <w:tc>
          <w:tcPr>
            <w:tcW w:w="2700" w:type="dxa"/>
            <w:vAlign w:val="center"/>
          </w:tcPr>
          <w:p>
            <w:pPr>
              <w:jc w:val="right"/>
            </w:pPr>
            <w:r>
              <w:rPr>
                <w:rFonts w:ascii="宋体" w:hAnsi="宋体" w:eastAsia="宋体" w:cs="宋体"/>
                <w:b w:val="0"/>
                <w:i w:val="0"/>
                <w:color w:val="000000"/>
                <w:sz w:val="25"/>
              </w:rPr>
              <w:t>27.52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71.52</w:t>
            </w:r>
          </w:p>
        </w:tc>
        <w:tc>
          <w:tcPr>
            <w:tcW w:w="2700" w:type="dxa"/>
            <w:vAlign w:val="center"/>
          </w:tcPr>
          <w:p>
            <w:pPr>
              <w:jc w:val="right"/>
            </w:pPr>
            <w:r>
              <w:rPr>
                <w:rFonts w:ascii="宋体" w:hAnsi="宋体" w:eastAsia="宋体" w:cs="宋体"/>
                <w:b w:val="0"/>
                <w:i w:val="0"/>
                <w:color w:val="000000"/>
                <w:sz w:val="25"/>
              </w:rPr>
              <w:t>71.52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71.52</w:t>
            </w:r>
          </w:p>
        </w:tc>
        <w:tc>
          <w:tcPr>
            <w:tcW w:w="2700" w:type="dxa"/>
            <w:vAlign w:val="center"/>
          </w:tcPr>
          <w:p>
            <w:pPr>
              <w:jc w:val="right"/>
            </w:pPr>
            <w:r>
              <w:rPr>
                <w:rFonts w:ascii="宋体" w:hAnsi="宋体" w:eastAsia="宋体" w:cs="宋体"/>
                <w:b w:val="0"/>
                <w:i w:val="0"/>
                <w:color w:val="000000"/>
                <w:sz w:val="25"/>
              </w:rPr>
              <w:t>71.52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37.89</w:t>
            </w:r>
          </w:p>
        </w:tc>
        <w:tc>
          <w:tcPr>
            <w:tcW w:w="2700" w:type="dxa"/>
            <w:vAlign w:val="center"/>
          </w:tcPr>
          <w:p>
            <w:pPr>
              <w:jc w:val="right"/>
            </w:pPr>
            <w:r>
              <w:rPr>
                <w:rFonts w:ascii="宋体" w:hAnsi="宋体" w:eastAsia="宋体" w:cs="宋体"/>
                <w:b w:val="0"/>
                <w:i w:val="0"/>
                <w:color w:val="000000"/>
                <w:sz w:val="25"/>
              </w:rPr>
              <w:t>37.89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33.63</w:t>
            </w:r>
          </w:p>
        </w:tc>
        <w:tc>
          <w:tcPr>
            <w:tcW w:w="2700" w:type="dxa"/>
            <w:vAlign w:val="center"/>
          </w:tcPr>
          <w:p>
            <w:pPr>
              <w:jc w:val="right"/>
            </w:pPr>
            <w:r>
              <w:rPr>
                <w:rFonts w:ascii="宋体" w:hAnsi="宋体" w:eastAsia="宋体" w:cs="宋体"/>
                <w:b w:val="0"/>
                <w:i w:val="0"/>
                <w:color w:val="000000"/>
                <w:sz w:val="25"/>
              </w:rPr>
              <w:t>33.63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35.96</w:t>
            </w:r>
          </w:p>
        </w:tc>
        <w:tc>
          <w:tcPr>
            <w:tcW w:w="2700" w:type="dxa"/>
            <w:vAlign w:val="center"/>
          </w:tcPr>
          <w:p>
            <w:pPr>
              <w:jc w:val="right"/>
            </w:pPr>
            <w:r>
              <w:rPr>
                <w:rFonts w:ascii="宋体" w:hAnsi="宋体" w:eastAsia="宋体" w:cs="宋体"/>
                <w:b w:val="0"/>
                <w:i w:val="0"/>
                <w:color w:val="000000"/>
                <w:sz w:val="25"/>
              </w:rPr>
              <w:t>35.96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35.96</w:t>
            </w:r>
          </w:p>
        </w:tc>
        <w:tc>
          <w:tcPr>
            <w:tcW w:w="2700" w:type="dxa"/>
            <w:vAlign w:val="center"/>
          </w:tcPr>
          <w:p>
            <w:pPr>
              <w:jc w:val="right"/>
            </w:pPr>
            <w:r>
              <w:rPr>
                <w:rFonts w:ascii="宋体" w:hAnsi="宋体" w:eastAsia="宋体" w:cs="宋体"/>
                <w:b w:val="0"/>
                <w:i w:val="0"/>
                <w:color w:val="000000"/>
                <w:sz w:val="25"/>
              </w:rPr>
              <w:t>35.96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17.45</w:t>
            </w:r>
          </w:p>
        </w:tc>
        <w:tc>
          <w:tcPr>
            <w:tcW w:w="2700" w:type="dxa"/>
            <w:vAlign w:val="center"/>
          </w:tcPr>
          <w:p>
            <w:pPr>
              <w:jc w:val="right"/>
            </w:pPr>
            <w:r>
              <w:rPr>
                <w:rFonts w:ascii="宋体" w:hAnsi="宋体" w:eastAsia="宋体" w:cs="宋体"/>
                <w:b w:val="0"/>
                <w:i w:val="0"/>
                <w:color w:val="000000"/>
                <w:sz w:val="25"/>
              </w:rPr>
              <w:t>17.45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18.51</w:t>
            </w:r>
          </w:p>
        </w:tc>
        <w:tc>
          <w:tcPr>
            <w:tcW w:w="2700" w:type="dxa"/>
            <w:vAlign w:val="center"/>
          </w:tcPr>
          <w:p>
            <w:pPr>
              <w:jc w:val="right"/>
            </w:pPr>
            <w:r>
              <w:rPr>
                <w:rFonts w:ascii="宋体" w:hAnsi="宋体" w:eastAsia="宋体" w:cs="宋体"/>
                <w:b w:val="0"/>
                <w:i w:val="0"/>
                <w:color w:val="000000"/>
                <w:sz w:val="25"/>
              </w:rPr>
              <w:t>18.51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213</w:t>
            </w:r>
          </w:p>
        </w:tc>
        <w:tc>
          <w:tcPr>
            <w:tcW w:w="4700" w:type="dxa"/>
            <w:vAlign w:val="center"/>
          </w:tcPr>
          <w:p>
            <w:pPr>
              <w:jc w:val="left"/>
            </w:pPr>
            <w:r>
              <w:rPr>
                <w:rFonts w:ascii="宋体" w:hAnsi="宋体" w:eastAsia="宋体" w:cs="宋体"/>
                <w:b w:val="0"/>
                <w:i w:val="0"/>
                <w:color w:val="000000"/>
                <w:sz w:val="25"/>
              </w:rPr>
              <w:t>农林水支出</w:t>
            </w:r>
          </w:p>
        </w:tc>
        <w:tc>
          <w:tcPr>
            <w:tcW w:w="2700" w:type="dxa"/>
            <w:vAlign w:val="center"/>
          </w:tcPr>
          <w:p>
            <w:pPr>
              <w:jc w:val="right"/>
            </w:pPr>
            <w:r>
              <w:rPr>
                <w:rFonts w:ascii="宋体" w:hAnsi="宋体" w:eastAsia="宋体" w:cs="宋体"/>
                <w:b w:val="0"/>
                <w:i w:val="0"/>
                <w:color w:val="000000"/>
                <w:sz w:val="25"/>
              </w:rPr>
              <w:t>2.25</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21305</w:t>
            </w:r>
          </w:p>
        </w:tc>
        <w:tc>
          <w:tcPr>
            <w:tcW w:w="4700" w:type="dxa"/>
            <w:vAlign w:val="center"/>
          </w:tcPr>
          <w:p>
            <w:pPr>
              <w:jc w:val="left"/>
            </w:pPr>
            <w:r>
              <w:rPr>
                <w:rFonts w:ascii="宋体" w:hAnsi="宋体" w:eastAsia="宋体" w:cs="宋体"/>
                <w:b w:val="0"/>
                <w:i w:val="0"/>
                <w:color w:val="000000"/>
                <w:sz w:val="25"/>
              </w:rPr>
              <w:t>巩固脱贫攻坚成果衔接乡村振兴</w:t>
            </w:r>
          </w:p>
        </w:tc>
        <w:tc>
          <w:tcPr>
            <w:tcW w:w="2700" w:type="dxa"/>
            <w:vAlign w:val="center"/>
          </w:tcPr>
          <w:p>
            <w:pPr>
              <w:jc w:val="right"/>
            </w:pPr>
            <w:r>
              <w:rPr>
                <w:rFonts w:ascii="宋体" w:hAnsi="宋体" w:eastAsia="宋体" w:cs="宋体"/>
                <w:b w:val="0"/>
                <w:i w:val="0"/>
                <w:color w:val="000000"/>
                <w:sz w:val="25"/>
              </w:rPr>
              <w:t>2.25</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2.25</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32.99</w:t>
            </w:r>
          </w:p>
        </w:tc>
        <w:tc>
          <w:tcPr>
            <w:tcW w:w="2700" w:type="dxa"/>
            <w:vAlign w:val="center"/>
          </w:tcPr>
          <w:p>
            <w:pPr>
              <w:jc w:val="right"/>
            </w:pPr>
            <w:r>
              <w:rPr>
                <w:rFonts w:ascii="宋体" w:hAnsi="宋体" w:eastAsia="宋体" w:cs="宋体"/>
                <w:b w:val="0"/>
                <w:i w:val="0"/>
                <w:color w:val="000000"/>
                <w:sz w:val="25"/>
              </w:rPr>
              <w:t>32.99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32.99</w:t>
            </w:r>
          </w:p>
        </w:tc>
        <w:tc>
          <w:tcPr>
            <w:tcW w:w="2700" w:type="dxa"/>
            <w:vAlign w:val="center"/>
          </w:tcPr>
          <w:p>
            <w:pPr>
              <w:jc w:val="right"/>
            </w:pPr>
            <w:r>
              <w:rPr>
                <w:rFonts w:ascii="宋体" w:hAnsi="宋体" w:eastAsia="宋体" w:cs="宋体"/>
                <w:b w:val="0"/>
                <w:i w:val="0"/>
                <w:color w:val="000000"/>
                <w:sz w:val="25"/>
              </w:rPr>
              <w:t>32.99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32.99</w:t>
            </w:r>
          </w:p>
        </w:tc>
        <w:tc>
          <w:tcPr>
            <w:tcW w:w="2700" w:type="dxa"/>
            <w:vAlign w:val="center"/>
          </w:tcPr>
          <w:p>
            <w:pPr>
              <w:jc w:val="right"/>
            </w:pPr>
            <w:r>
              <w:rPr>
                <w:rFonts w:ascii="宋体" w:hAnsi="宋体" w:eastAsia="宋体" w:cs="宋体"/>
                <w:b w:val="0"/>
                <w:i w:val="0"/>
                <w:color w:val="000000"/>
                <w:sz w:val="25"/>
              </w:rPr>
              <w:t>32.99</w:t>
            </w:r>
          </w:p>
        </w:tc>
        <w:tc>
          <w:tcPr>
            <w:tcW w:w="2658" w:type="dxa"/>
            <w:vAlign w:val="center"/>
          </w:tcPr>
          <w:p>
            <w:pPr>
              <w:jc w:val="right"/>
            </w:pPr>
            <w:r>
              <w:rPr>
                <w:rFonts w:ascii="宋体" w:hAnsi="宋体" w:eastAsia="宋体" w:cs="宋体"/>
                <w:b w:val="0"/>
                <w:i w:val="0"/>
                <w:color w:val="000000"/>
                <w:sz w:val="25"/>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单位：许昌市机关事务中心（本级）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619.93</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70.87</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169.90</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26.09</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136.77</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2.13</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211.44</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33.63</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1.80</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16.47</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18.51</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0.22</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4.44</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32.99</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37.89</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37.89</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0.20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3.19</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3.25</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1.15</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26.28</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2.33</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657.83</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71.38</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单位：许昌市机关事务中心（本级）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单位：许昌市机关事务中心（本级）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pPr>
              <w:jc w:val="right"/>
            </w:pPr>
            <w:r>
              <w:rPr>
                <w:rFonts w:ascii="宋体" w:hAnsi="宋体" w:eastAsia="宋体" w:cs="宋体"/>
                <w:b/>
                <w:i w:val="0"/>
                <w:color w:val="000000"/>
                <w:sz w:val="28"/>
              </w:rPr>
              <w:t>0.00</w:t>
            </w: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单位：许昌市机关事务中心（本级）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4.20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4.00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4.00</w:t>
            </w:r>
          </w:p>
        </w:tc>
        <w:tc>
          <w:tcPr>
            <w:tcW w:w="1160" w:type="dxa"/>
            <w:vAlign w:val="center"/>
          </w:tcPr>
          <w:p>
            <w:pPr>
              <w:jc w:val="right"/>
            </w:pPr>
            <w:r>
              <w:rPr>
                <w:rFonts w:ascii="宋体" w:hAnsi="宋体" w:eastAsia="宋体" w:cs="宋体"/>
                <w:b w:val="0"/>
                <w:i w:val="0"/>
                <w:color w:val="000000"/>
                <w:sz w:val="17"/>
              </w:rPr>
              <w:t>0.20</w:t>
            </w:r>
          </w:p>
        </w:tc>
        <w:tc>
          <w:tcPr>
            <w:tcW w:w="1160" w:type="dxa"/>
            <w:vAlign w:val="center"/>
          </w:tcPr>
          <w:p>
            <w:pPr>
              <w:jc w:val="right"/>
            </w:pPr>
            <w:r>
              <w:rPr>
                <w:rFonts w:ascii="宋体" w:hAnsi="宋体" w:eastAsia="宋体" w:cs="宋体"/>
                <w:b w:val="0"/>
                <w:i w:val="0"/>
                <w:color w:val="000000"/>
                <w:sz w:val="17"/>
              </w:rPr>
              <w:t>1.35</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1.15</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1.15</w:t>
            </w:r>
          </w:p>
        </w:tc>
        <w:tc>
          <w:tcPr>
            <w:tcW w:w="1198" w:type="dxa"/>
            <w:vAlign w:val="center"/>
          </w:tcPr>
          <w:p>
            <w:pPr>
              <w:jc w:val="right"/>
            </w:pPr>
            <w:r>
              <w:rPr>
                <w:rFonts w:ascii="宋体" w:hAnsi="宋体" w:eastAsia="宋体" w:cs="宋体"/>
                <w:b w:val="0"/>
                <w:i w:val="0"/>
                <w:color w:val="000000"/>
                <w:sz w:val="17"/>
              </w:rPr>
              <w:t>0.20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rPr>
        <w:t>2023年度收、支总计均为1566.17万元。与上年度相比，收、支总计各减少1411.50万元，下降47.40%。主要原因是2023年度专项资金支出减少。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收入合计1566.17万元，其中：财政拨款收入1566.17万元，占100.00%；上级补助收入0.00万元，占0.00%；事业收入0.00万元，占0.00%；经营收入0.00万元，占0.00%；附属单位上缴收入0.00万元，占0.00%；其他收入0.00万元，占0.00%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2023年度支出合计1566.17万元，其中：基本支出729.20万元，占46.56%；项目支出836.96万元，占53.44%；上缴上级支出0.00万元，占0.00%；经营支出0.00万元，占0.00%；对附属单位补助支出0.00万元，占0.00%。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2023年度财政拨款收、支总计均为1566.17万元。与上年度相比，财政拨款收、支总计各减少1411.50万元，下降47.40%。主要原因是2023年度专项资金支出减少。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2023年度一般公共预算财政拨款支出1566.17万元，占支出合计的100.00%。与上年度相比，一般公共预算财政拨款支出减少1411.50万元，下降47.40%。主要原因是2023年度专项资金支出减少。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一般公共预算财政拨款支出1566.17万元，主要用于以下方面：一般公共服务支出（类）1423.44万元，占90.88%；社会保障和就业支出（类）71.52万元，占4.57%；卫生健康支出（类）35.96万元，占2.30%；农林水支出（类）2.25万元，占0.14%；住房保障支出（类）32.99万元，占2.11%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2023年度一般公共预算财政拨款支出年初预算为1566.17万元，支出决算为1566.17万元，完成年初预算的100%。其中：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1.一般公共服务支出（类）人大事务（款）机关服务（项）</w:t>
      </w:r>
      <w:r>
        <w:rPr>
          <w:rFonts w:hint="eastAsia" w:ascii="仿宋_GB2312" w:hAnsi="仿宋_GB2312" w:eastAsia="仿宋_GB2312" w:cs="仿宋_GB2312"/>
          <w:kern w:val="2"/>
          <w:sz w:val="32"/>
          <w:szCs w:val="32"/>
          <w:lang w:val="en-US" w:eastAsia="zh-CN"/>
        </w:rPr>
        <w:t>年初预算数为30.02万元，决算数30.02万元,完成年初预算的100.00%，决算数与年初预算数不存在差异。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2.一般公共服务支出（类）政府办公厅（室）及相关机构事务（款）机关服务（项）</w:t>
      </w:r>
      <w:r>
        <w:rPr>
          <w:rFonts w:hint="eastAsia" w:ascii="仿宋_GB2312" w:hAnsi="仿宋_GB2312" w:eastAsia="仿宋_GB2312" w:cs="仿宋_GB2312"/>
          <w:kern w:val="2"/>
          <w:sz w:val="32"/>
          <w:szCs w:val="32"/>
          <w:lang w:val="en-US" w:eastAsia="zh-CN"/>
        </w:rPr>
        <w:t>年初预算数为1362.72万元，决算数1362.72万元,完成年初预算的100.00%，决算数与年初预算数不存在差异。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3.一般公共服务支出（类）群众团体事务（款）工会事务（项）</w:t>
      </w:r>
      <w:r>
        <w:rPr>
          <w:rFonts w:hint="eastAsia" w:ascii="仿宋_GB2312" w:hAnsi="仿宋_GB2312" w:eastAsia="仿宋_GB2312" w:cs="仿宋_GB2312"/>
          <w:kern w:val="2"/>
          <w:sz w:val="32"/>
          <w:szCs w:val="32"/>
          <w:lang w:val="en-US" w:eastAsia="zh-CN"/>
        </w:rPr>
        <w:t>年初预算数为3.19万元，决算数3.19万元,完成年初预算的100.00%，决算数与年初预算数不存在差异。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4.一般公共服务支出（类）其他一般公共服务支出（款）其他一般公共服务支出（项）</w:t>
      </w:r>
      <w:r>
        <w:rPr>
          <w:rFonts w:hint="eastAsia" w:ascii="仿宋_GB2312" w:hAnsi="仿宋_GB2312" w:eastAsia="仿宋_GB2312" w:cs="仿宋_GB2312"/>
          <w:kern w:val="2"/>
          <w:sz w:val="32"/>
          <w:szCs w:val="32"/>
          <w:lang w:val="en-US" w:eastAsia="zh-CN"/>
        </w:rPr>
        <w:t>年初预算数为27.52万元，决算数27.52万元,完成年初预算的100.00%，决算数与年初预算数不存在差异。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5.社会保障和就业支出（类）行政事业单位养老支出（款）行政单位离退休（项）</w:t>
      </w:r>
      <w:r>
        <w:rPr>
          <w:rFonts w:hint="eastAsia" w:ascii="仿宋_GB2312" w:hAnsi="仿宋_GB2312" w:eastAsia="仿宋_GB2312" w:cs="仿宋_GB2312"/>
          <w:kern w:val="2"/>
          <w:sz w:val="32"/>
          <w:szCs w:val="32"/>
          <w:lang w:val="en-US" w:eastAsia="zh-CN"/>
        </w:rPr>
        <w:t>年初预算数为37.89万元，决算数37.89万元,完成年初预算的100.00%，决算数与年初预算数不存在差异。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6.社会保障和就业支出（类）行政事业单位养老支出（款）机关事业单位基本养老保险缴费支出（项）</w:t>
      </w:r>
      <w:r>
        <w:rPr>
          <w:rFonts w:hint="eastAsia" w:ascii="仿宋_GB2312" w:hAnsi="仿宋_GB2312" w:eastAsia="仿宋_GB2312" w:cs="仿宋_GB2312"/>
          <w:kern w:val="2"/>
          <w:sz w:val="32"/>
          <w:szCs w:val="32"/>
          <w:lang w:val="en-US" w:eastAsia="zh-CN"/>
        </w:rPr>
        <w:t>年初预算数为33.63万元，决算数33.63万元,完成年初预算的100.00%，决算数与年初预算数不存在差异。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7.卫生健康支出（类）行政事业单位医疗（款）行政单位医疗（项）</w:t>
      </w:r>
      <w:r>
        <w:rPr>
          <w:rFonts w:hint="eastAsia" w:ascii="仿宋_GB2312" w:hAnsi="仿宋_GB2312" w:eastAsia="仿宋_GB2312" w:cs="仿宋_GB2312"/>
          <w:kern w:val="2"/>
          <w:sz w:val="32"/>
          <w:szCs w:val="32"/>
          <w:lang w:val="en-US" w:eastAsia="zh-CN"/>
        </w:rPr>
        <w:t>年初预算数为17.45万元，决算数17.45万元,完成年初预算的100.00%，决算数与年初预算数不存在差异。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8.卫生健康支出（类）行政事业单位医疗（款）公务员医疗补助（项）</w:t>
      </w:r>
      <w:r>
        <w:rPr>
          <w:rFonts w:hint="eastAsia" w:ascii="仿宋_GB2312" w:hAnsi="仿宋_GB2312" w:eastAsia="仿宋_GB2312" w:cs="仿宋_GB2312"/>
          <w:kern w:val="2"/>
          <w:sz w:val="32"/>
          <w:szCs w:val="32"/>
          <w:lang w:val="en-US" w:eastAsia="zh-CN"/>
        </w:rPr>
        <w:t>年初预算数为18.51万元，决算数18.51万元,完成年初预算的100.00%，决算数与年初预算数不存在差异。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9.农林水支出（类）巩固脱贫攻坚成果衔接乡村振兴（款）一般行政管理事务（项）</w:t>
      </w:r>
      <w:r>
        <w:rPr>
          <w:rFonts w:hint="eastAsia" w:ascii="仿宋_GB2312" w:hAnsi="仿宋_GB2312" w:eastAsia="仿宋_GB2312" w:cs="仿宋_GB2312"/>
          <w:kern w:val="2"/>
          <w:sz w:val="32"/>
          <w:szCs w:val="32"/>
          <w:lang w:val="en-US" w:eastAsia="zh-CN"/>
        </w:rPr>
        <w:t>年初预算数为2.25万元，决算数2.25万元,完成年初预算的100.00%，决算数与年初预算数不存在差异。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10.住房保障支出（类）住房改革支出（款）住房公积金（项）</w:t>
      </w:r>
      <w:r>
        <w:rPr>
          <w:rFonts w:hint="eastAsia" w:ascii="仿宋_GB2312" w:hAnsi="仿宋_GB2312" w:eastAsia="仿宋_GB2312" w:cs="仿宋_GB2312"/>
          <w:kern w:val="2"/>
          <w:sz w:val="32"/>
          <w:szCs w:val="32"/>
          <w:lang w:val="en-US" w:eastAsia="zh-CN"/>
        </w:rPr>
        <w:t>年初预算数为32.99万元，决算数32.99万元,完成年初预算的100.00%，决算数与年初预算数不存在差异。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基本支出729.20万元。其中：人员经费657.83万元，主要包括：基本工资、津贴补贴、奖金、机关事业单位基本养老保险缴费、职工基本医疗保险缴费、公务员医疗补助缴费、其他社会保障缴费、住房公积金、退休费等。公用经费71.38万元，主要包括：办公费、印刷费、邮电费、差旅费、公务接待费、工会经费、福利费、公务用车运行维护费、其他交通费用、其他商品和服务支出、办公设备购置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本单位2023年度没有政府性基金收入，也没有使用政府性基金安排的支出。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本单位2023年度没有国有资本经营收入，也没有使用国有资本经营安排的支出。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预算为4.20万元，支出决算为1.35万元，完成预算的32.14%。2023年度“三公”经费支出决算数与预算数存在差异的主要原因是严格贯彻执行中央八项规定精神，节约压缩不必要的开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决算中，因公出国（境）费支出决算0.00万元，占0.00%；公务用车购置及运行费支出决算1.15万元,完成预算的28.75%，占85.19%；公务接待费支出决算0.20万元，完成预算的100.00%，占14.81%。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1.因公出国（境）费</w:t>
      </w:r>
      <w:r>
        <w:rPr>
          <w:rFonts w:hint="eastAsia" w:ascii="仿宋_GB2312" w:hAnsi="仿宋_GB2312" w:eastAsia="仿宋_GB2312" w:cs="仿宋_GB2312"/>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2.公务用车购置及运行费</w:t>
      </w:r>
      <w:r>
        <w:rPr>
          <w:rFonts w:hint="eastAsia" w:ascii="仿宋_GB2312" w:hAnsi="仿宋_GB2312" w:eastAsia="仿宋_GB2312" w:cs="仿宋_GB2312"/>
          <w:kern w:val="0"/>
          <w:sz w:val="32"/>
          <w:szCs w:val="32"/>
          <w:lang w:val="en-US" w:eastAsia="zh-CN"/>
        </w:rPr>
        <w:t>预算为4.00万元，支出决算为1.15万元，完成预算的28.75%。决算数与预算数存在差异的主要原因是严格贯彻执行中央八项规定精神，节约压缩不必要的开支。其中：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公务用车购置支出</w:t>
      </w:r>
      <w:r>
        <w:rPr>
          <w:rFonts w:hint="eastAsia" w:ascii="仿宋_GB2312" w:hAnsi="仿宋_GB2312" w:eastAsia="仿宋_GB2312" w:cs="仿宋_GB2312"/>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公务用车运行维护支出</w:t>
      </w:r>
      <w:r>
        <w:rPr>
          <w:rFonts w:hint="eastAsia" w:ascii="仿宋_GB2312" w:hAnsi="仿宋_GB2312" w:eastAsia="仿宋_GB2312" w:cs="仿宋_GB2312"/>
          <w:kern w:val="0"/>
          <w:sz w:val="32"/>
          <w:szCs w:val="32"/>
          <w:lang w:val="en-US" w:eastAsia="zh-CN"/>
        </w:rPr>
        <w:t>1.15万元。主要用于车辆燃油费、维修保养费、保险购置费、年检审验费等。2023年期末，单位开支财政拨款的公务用车保有量为</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3.公务接待费</w:t>
      </w:r>
      <w:r>
        <w:rPr>
          <w:rFonts w:hint="eastAsia" w:ascii="仿宋_GB2312" w:hAnsi="仿宋_GB2312" w:eastAsia="仿宋_GB2312" w:cs="仿宋_GB2312"/>
          <w:b w:val="0"/>
          <w:bCs w:val="0"/>
          <w:kern w:val="0"/>
          <w:sz w:val="32"/>
          <w:szCs w:val="32"/>
          <w:lang w:val="en-US" w:eastAsia="zh-CN"/>
        </w:rPr>
        <w:t>预算为0.20万元，支出决算为0.20万元</w:t>
      </w:r>
      <w:r>
        <w:rPr>
          <w:rFonts w:hint="eastAsia" w:ascii="仿宋_GB2312" w:hAnsi="仿宋_GB2312" w:eastAsia="仿宋_GB2312" w:cs="仿宋_GB2312"/>
          <w:kern w:val="0"/>
          <w:sz w:val="32"/>
          <w:szCs w:val="32"/>
          <w:lang w:val="en-US" w:eastAsia="zh-CN"/>
        </w:rPr>
        <w:t>，完成预算的100.00%</w:t>
      </w:r>
      <w:r>
        <w:rPr>
          <w:rFonts w:hint="eastAsia" w:ascii="仿宋_GB2312" w:hAnsi="仿宋_GB2312" w:eastAsia="仿宋_GB2312" w:cs="仿宋_GB2312"/>
          <w:b w:val="0"/>
          <w:bCs w:val="0"/>
          <w:kern w:val="0"/>
          <w:sz w:val="32"/>
          <w:szCs w:val="32"/>
          <w:lang w:val="en-US" w:eastAsia="zh-CN"/>
        </w:rPr>
        <w:t>。决算数与预算数无差异。其中：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外宾接待支出</w:t>
      </w:r>
      <w:r>
        <w:rPr>
          <w:rFonts w:hint="eastAsia" w:ascii="仿宋_GB2312" w:hAnsi="仿宋_GB2312" w:eastAsia="仿宋_GB2312" w:cs="仿宋_GB2312"/>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0"/>
          <w:sz w:val="32"/>
          <w:szCs w:val="32"/>
          <w:lang w:val="en-US" w:eastAsia="zh-CN"/>
        </w:rPr>
        <w:t>其他国内公务接待支出</w:t>
      </w:r>
      <w:r>
        <w:rPr>
          <w:rFonts w:hint="eastAsia" w:ascii="仿宋_GB2312" w:hAnsi="仿宋_GB2312" w:eastAsia="仿宋_GB2312" w:cs="仿宋_GB2312"/>
          <w:b w:val="0"/>
          <w:bCs w:val="0"/>
          <w:kern w:val="0"/>
          <w:sz w:val="32"/>
          <w:szCs w:val="32"/>
          <w:lang w:val="en-US" w:eastAsia="zh-CN"/>
        </w:rPr>
        <w:t>0.20</w:t>
      </w:r>
      <w:r>
        <w:rPr>
          <w:rFonts w:hint="eastAsia" w:ascii="仿宋_GB2312" w:hAnsi="仿宋_GB2312" w:eastAsia="仿宋_GB2312" w:cs="仿宋_GB2312"/>
          <w:kern w:val="0"/>
          <w:sz w:val="32"/>
          <w:szCs w:val="32"/>
          <w:lang w:val="en-US" w:eastAsia="zh-CN"/>
        </w:rPr>
        <w:t>万元。</w:t>
      </w:r>
      <w:r>
        <w:rPr>
          <w:rFonts w:hint="eastAsia" w:ascii="仿宋_GB2312" w:hAnsi="仿宋_GB2312" w:eastAsia="仿宋_GB2312" w:cs="仿宋_GB2312"/>
          <w:b w:val="0"/>
          <w:bCs w:val="0"/>
          <w:kern w:val="0"/>
          <w:sz w:val="32"/>
          <w:szCs w:val="32"/>
          <w:lang w:val="en-US" w:eastAsia="zh-CN"/>
        </w:rPr>
        <w:t>主要用于接待省内各地市机关事务管理部门来访相关公务活动等支出。</w:t>
      </w:r>
      <w:r>
        <w:rPr>
          <w:rFonts w:hint="eastAsia" w:ascii="仿宋_GB2312" w:hAnsi="仿宋_GB2312" w:eastAsia="仿宋_GB2312" w:cs="仿宋_GB2312"/>
          <w:kern w:val="0"/>
          <w:sz w:val="32"/>
          <w:szCs w:val="32"/>
          <w:lang w:val="en-US" w:eastAsia="zh-CN"/>
        </w:rPr>
        <w:t>2023年共接待国内来访团组4个、来宾29人次（不包括陪同人员）</w:t>
      </w:r>
      <w:r>
        <w:rPr>
          <w:rFonts w:hint="eastAsia" w:ascii="仿宋_GB2312" w:hAnsi="仿宋_GB2312" w:eastAsia="仿宋_GB2312" w:cs="仿宋_GB2312"/>
          <w:kern w:val="2"/>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2023年度机关运行经费支出71.38万元，较2022年度下降40.83万元，下降36.39%，主要原因是机关办公区办公用房改造工程完结。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cs="仿宋_GB2312"/>
          <w:kern w:val="2"/>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2023年期末，本单位共有车辆1辆，其中：省级领导干部用车0辆、主要领导干部用车0辆、机要通信用车1辆、应急保障车0辆、执法执勤用车0辆、特种专业技术用车0</w:t>
      </w:r>
      <w:r>
        <w:rPr>
          <w:rFonts w:hint="eastAsia" w:ascii="仿宋_GB2312" w:hAnsi="仿宋_GB2312" w:eastAsia="仿宋_GB2312" w:cs="仿宋_GB2312"/>
          <w:kern w:val="0"/>
          <w:sz w:val="32"/>
          <w:szCs w:val="32"/>
          <w:lang w:val="en-US" w:eastAsia="zh-CN"/>
        </w:rPr>
        <w:tab/>
      </w:r>
      <w:r>
        <w:rPr>
          <w:rFonts w:hint="eastAsia" w:ascii="仿宋_GB2312" w:hAnsi="仿宋_GB2312" w:eastAsia="仿宋_GB2312" w:cs="仿宋_GB2312"/>
          <w:kern w:val="0"/>
          <w:sz w:val="32"/>
          <w:szCs w:val="32"/>
          <w:lang w:val="en-US" w:eastAsia="zh-CN"/>
        </w:rPr>
        <w:t>辆、离退休干部用车0辆、其他用车0辆；单价100万元（含）以上设备（不含车辆）0台（套）。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1.单位整体绩效自评。</w:t>
      </w:r>
      <w:r>
        <w:rPr>
          <w:rFonts w:hint="eastAsia" w:ascii="仿宋_GB2312" w:hAnsi="仿宋_GB2312" w:eastAsia="仿宋_GB2312" w:cs="仿宋_GB2312"/>
          <w:kern w:val="2"/>
          <w:sz w:val="32"/>
          <w:szCs w:val="32"/>
          <w:lang w:val="en-US" w:eastAsia="zh-CN"/>
        </w:rPr>
        <w:t>涉及预算资金1566.17万元。自评得分为98.3分，等级为“优”。从单位整体自评情况来看，我单位按照《中共许昌市委 许昌市人民政府关于全面实施预算绩效管理的实施意见》（许发〔2021〕13号）文件要求，不断强化预算绩效目标管理，扎实推进绩效目标与预算编制同步申报、同步公开，对本单位整体支出和项目支出开展全过程预算绩效管理，从源头上提高预算管理的科学性。2023年度我单位纳入预算绩效管理的支出总额为1566.17万元，其中：基本支出729.20万元；项目支出6个，支出金额836.96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2.项目绩效自评。</w:t>
      </w:r>
      <w:r>
        <w:rPr>
          <w:rFonts w:hint="eastAsia" w:ascii="仿宋_GB2312" w:hAnsi="仿宋_GB2312" w:eastAsia="仿宋_GB2312" w:cs="仿宋_GB2312"/>
          <w:kern w:val="2"/>
          <w:sz w:val="32"/>
          <w:szCs w:val="32"/>
          <w:lang w:val="en-US" w:eastAsia="zh-CN"/>
        </w:rPr>
        <w:t>基于项目预期目标的实现程度，我单位对2023年度单位预算项目支出（含单位参与分配的转移支付项目）开展绩效自评，涉及项目6个，项目金额837.02万元。其中：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1）“市直单位办公用房租赁经费”：根据年初设定的绩效目标，自评得分为100分，等级为“优”。全年预算数为20万元，执行数为20万元，完成预算的100%。项目绩效目标完成情况：完成市委政法委综治办办公用房租赁资金的按期支付，满足正常办公的服务保障需求。</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2）“调干楼经费”：根据年初设定的绩效目标，自评得分为98.75分,等级为“优”。全年预算数为207.59万元，执行数为207.58万元，完成预算的100%。项目绩效目标完成情况：完成调干楼的日常管理和服务工作，切实保障调干楼正常运行。为切实提升服务对象满意度，下一步我单位将提升调干楼精细化管理，进一步提升服务水平。</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3）“调干楼电器购置费”：根据年初设定的绩效目标，自评得分为100分,等级为“优”。全年预算数为8.59万元，执行数为8.59万元，完成预算的100%。项目绩效目标完成情况：完成调干楼电器设备配置更新工作，切实解决部分超期服役的电器设备在使用过程中存在的安全隐患问题，有效避免并杜绝安全事故的可能发生。</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4）“市直单位办公用房租赁经费”：根据年初设定的绩效目标，项目绩效自评得分为100分,等级为“优”。全年预算数为596万元，执行数为596万元，完成预算的100%。项目绩效目标完成情况：完成市直单位使用的办公用房租金缴纳工作，保障市直单位正常办公。为进一步提升集中办公区工作人员满意度，下一步我单位将紧紧围绕驻办公区各部门单位的服务保障需求，优化服务措施，改善服务方式，更加注重精细化、精准化服务，全面提升市直机关集中办公区服务工作质效。</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5）“派驻纪检组工作经费”：根据年初设定的绩效目标，自评得分为100分,等级为“优”。全年预算数为2.59万元，执行数为2.55万元，完成预算的98.46%。项目绩效目标完成情况：完成纪检监察内网专用电脑及软硬件设备的购置与安装，切实保障派驻纪检组纪检工作的正常运转。为切实加强项目资金的监督管理，下一步我单位将科学精准编制预算，合理安排使用资金，加快推进项目支付进度，精准结算，切实保障业务工作的高效运转。</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6）“派驻村第一书记补助经费”：根据年初设定的绩效目标，自评得分为100分,等级为“优”。全年预算数为2.25万元，执行数为2.25万元，完成预算的100%。项目绩效目标完成情况：按照专款专用、高效合理的资金使用原则，完成2023年驻村书记（工作队长）在许昌市巩固拓展脱贫攻坚成果与乡村振兴有效衔接工作开展中的生活补助与交通补贴的及时发放，资金使用进度与项目规划相符，达到了预期保障效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从项目绩效自评情况来看，2023年我单位紧紧围绕市委、市政府中心工作，认真完成了各项目标任务，取得了较好的社会效益，项目支出绩效情况较为理想，达到了预期申请时设定的各项绩效目标。评价结果显示，项目立项符合国家有关政策和事业发展需要，与单位职能密切相关，立项程序规范；绩效目标设置合理、清晰、可衡量，实施内容与预期目标密切相关；预算编制科学，具体内容细化，预算执行较好。严格执行各项制度和财务流程，推进了单位财务工作制度化、规范化、程序化，保障了单位财务经济活动合法合规，各项目均实现了预期绩效目标，评价等级均为“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eastAsia" w:ascii="仿宋_GB2312" w:hAnsi="仿宋_GB2312" w:eastAsia="仿宋_GB2312" w:cs="仿宋_GB2312"/>
          <w:kern w:val="2"/>
          <w:sz w:val="32"/>
          <w:szCs w:val="32"/>
          <w:lang w:val="en-US" w:eastAsia="zh-CN"/>
        </w:rPr>
        <w:t>根据工作实际，主管部门未选取我单位项目开展重点绩效评价。</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6"/>
        <w:gridCol w:w="1586"/>
        <w:gridCol w:w="263"/>
        <w:gridCol w:w="263"/>
        <w:gridCol w:w="1270"/>
        <w:gridCol w:w="1272"/>
        <w:gridCol w:w="1131"/>
        <w:gridCol w:w="667"/>
        <w:gridCol w:w="717"/>
        <w:gridCol w:w="1153"/>
        <w:gridCol w:w="1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1"/>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单位整体自评表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全年</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1566.17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1566.17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1566.17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1566.17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负责机关事务管理服务和保障工作；对党政机关办公用房进行管理，推进办公用房合理配置；负责全市行政事业单位公务用车管理，组织制定车辆管理办法并监督执行；负责全市公共机构节能监督管理，负责推进、指导、协调、监督全市公共机构节能工作。</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机关事务管理、保障、服务工作；完成对党政机关办公用房进行管理,推进办公用房合理配置；完成全市行政事业单位公务用车管理，组织制定车辆管理办法并监督执行；完成全市公共机构节能监督管理，负责推进、指导、协调、监督全市公共机构节能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机关事务管理服务和保障工作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对党政机关公房、行政事业单位公车、公共机构节能工作进行管理，保障运行，降低成本。</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实际</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偏差原因分析及</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工作任务</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绩效指标</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原因：绩效指标设定不够细化</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措施：加强绩效管理学习，根据项目设定合理绩效目标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预算编制</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专项资金</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政府采购</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资金使用</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管理制度</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预决算信息</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资产管理</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绩效监控</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绩效自评</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评价结果</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公房公车公共机构节能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公房公车公共机构节能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提升服务对象的满意度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有效提升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原因：对重点工作的服务质量与效能跟踪问效不够</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措施：紧密围绕服务对象保障需求，切实提升管理服务水平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被服务对象满意率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bl>
    <w:p>
      <w:pPr>
        <w:pStyle w:val="10"/>
        <w:sectPr>
          <w:pgSz w:w="11906" w:h="16838"/>
          <w:pgMar w:top="720" w:right="720" w:bottom="720" w:left="720" w:header="851" w:footer="992" w:gutter="0"/>
          <w:cols w:space="720" w:num="1"/>
          <w:docGrid w:type="lines" w:linePitch="312" w:charSpace="0"/>
        </w:sect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9"/>
        <w:gridCol w:w="830"/>
        <w:gridCol w:w="1410"/>
        <w:gridCol w:w="797"/>
        <w:gridCol w:w="797"/>
        <w:gridCol w:w="960"/>
        <w:gridCol w:w="952"/>
        <w:gridCol w:w="571"/>
        <w:gridCol w:w="571"/>
        <w:gridCol w:w="502"/>
        <w:gridCol w:w="853"/>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市直单位办公用房租赁经费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实施</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项目资金</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全年</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年度资金总额</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财政专户管理</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1598"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598"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598"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598"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预算绩效管理</w:t>
            </w:r>
          </w:p>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598"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完成市直单位使用的办公用房租金缴纳工作。</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及时完成市直单位使用办公用房租金的缴纳。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一级</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年度</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实际</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完成值</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63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3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成本</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办公用房租赁</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20万元</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3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3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3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产出</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办公用房租赁</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面积</w:t>
            </w:r>
            <w:r>
              <w:rPr>
                <w:rFonts w:hint="eastAsia" w:ascii="宋体" w:hAnsi="宋体" w:cs="宋体"/>
                <w:i w:val="0"/>
                <w:iCs w:val="0"/>
                <w:color w:val="000000"/>
                <w:kern w:val="0"/>
                <w:sz w:val="18"/>
                <w:szCs w:val="18"/>
                <w:u w:val="none"/>
                <w:lang w:val="en-US" w:eastAsia="zh-CN" w:bidi="en-AU"/>
              </w:rPr>
              <w:t>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150</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150</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平方米</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63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租赁房屋是否满足合同要求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满足单位</w:t>
            </w:r>
          </w:p>
          <w:p>
            <w:pPr>
              <w:pStyle w:val="10"/>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办</w:t>
            </w:r>
            <w:r>
              <w:rPr>
                <w:rFonts w:hint="eastAsia" w:ascii="宋体" w:hAnsi="宋体" w:eastAsia="宋体" w:cs="宋体"/>
                <w:i w:val="0"/>
                <w:iCs w:val="0"/>
                <w:color w:val="000000"/>
                <w:kern w:val="0"/>
                <w:sz w:val="18"/>
                <w:szCs w:val="18"/>
                <w:u w:val="none"/>
                <w:lang w:val="en-US" w:eastAsia="zh-CN" w:bidi="en-AU"/>
              </w:rPr>
              <w:t>公需求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3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3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效益</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3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减少办公成本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持续推进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63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3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工作人员</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63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3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0"/>
        <w:gridCol w:w="753"/>
        <w:gridCol w:w="1297"/>
        <w:gridCol w:w="552"/>
        <w:gridCol w:w="552"/>
        <w:gridCol w:w="1217"/>
        <w:gridCol w:w="1088"/>
        <w:gridCol w:w="573"/>
        <w:gridCol w:w="733"/>
        <w:gridCol w:w="507"/>
        <w:gridCol w:w="784"/>
        <w:gridCol w:w="1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调干楼经费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项目资金</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全年</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年度资金总额</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207.59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207.5</w:t>
            </w:r>
            <w:r>
              <w:rPr>
                <w:rFonts w:hint="eastAsia" w:ascii="宋体" w:hAnsi="宋体" w:cs="宋体"/>
                <w:i w:val="0"/>
                <w:iCs w:val="0"/>
                <w:color w:val="000000"/>
                <w:kern w:val="0"/>
                <w:sz w:val="18"/>
                <w:szCs w:val="18"/>
                <w:u w:val="none"/>
                <w:lang w:val="en-US" w:eastAsia="zh-CN" w:bidi="en-AU"/>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207.58</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207.59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207.5</w:t>
            </w:r>
            <w:r>
              <w:rPr>
                <w:rFonts w:hint="eastAsia" w:ascii="宋体" w:hAnsi="宋体" w:cs="宋体"/>
                <w:i w:val="0"/>
                <w:iCs w:val="0"/>
                <w:color w:val="000000"/>
                <w:kern w:val="0"/>
                <w:sz w:val="18"/>
                <w:szCs w:val="18"/>
                <w:u w:val="none"/>
                <w:lang w:val="en-US" w:eastAsia="zh-CN" w:bidi="en-AU"/>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财政专户管理</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预算绩效管理</w:t>
            </w:r>
          </w:p>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负责调干楼日常管理和服务工作，保障调干楼正常运行。</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完成全年目标任务情况良好。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绩效</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一级</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实际</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成本</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物业管理</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≤207.59</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207.5</w:t>
            </w:r>
            <w:r>
              <w:rPr>
                <w:rFonts w:hint="eastAsia" w:ascii="宋体" w:hAnsi="宋体" w:eastAsia="宋体" w:cs="宋体"/>
                <w:i w:val="0"/>
                <w:iCs w:val="0"/>
                <w:color w:val="000000"/>
                <w:kern w:val="0"/>
                <w:sz w:val="18"/>
                <w:szCs w:val="18"/>
                <w:u w:val="none"/>
                <w:lang w:val="en-US" w:eastAsia="zh-CN" w:bidi="en-AU"/>
              </w:rPr>
              <w:t>8</w:t>
            </w:r>
            <w:r>
              <w:rPr>
                <w:rFonts w:ascii="宋体" w:hAnsi="宋体" w:eastAsia="宋体" w:cs="宋体"/>
                <w:i w:val="0"/>
                <w:iCs w:val="0"/>
                <w:color w:val="000000"/>
                <w:kern w:val="0"/>
                <w:sz w:val="18"/>
                <w:szCs w:val="18"/>
                <w:u w:val="none"/>
                <w:lang w:val="en-US" w:eastAsia="zh-CN" w:bidi="en-AU"/>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产出</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数量</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物业管理</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14520平方米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14520平方米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质量</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公共设施设备完好率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时效</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物业服务完成及时性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效益</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提升入住人员生活环境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有效提升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23.75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加强精细化管理，进一步提升服务水平。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入住人员</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sectPr>
          <w:pgSz w:w="11906" w:h="16838"/>
          <w:pgMar w:top="720" w:right="720" w:bottom="720" w:left="720" w:header="851" w:footer="992" w:gutter="0"/>
          <w:cols w:space="720" w:num="1"/>
          <w:docGrid w:type="lines" w:linePitch="312" w:charSpace="0"/>
        </w:sect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6"/>
        <w:gridCol w:w="1007"/>
        <w:gridCol w:w="1580"/>
        <w:gridCol w:w="682"/>
        <w:gridCol w:w="682"/>
        <w:gridCol w:w="1219"/>
        <w:gridCol w:w="909"/>
        <w:gridCol w:w="573"/>
        <w:gridCol w:w="573"/>
        <w:gridCol w:w="513"/>
        <w:gridCol w:w="803"/>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调干楼电器购置费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实施</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项目资金</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年度资金总额</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8.59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8.59</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8.59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财政专户管理</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预算绩效管理</w:t>
            </w:r>
          </w:p>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负责调干楼电器购置及配备安装，保障调干楼</w:t>
            </w:r>
            <w:r>
              <w:rPr>
                <w:rFonts w:hint="eastAsia" w:ascii="宋体" w:hAnsi="宋体" w:eastAsia="宋体" w:cs="宋体"/>
                <w:i w:val="0"/>
                <w:iCs w:val="0"/>
                <w:color w:val="000000"/>
                <w:kern w:val="0"/>
                <w:sz w:val="18"/>
                <w:szCs w:val="18"/>
                <w:u w:val="none"/>
                <w:lang w:val="en-US" w:eastAsia="zh-CN" w:bidi="en-AU"/>
              </w:rPr>
              <w:t>管理服务工作</w:t>
            </w:r>
            <w:r>
              <w:rPr>
                <w:rFonts w:ascii="宋体" w:hAnsi="宋体" w:eastAsia="宋体" w:cs="宋体"/>
                <w:i w:val="0"/>
                <w:iCs w:val="0"/>
                <w:color w:val="000000"/>
                <w:kern w:val="0"/>
                <w:sz w:val="18"/>
                <w:szCs w:val="18"/>
                <w:u w:val="none"/>
                <w:lang w:val="en-US" w:eastAsia="zh-CN" w:bidi="en-AU"/>
              </w:rPr>
              <w:t>正常运行。</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完成目标任务情况良好。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绩效</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实际</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电器购置配备成本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≤8.59万元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8.59万元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电器新增购置数量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电器设备</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完好率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设备安装完成及时性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8"/>
                <w:szCs w:val="18"/>
                <w:u w:val="none"/>
                <w:lang w:val="en-US" w:eastAsia="zh-CN" w:bidi="en-AU"/>
              </w:rPr>
              <w:t>满足入住人员工作生活需求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有效提升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服务对象满意度</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入住人员</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sectPr>
          <w:pgSz w:w="11906" w:h="16838"/>
          <w:pgMar w:top="720" w:right="720" w:bottom="720" w:left="720" w:header="851" w:footer="992" w:gutter="0"/>
          <w:cols w:space="720" w:num="1"/>
          <w:docGrid w:type="lines" w:linePitch="312" w:charSpace="0"/>
        </w:sect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
        <w:gridCol w:w="690"/>
        <w:gridCol w:w="1201"/>
        <w:gridCol w:w="813"/>
        <w:gridCol w:w="785"/>
        <w:gridCol w:w="1485"/>
        <w:gridCol w:w="1035"/>
        <w:gridCol w:w="573"/>
        <w:gridCol w:w="733"/>
        <w:gridCol w:w="500"/>
        <w:gridCol w:w="917"/>
        <w:gridCol w:w="1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市直单位办公用房租赁经费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4"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项目资金</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年度资金总额</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596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596</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596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财政专户管理</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6"/>
                <w:szCs w:val="16"/>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完成市直单位使用的办公用房租金缴纳工作，保障市直单位正常办公。</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完成全年目标任务情况良好。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绩效</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实际</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偏差原因分析及改进</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经济成本</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每年足额缴纳创业服务中心房屋租赁费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≤596万元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596万元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社会成本</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单位集中办公，减少办公经费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单位集中办公，减少办公经费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生态环境</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创业服务中心办公</w:t>
            </w:r>
            <w:r>
              <w:rPr>
                <w:rFonts w:hint="eastAsia" w:ascii="宋体" w:hAnsi="宋体" w:eastAsia="宋体" w:cs="宋体"/>
                <w:i w:val="0"/>
                <w:iCs w:val="0"/>
                <w:color w:val="000000"/>
                <w:kern w:val="0"/>
                <w:sz w:val="18"/>
                <w:szCs w:val="18"/>
                <w:u w:val="none"/>
                <w:lang w:val="en-US" w:eastAsia="zh-CN" w:bidi="en-AU"/>
              </w:rPr>
              <w:t>用房</w:t>
            </w:r>
            <w:r>
              <w:rPr>
                <w:rFonts w:ascii="宋体" w:hAnsi="宋体" w:eastAsia="宋体" w:cs="宋体"/>
                <w:i w:val="0"/>
                <w:iCs w:val="0"/>
                <w:color w:val="000000"/>
                <w:kern w:val="0"/>
                <w:sz w:val="18"/>
                <w:szCs w:val="18"/>
                <w:u w:val="none"/>
                <w:lang w:val="en-US" w:eastAsia="zh-CN" w:bidi="en-AU"/>
              </w:rPr>
              <w:t>租赁面积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≥150万</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150万平方米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租赁房屋是否满足合同要求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12月底前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经济效益</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社会效益</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减少办公成本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持续推进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生态效益</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工作人员</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派驻纪检组工作经费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项目资金</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全年</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全年</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年度资金总额</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r>
              <w:rPr>
                <w:rFonts w:hint="eastAsia" w:ascii="宋体" w:hAnsi="宋体" w:cs="宋体"/>
                <w:i w:val="0"/>
                <w:iCs w:val="0"/>
                <w:color w:val="000000"/>
                <w:kern w:val="0"/>
                <w:sz w:val="18"/>
                <w:szCs w:val="18"/>
                <w:u w:val="none"/>
                <w:lang w:val="en-US" w:eastAsia="zh-CN" w:bidi="en-AU"/>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2.55</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98.46%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r>
              <w:rPr>
                <w:rFonts w:hint="eastAsia" w:ascii="宋体" w:hAnsi="宋体" w:cs="宋体"/>
                <w:i w:val="0"/>
                <w:iCs w:val="0"/>
                <w:color w:val="000000"/>
                <w:kern w:val="0"/>
                <w:sz w:val="18"/>
                <w:szCs w:val="18"/>
                <w:u w:val="none"/>
                <w:lang w:val="en-US" w:eastAsia="zh-CN" w:bidi="en-AU"/>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98.46%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财政专户管理</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预算绩效管理</w:t>
            </w:r>
          </w:p>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保障执纪监督工作和执纪审查工作的顺利开展</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派驻纪检组纪检当年工作已完成，进展顺利。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绩效</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实际</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en-AU"/>
              </w:rPr>
              <w:t>派驻纪检组工作经费成本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纪检工作人员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纪检工作质量达到要求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纪检工作</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社会效益</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8"/>
                <w:szCs w:val="18"/>
                <w:u w:val="none"/>
                <w:lang w:val="en-US" w:eastAsia="zh-CN" w:bidi="en-AU"/>
              </w:rPr>
              <w:t>纪检工作效率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纪检</w:t>
            </w:r>
            <w:r>
              <w:rPr>
                <w:rFonts w:hint="eastAsia" w:ascii="宋体" w:hAnsi="宋体" w:eastAsia="宋体" w:cs="宋体"/>
                <w:i w:val="0"/>
                <w:iCs w:val="0"/>
                <w:color w:val="000000"/>
                <w:kern w:val="0"/>
                <w:sz w:val="18"/>
                <w:szCs w:val="18"/>
                <w:u w:val="none"/>
                <w:lang w:val="en-US" w:eastAsia="zh-CN" w:bidi="en-AU"/>
              </w:rPr>
              <w:t>工作</w:t>
            </w:r>
            <w:r>
              <w:rPr>
                <w:rFonts w:ascii="宋体" w:hAnsi="宋体" w:eastAsia="宋体" w:cs="宋体"/>
                <w:i w:val="0"/>
                <w:iCs w:val="0"/>
                <w:color w:val="000000"/>
                <w:kern w:val="0"/>
                <w:sz w:val="18"/>
                <w:szCs w:val="18"/>
                <w:u w:val="none"/>
                <w:lang w:val="en-US" w:eastAsia="zh-CN" w:bidi="en-AU"/>
              </w:rPr>
              <w:t>人员</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99.85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sectPr>
          <w:pgSz w:w="11906" w:h="16838"/>
          <w:pgMar w:top="720" w:right="720" w:bottom="720" w:left="720" w:header="851" w:footer="992" w:gutter="0"/>
          <w:cols w:space="720" w:num="1"/>
          <w:docGrid w:type="lines" w:linePitch="312" w:charSpace="0"/>
        </w:sect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4"/>
        <w:gridCol w:w="968"/>
        <w:gridCol w:w="1443"/>
        <w:gridCol w:w="546"/>
        <w:gridCol w:w="514"/>
        <w:gridCol w:w="1243"/>
        <w:gridCol w:w="1002"/>
        <w:gridCol w:w="685"/>
        <w:gridCol w:w="685"/>
        <w:gridCol w:w="602"/>
        <w:gridCol w:w="927"/>
        <w:gridCol w:w="1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2023年许昌市派驻村第一书记补助经费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许昌市机关事务中心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项目资金</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全年</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年度资金总额</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2.25</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财政专户管理</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预算绩效管理</w:t>
            </w:r>
          </w:p>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按照市财政局文件要求，向市级选派的驻村工作队员发放驻村生活补助、交通补贴等费用支出。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为市级驻村工作队员提供保障服务，确保了驻村帮扶工作顺利开展，群众满意度和驻村工作队员满意度均达到95%以上。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实际</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生活和交通补贴发放标准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≤2.25万元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2.25万元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生态环境</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发放生活、交通补贴人数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预算资金</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补助经费</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8"/>
                <w:szCs w:val="18"/>
                <w:u w:val="none"/>
                <w:lang w:val="en-US" w:eastAsia="zh-CN" w:bidi="en-AU"/>
              </w:rPr>
              <w:t>对驻村工作的推进作用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有效提升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服务对象</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工作队员</w:t>
            </w:r>
          </w:p>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sectPr>
          <w:pgSz w:w="11906" w:h="16838"/>
          <w:pgMar w:top="720" w:right="720" w:bottom="720" w:left="720" w:header="851" w:footer="992" w:gutter="0"/>
          <w:cols w:space="720"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bookmarkStart w:id="0" w:name="_GoBack"/>
      <w:r>
        <w:rPr>
          <w:rFonts w:hint="eastAsia" w:ascii="仿宋_GB2312" w:hAnsi="仿宋_GB2312" w:eastAsia="仿宋_GB2312" w:cs="仿宋_GB2312"/>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0"/>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90101010101"/>
    <w:charset w:val="86"/>
    <w:family w:val="auto"/>
    <w:pitch w:val="default"/>
    <w:sig w:usb0="800002BF" w:usb1="38CF7CFA" w:usb2="00000016" w:usb3="00000000" w:csb0="6016019D" w:csb1="D3F7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宋体"/>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l1uVLQAAAABQEAAA8AAAAAAAAAAQAgAAAAOAAAAGRycy9kb3ducmV2Lnht&#10;bFBLAQIUABQAAAAIAIdO4kDxKjEQ6wEAAMEDAAAOAAAAAAAAAAEAIAAAADUBAABkcnMvZTJvRG9j&#10;LnhtbFBLBQYAAAAABgAGAFkBAACS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9AD82"/>
    <w:multiLevelType w:val="multilevel"/>
    <w:tmpl w:val="FDB9AD82"/>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6EC207C"/>
    <w:rsid w:val="08D3FF8F"/>
    <w:rsid w:val="0FB3902F"/>
    <w:rsid w:val="177F32EA"/>
    <w:rsid w:val="17F71D05"/>
    <w:rsid w:val="17FE5DC0"/>
    <w:rsid w:val="1CFC45D5"/>
    <w:rsid w:val="1DFA0BCC"/>
    <w:rsid w:val="27FE8EB6"/>
    <w:rsid w:val="2F5FB1D1"/>
    <w:rsid w:val="36BDEC98"/>
    <w:rsid w:val="36BEDECB"/>
    <w:rsid w:val="3B73EE9C"/>
    <w:rsid w:val="3D258080"/>
    <w:rsid w:val="3DBD5A5D"/>
    <w:rsid w:val="3EBF1E3C"/>
    <w:rsid w:val="3F1EF5D1"/>
    <w:rsid w:val="3FBFC250"/>
    <w:rsid w:val="4D5F3A79"/>
    <w:rsid w:val="4EFF1A9E"/>
    <w:rsid w:val="4FA7AC77"/>
    <w:rsid w:val="577F2A25"/>
    <w:rsid w:val="597F273E"/>
    <w:rsid w:val="5B130D44"/>
    <w:rsid w:val="5CF94C58"/>
    <w:rsid w:val="5D5C8ED4"/>
    <w:rsid w:val="5DF92BAD"/>
    <w:rsid w:val="5E7FCAE1"/>
    <w:rsid w:val="5F7FEA95"/>
    <w:rsid w:val="667B1C0F"/>
    <w:rsid w:val="679FD06F"/>
    <w:rsid w:val="6DCF22BA"/>
    <w:rsid w:val="6EF55804"/>
    <w:rsid w:val="6FA7BF99"/>
    <w:rsid w:val="6FFE77E0"/>
    <w:rsid w:val="72BA4252"/>
    <w:rsid w:val="75BD73FD"/>
    <w:rsid w:val="75E706A7"/>
    <w:rsid w:val="773B2FD9"/>
    <w:rsid w:val="777EA8D0"/>
    <w:rsid w:val="7AB6739A"/>
    <w:rsid w:val="7B2F7F5F"/>
    <w:rsid w:val="7BFB5542"/>
    <w:rsid w:val="7BFE2739"/>
    <w:rsid w:val="7DAF4C84"/>
    <w:rsid w:val="7DBDCBE9"/>
    <w:rsid w:val="7DCBA166"/>
    <w:rsid w:val="7E3F8D7E"/>
    <w:rsid w:val="7ED538C6"/>
    <w:rsid w:val="7EFB900D"/>
    <w:rsid w:val="7FA66100"/>
    <w:rsid w:val="7FBF31EB"/>
    <w:rsid w:val="7FBF5DFF"/>
    <w:rsid w:val="7FDF2067"/>
    <w:rsid w:val="7FDFE12C"/>
    <w:rsid w:val="7FEFBFAE"/>
    <w:rsid w:val="7FF7D77A"/>
    <w:rsid w:val="7FFB5F17"/>
    <w:rsid w:val="7FFBC7E4"/>
    <w:rsid w:val="7FFF4757"/>
    <w:rsid w:val="7FFF5A2D"/>
    <w:rsid w:val="7FFFDB49"/>
    <w:rsid w:val="8DEF8075"/>
    <w:rsid w:val="9B3A9B15"/>
    <w:rsid w:val="A366B7AD"/>
    <w:rsid w:val="ABDD4C5C"/>
    <w:rsid w:val="AF4F4898"/>
    <w:rsid w:val="B2892E21"/>
    <w:rsid w:val="B2DB87C0"/>
    <w:rsid w:val="B75D888C"/>
    <w:rsid w:val="BABCE511"/>
    <w:rsid w:val="BAFD620C"/>
    <w:rsid w:val="BBEB2349"/>
    <w:rsid w:val="BE3BA107"/>
    <w:rsid w:val="BEB16C84"/>
    <w:rsid w:val="BFFFAC95"/>
    <w:rsid w:val="C3BC0E04"/>
    <w:rsid w:val="CBCDF9C2"/>
    <w:rsid w:val="CBF31787"/>
    <w:rsid w:val="CF715B16"/>
    <w:rsid w:val="D6EF578C"/>
    <w:rsid w:val="DBCF85CB"/>
    <w:rsid w:val="DBE2CDEF"/>
    <w:rsid w:val="DCBF460B"/>
    <w:rsid w:val="DCFFB464"/>
    <w:rsid w:val="DF5B2B2F"/>
    <w:rsid w:val="DF7B5476"/>
    <w:rsid w:val="DF7F5778"/>
    <w:rsid w:val="DFAFB168"/>
    <w:rsid w:val="DFBDA9E7"/>
    <w:rsid w:val="DFD5D9A3"/>
    <w:rsid w:val="DFEDD40D"/>
    <w:rsid w:val="DFFD1152"/>
    <w:rsid w:val="DFFD42C0"/>
    <w:rsid w:val="DFFD74B5"/>
    <w:rsid w:val="E1777B1C"/>
    <w:rsid w:val="E6BF8597"/>
    <w:rsid w:val="EB2D2B96"/>
    <w:rsid w:val="ED7FBC04"/>
    <w:rsid w:val="EE7D17FC"/>
    <w:rsid w:val="EFF99785"/>
    <w:rsid w:val="EFFFF81A"/>
    <w:rsid w:val="F0BFBB0A"/>
    <w:rsid w:val="F4BFB5CE"/>
    <w:rsid w:val="F52C369B"/>
    <w:rsid w:val="F5CF9890"/>
    <w:rsid w:val="F6F9C65E"/>
    <w:rsid w:val="F7AF3251"/>
    <w:rsid w:val="F7E715EC"/>
    <w:rsid w:val="FAFFFFA8"/>
    <w:rsid w:val="FB3EBAAE"/>
    <w:rsid w:val="FB7CC564"/>
    <w:rsid w:val="FBAB593D"/>
    <w:rsid w:val="FBD79B4D"/>
    <w:rsid w:val="FC7FFB0B"/>
    <w:rsid w:val="FDD3E309"/>
    <w:rsid w:val="FDF327DE"/>
    <w:rsid w:val="FDFA3510"/>
    <w:rsid w:val="FEFD827E"/>
    <w:rsid w:val="FF7D2489"/>
    <w:rsid w:val="FF7F9179"/>
    <w:rsid w:val="FFC51D8C"/>
    <w:rsid w:val="FFED79D4"/>
    <w:rsid w:val="FFF48BEF"/>
    <w:rsid w:val="FFFE254A"/>
    <w:rsid w:val="FFFF96CC"/>
    <w:rsid w:val="FFFFF2D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ca36b60f-d382-4d5f-8acb-1d83b71dc985"/>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普通表格1"/>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73</TotalTime>
  <ScaleCrop>false</ScaleCrop>
  <LinksUpToDate>false</LinksUpToDate>
  <CharactersWithSpaces>19465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2023-05-07T02:54:00Z</dcterms:created>
  <dc:creator>HSX</dc:creator>
  <cp:lastModifiedBy>huanghe</cp:lastModifiedBy>
  <dcterms:modified xsi:type="dcterms:W3CDTF">2024-10-08T11:24:14Z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DF94CE1DC53D4C5F990C8EECCB3F5EB2_13</vt:lpwstr>
  </property>
</Properties>
</file>