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许昌市机关事务中心部门决算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许昌市机关事务中心概况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许昌市机关事务中心概况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 xml:space="preserve"> 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（一）负责机关事务的管理、保障、服务工作；制定许昌市机关事务工作的规章制度并组织实施；负责市直机关办公区的运行保障；负责其他统一纳入管理的房地产及设施设备资产管理。</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（二）制定机关后勤体制改革的规划、制度和办法并监督实施；指导县（市、区）有关机关事务工作。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负责全市行政事业单位一般公务用车编制、购置审批；负责市直行政事业单位一般公务用车计划、配备、更新、使用并按规定处置；组织制定车辆管理办法并监督执行。依据《许昌市公务用车管理实施办法》，通过全市公车信息管理平台加强对全市公车信息化的监督管理；通过公车保障平台保障市直单位基层调研、突发应急事件处置、综合执法等符合条件的公务出行；负责市直单位社会化用车租赁管理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四）承担本级党政机关办公用房和省管干部周转住房管理工作，指导下级党政机关办公用房和周转住房管理工作；负责集中办公区基本建设工作。按资产管理要求，会同市财政国资管理部门做好市本级行政事业单位房地产管理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（五）承担公共机构节能监管，能耗统计、监测和评价考核等具体工作。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（六）指导和监督全市市管干部周转住房管理工作；负责省管干部周转住房的食宿及后勤服务工作。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（七）负责制定市直机关安全保卫、综合治理相关制度并监督实施。</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（八）负责健全公务接待制度，落实公务接待标准，指导下级机关国内公务接待工作，加强对本级各部门和下级机关国内公务接待工作的监督检查。</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九）负责接待来许的国家和省委、省人大、省政府、省政协机关现职副厅级以上领导同志；省内省辖市现职副厅级以上领导同志；省直部门正厅级领导同志；市委、市人大、市政府、市政协安排的其他重要宾客。负责接待国家和省委、省人大、省政府、省政协来许的工作组、调研组、检查组。协助安排市有关部门组织的大型视察团(组)。协助做好国家、省在许召开的重要会议和重大节庆活动的接待服务工作。为赴外地的重要公务活动提供联络、服务保障工作。负责接待应市委、市政府邀请前来考察、访问的国内外重要宾客。配合外事部门做好重要来宾的接待服务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（十）承办市委、市政府交办的其他事项。</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机关事务中心内设机构11个,包括：办公室、人事科、资产财务科、房地产管理科、车辆管理科、公共机构节能科、后勤改革与发展指导科、周转住房管理科、公务接待监督指导科、公务接待服务保障科、机关党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从决算单位构成看，许昌市机关事务中心部门决算包括：本级决算（1个）、所属单位决算（3个）。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本决算为汇总决算，纳入本部门2023年度部门决算编制范围的单位共4个，二级预算单位有: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1.许昌市机关事务中心 (本级)</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2.许昌市机关事务中心后勤一处</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3.许昌市机关事务中心后勤二处</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4.许昌市机关公务用车服务中心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bidi w:val="0"/>
        <w:rPr>
          <w:rFonts w:hint="eastAsia" w:ascii="仿宋_GB2312" w:hAnsi="仿宋_GB2312" w:eastAsia="仿宋_GB2312" w:cs="仿宋_GB2312"/>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部门：许昌市机关事务中心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6,669.91</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6,505.38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150.47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51.95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74.67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38.27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68.53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6,669.91</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6,889.27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219.36</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6,889.27</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6,889.27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部门：许昌市机关事务中心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6,669.91</w:t>
            </w:r>
          </w:p>
        </w:tc>
        <w:tc>
          <w:tcPr>
            <w:tcW w:w="1440" w:type="dxa"/>
            <w:vAlign w:val="center"/>
          </w:tcPr>
          <w:p>
            <w:pPr>
              <w:jc w:val="right"/>
            </w:pPr>
            <w:r>
              <w:rPr>
                <w:rFonts w:ascii="宋体" w:hAnsi="宋体" w:eastAsia="宋体" w:cs="宋体"/>
                <w:b/>
                <w:i w:val="0"/>
                <w:color w:val="000000"/>
                <w:sz w:val="17"/>
              </w:rPr>
              <w:t>6,669.91</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6,286.03</w:t>
            </w:r>
          </w:p>
        </w:tc>
        <w:tc>
          <w:tcPr>
            <w:tcW w:w="1440" w:type="dxa"/>
            <w:vAlign w:val="center"/>
          </w:tcPr>
          <w:p>
            <w:pPr>
              <w:jc w:val="right"/>
            </w:pPr>
            <w:r>
              <w:rPr>
                <w:rFonts w:ascii="宋体" w:hAnsi="宋体" w:eastAsia="宋体" w:cs="宋体"/>
                <w:b w:val="0"/>
                <w:i w:val="0"/>
                <w:color w:val="000000"/>
                <w:sz w:val="17"/>
              </w:rPr>
              <w:t>6,286.03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58.82</w:t>
            </w:r>
          </w:p>
        </w:tc>
        <w:tc>
          <w:tcPr>
            <w:tcW w:w="1440" w:type="dxa"/>
            <w:vAlign w:val="center"/>
          </w:tcPr>
          <w:p>
            <w:pPr>
              <w:jc w:val="right"/>
            </w:pPr>
            <w:r>
              <w:rPr>
                <w:rFonts w:ascii="宋体" w:hAnsi="宋体" w:eastAsia="宋体" w:cs="宋体"/>
                <w:b w:val="0"/>
                <w:i w:val="0"/>
                <w:color w:val="000000"/>
                <w:sz w:val="17"/>
              </w:rPr>
              <w:t>58.82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2010103</w:t>
            </w:r>
          </w:p>
        </w:tc>
        <w:tc>
          <w:tcPr>
            <w:tcW w:w="3140" w:type="dxa"/>
            <w:vAlign w:val="center"/>
          </w:tcPr>
          <w:p>
            <w:pPr>
              <w:jc w:val="left"/>
            </w:pPr>
            <w:r>
              <w:rPr>
                <w:rFonts w:ascii="宋体" w:hAnsi="宋体" w:eastAsia="宋体" w:cs="宋体"/>
                <w:b w:val="0"/>
                <w:i w:val="0"/>
                <w:color w:val="000000"/>
                <w:sz w:val="17"/>
              </w:rPr>
              <w:t>机关服务</w:t>
            </w:r>
          </w:p>
        </w:tc>
        <w:tc>
          <w:tcPr>
            <w:tcW w:w="1440" w:type="dxa"/>
            <w:vAlign w:val="center"/>
          </w:tcPr>
          <w:p>
            <w:pPr>
              <w:jc w:val="right"/>
            </w:pPr>
            <w:r>
              <w:rPr>
                <w:rFonts w:ascii="宋体" w:hAnsi="宋体" w:eastAsia="宋体" w:cs="宋体"/>
                <w:b w:val="0"/>
                <w:i w:val="0"/>
                <w:color w:val="000000"/>
                <w:sz w:val="17"/>
              </w:rPr>
              <w:t>58.82</w:t>
            </w:r>
          </w:p>
        </w:tc>
        <w:tc>
          <w:tcPr>
            <w:tcW w:w="1440" w:type="dxa"/>
            <w:vAlign w:val="center"/>
          </w:tcPr>
          <w:p>
            <w:pPr>
              <w:jc w:val="right"/>
            </w:pPr>
            <w:r>
              <w:rPr>
                <w:rFonts w:ascii="宋体" w:hAnsi="宋体" w:eastAsia="宋体" w:cs="宋体"/>
                <w:b w:val="0"/>
                <w:i w:val="0"/>
                <w:color w:val="000000"/>
                <w:sz w:val="17"/>
              </w:rPr>
              <w:t>58.82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w:t>
            </w:r>
          </w:p>
        </w:tc>
        <w:tc>
          <w:tcPr>
            <w:tcW w:w="3140" w:type="dxa"/>
            <w:vAlign w:val="center"/>
          </w:tcPr>
          <w:p>
            <w:pPr>
              <w:jc w:val="left"/>
            </w:pPr>
            <w:r>
              <w:rPr>
                <w:rFonts w:ascii="宋体" w:hAnsi="宋体" w:eastAsia="宋体" w:cs="宋体"/>
                <w:b w:val="0"/>
                <w:i w:val="0"/>
                <w:color w:val="000000"/>
                <w:sz w:val="17"/>
              </w:rPr>
              <w:t>政府办公厅（室）及相关机构事务</w:t>
            </w:r>
          </w:p>
        </w:tc>
        <w:tc>
          <w:tcPr>
            <w:tcW w:w="1440" w:type="dxa"/>
            <w:vAlign w:val="center"/>
          </w:tcPr>
          <w:p>
            <w:pPr>
              <w:jc w:val="right"/>
            </w:pPr>
            <w:r>
              <w:rPr>
                <w:rFonts w:ascii="宋体" w:hAnsi="宋体" w:eastAsia="宋体" w:cs="宋体"/>
                <w:b w:val="0"/>
                <w:i w:val="0"/>
                <w:color w:val="000000"/>
                <w:sz w:val="17"/>
              </w:rPr>
              <w:t>6,167.03</w:t>
            </w:r>
          </w:p>
        </w:tc>
        <w:tc>
          <w:tcPr>
            <w:tcW w:w="1440" w:type="dxa"/>
            <w:vAlign w:val="center"/>
          </w:tcPr>
          <w:p>
            <w:pPr>
              <w:jc w:val="right"/>
            </w:pPr>
            <w:r>
              <w:rPr>
                <w:rFonts w:ascii="宋体" w:hAnsi="宋体" w:eastAsia="宋体" w:cs="宋体"/>
                <w:b w:val="0"/>
                <w:i w:val="0"/>
                <w:color w:val="000000"/>
                <w:sz w:val="17"/>
              </w:rPr>
              <w:t>6,167.03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2010303</w:t>
            </w:r>
          </w:p>
        </w:tc>
        <w:tc>
          <w:tcPr>
            <w:tcW w:w="3140" w:type="dxa"/>
            <w:vAlign w:val="center"/>
          </w:tcPr>
          <w:p>
            <w:pPr>
              <w:jc w:val="left"/>
            </w:pPr>
            <w:r>
              <w:rPr>
                <w:rFonts w:ascii="宋体" w:hAnsi="宋体" w:eastAsia="宋体" w:cs="宋体"/>
                <w:b w:val="0"/>
                <w:i w:val="0"/>
                <w:color w:val="000000"/>
                <w:sz w:val="17"/>
              </w:rPr>
              <w:t>机关服务</w:t>
            </w:r>
          </w:p>
        </w:tc>
        <w:tc>
          <w:tcPr>
            <w:tcW w:w="1440" w:type="dxa"/>
            <w:vAlign w:val="center"/>
          </w:tcPr>
          <w:p>
            <w:pPr>
              <w:jc w:val="right"/>
            </w:pPr>
            <w:r>
              <w:rPr>
                <w:rFonts w:ascii="宋体" w:hAnsi="宋体" w:eastAsia="宋体" w:cs="宋体"/>
                <w:b w:val="0"/>
                <w:i w:val="0"/>
                <w:color w:val="000000"/>
                <w:sz w:val="17"/>
              </w:rPr>
              <w:t>1,362.72</w:t>
            </w:r>
          </w:p>
        </w:tc>
        <w:tc>
          <w:tcPr>
            <w:tcW w:w="1440" w:type="dxa"/>
            <w:vAlign w:val="center"/>
          </w:tcPr>
          <w:p>
            <w:pPr>
              <w:jc w:val="right"/>
            </w:pPr>
            <w:r>
              <w:rPr>
                <w:rFonts w:ascii="宋体" w:hAnsi="宋体" w:eastAsia="宋体" w:cs="宋体"/>
                <w:b w:val="0"/>
                <w:i w:val="0"/>
                <w:color w:val="000000"/>
                <w:sz w:val="17"/>
              </w:rPr>
              <w:t>1,362.72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4,804.31</w:t>
            </w:r>
          </w:p>
        </w:tc>
        <w:tc>
          <w:tcPr>
            <w:tcW w:w="1440" w:type="dxa"/>
            <w:vAlign w:val="center"/>
          </w:tcPr>
          <w:p>
            <w:pPr>
              <w:jc w:val="right"/>
            </w:pPr>
            <w:r>
              <w:rPr>
                <w:rFonts w:ascii="宋体" w:hAnsi="宋体" w:eastAsia="宋体" w:cs="宋体"/>
                <w:b w:val="0"/>
                <w:i w:val="0"/>
                <w:color w:val="000000"/>
                <w:sz w:val="17"/>
              </w:rPr>
              <w:t>4,804.31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8.27</w:t>
            </w:r>
          </w:p>
        </w:tc>
        <w:tc>
          <w:tcPr>
            <w:tcW w:w="1440" w:type="dxa"/>
            <w:vAlign w:val="center"/>
          </w:tcPr>
          <w:p>
            <w:pPr>
              <w:jc w:val="right"/>
            </w:pPr>
            <w:r>
              <w:rPr>
                <w:rFonts w:ascii="宋体" w:hAnsi="宋体" w:eastAsia="宋体" w:cs="宋体"/>
                <w:b w:val="0"/>
                <w:i w:val="0"/>
                <w:color w:val="000000"/>
                <w:sz w:val="17"/>
              </w:rPr>
              <w:t>8.27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8.27</w:t>
            </w:r>
          </w:p>
        </w:tc>
        <w:tc>
          <w:tcPr>
            <w:tcW w:w="1440" w:type="dxa"/>
            <w:vAlign w:val="center"/>
          </w:tcPr>
          <w:p>
            <w:pPr>
              <w:jc w:val="right"/>
            </w:pPr>
            <w:r>
              <w:rPr>
                <w:rFonts w:ascii="宋体" w:hAnsi="宋体" w:eastAsia="宋体" w:cs="宋体"/>
                <w:b w:val="0"/>
                <w:i w:val="0"/>
                <w:color w:val="000000"/>
                <w:sz w:val="17"/>
              </w:rPr>
              <w:t>8.27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51.91</w:t>
            </w:r>
          </w:p>
        </w:tc>
        <w:tc>
          <w:tcPr>
            <w:tcW w:w="1440" w:type="dxa"/>
            <w:vAlign w:val="center"/>
          </w:tcPr>
          <w:p>
            <w:pPr>
              <w:jc w:val="right"/>
            </w:pPr>
            <w:r>
              <w:rPr>
                <w:rFonts w:ascii="宋体" w:hAnsi="宋体" w:eastAsia="宋体" w:cs="宋体"/>
                <w:b w:val="0"/>
                <w:i w:val="0"/>
                <w:color w:val="000000"/>
                <w:sz w:val="17"/>
              </w:rPr>
              <w:t>51.91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51.91</w:t>
            </w:r>
          </w:p>
        </w:tc>
        <w:tc>
          <w:tcPr>
            <w:tcW w:w="1440" w:type="dxa"/>
            <w:vAlign w:val="center"/>
          </w:tcPr>
          <w:p>
            <w:pPr>
              <w:jc w:val="right"/>
            </w:pPr>
            <w:r>
              <w:rPr>
                <w:rFonts w:ascii="宋体" w:hAnsi="宋体" w:eastAsia="宋体" w:cs="宋体"/>
                <w:b w:val="0"/>
                <w:i w:val="0"/>
                <w:color w:val="000000"/>
                <w:sz w:val="17"/>
              </w:rPr>
              <w:t>51.91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150.46</w:t>
            </w:r>
          </w:p>
        </w:tc>
        <w:tc>
          <w:tcPr>
            <w:tcW w:w="1440" w:type="dxa"/>
            <w:vAlign w:val="center"/>
          </w:tcPr>
          <w:p>
            <w:pPr>
              <w:jc w:val="right"/>
            </w:pPr>
            <w:r>
              <w:rPr>
                <w:rFonts w:ascii="宋体" w:hAnsi="宋体" w:eastAsia="宋体" w:cs="宋体"/>
                <w:b w:val="0"/>
                <w:i w:val="0"/>
                <w:color w:val="000000"/>
                <w:sz w:val="17"/>
              </w:rPr>
              <w:t>150.46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146.42</w:t>
            </w:r>
          </w:p>
        </w:tc>
        <w:tc>
          <w:tcPr>
            <w:tcW w:w="1440" w:type="dxa"/>
            <w:vAlign w:val="center"/>
          </w:tcPr>
          <w:p>
            <w:pPr>
              <w:jc w:val="right"/>
            </w:pPr>
            <w:r>
              <w:rPr>
                <w:rFonts w:ascii="宋体" w:hAnsi="宋体" w:eastAsia="宋体" w:cs="宋体"/>
                <w:b w:val="0"/>
                <w:i w:val="0"/>
                <w:color w:val="000000"/>
                <w:sz w:val="17"/>
              </w:rPr>
              <w:t>146.42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37.89</w:t>
            </w:r>
          </w:p>
        </w:tc>
        <w:tc>
          <w:tcPr>
            <w:tcW w:w="1440" w:type="dxa"/>
            <w:vAlign w:val="center"/>
          </w:tcPr>
          <w:p>
            <w:pPr>
              <w:jc w:val="right"/>
            </w:pPr>
            <w:r>
              <w:rPr>
                <w:rFonts w:ascii="宋体" w:hAnsi="宋体" w:eastAsia="宋体" w:cs="宋体"/>
                <w:b w:val="0"/>
                <w:i w:val="0"/>
                <w:color w:val="000000"/>
                <w:sz w:val="17"/>
              </w:rPr>
              <w:t>37.89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43.15</w:t>
            </w:r>
          </w:p>
        </w:tc>
        <w:tc>
          <w:tcPr>
            <w:tcW w:w="1440" w:type="dxa"/>
            <w:vAlign w:val="center"/>
          </w:tcPr>
          <w:p>
            <w:pPr>
              <w:jc w:val="right"/>
            </w:pPr>
            <w:r>
              <w:rPr>
                <w:rFonts w:ascii="宋体" w:hAnsi="宋体" w:eastAsia="宋体" w:cs="宋体"/>
                <w:b w:val="0"/>
                <w:i w:val="0"/>
                <w:color w:val="000000"/>
                <w:sz w:val="17"/>
              </w:rPr>
              <w:t>43.15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64.08</w:t>
            </w:r>
          </w:p>
        </w:tc>
        <w:tc>
          <w:tcPr>
            <w:tcW w:w="1440" w:type="dxa"/>
            <w:vAlign w:val="center"/>
          </w:tcPr>
          <w:p>
            <w:pPr>
              <w:jc w:val="right"/>
            </w:pPr>
            <w:r>
              <w:rPr>
                <w:rFonts w:ascii="宋体" w:hAnsi="宋体" w:eastAsia="宋体" w:cs="宋体"/>
                <w:b w:val="0"/>
                <w:i w:val="0"/>
                <w:color w:val="000000"/>
                <w:sz w:val="17"/>
              </w:rPr>
              <w:t>64.08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2080506</w:t>
            </w:r>
          </w:p>
        </w:tc>
        <w:tc>
          <w:tcPr>
            <w:tcW w:w="3140" w:type="dxa"/>
            <w:vAlign w:val="center"/>
          </w:tcPr>
          <w:p>
            <w:pPr>
              <w:jc w:val="left"/>
            </w:pPr>
            <w:r>
              <w:rPr>
                <w:rFonts w:ascii="宋体" w:hAnsi="宋体" w:eastAsia="宋体" w:cs="宋体"/>
                <w:b w:val="0"/>
                <w:i w:val="0"/>
                <w:color w:val="000000"/>
                <w:sz w:val="17"/>
              </w:rPr>
              <w:t>机关事业单位职业年金缴费支出</w:t>
            </w:r>
          </w:p>
        </w:tc>
        <w:tc>
          <w:tcPr>
            <w:tcW w:w="1440" w:type="dxa"/>
            <w:vAlign w:val="center"/>
          </w:tcPr>
          <w:p>
            <w:pPr>
              <w:jc w:val="right"/>
            </w:pPr>
            <w:r>
              <w:rPr>
                <w:rFonts w:ascii="宋体" w:hAnsi="宋体" w:eastAsia="宋体" w:cs="宋体"/>
                <w:b w:val="0"/>
                <w:i w:val="0"/>
                <w:color w:val="000000"/>
                <w:sz w:val="17"/>
              </w:rPr>
              <w:t>1.30</w:t>
            </w:r>
          </w:p>
        </w:tc>
        <w:tc>
          <w:tcPr>
            <w:tcW w:w="1440" w:type="dxa"/>
            <w:vAlign w:val="center"/>
          </w:tcPr>
          <w:p>
            <w:pPr>
              <w:jc w:val="right"/>
            </w:pPr>
            <w:r>
              <w:rPr>
                <w:rFonts w:ascii="宋体" w:hAnsi="宋体" w:eastAsia="宋体" w:cs="宋体"/>
                <w:b w:val="0"/>
                <w:i w:val="0"/>
                <w:color w:val="000000"/>
                <w:sz w:val="17"/>
              </w:rPr>
              <w:t>1.30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4.04</w:t>
            </w:r>
          </w:p>
        </w:tc>
        <w:tc>
          <w:tcPr>
            <w:tcW w:w="1440" w:type="dxa"/>
            <w:vAlign w:val="center"/>
          </w:tcPr>
          <w:p>
            <w:pPr>
              <w:jc w:val="right"/>
            </w:pPr>
            <w:r>
              <w:rPr>
                <w:rFonts w:ascii="宋体" w:hAnsi="宋体" w:eastAsia="宋体" w:cs="宋体"/>
                <w:b w:val="0"/>
                <w:i w:val="0"/>
                <w:color w:val="000000"/>
                <w:sz w:val="17"/>
              </w:rPr>
              <w:t>4.04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4.04</w:t>
            </w:r>
          </w:p>
        </w:tc>
        <w:tc>
          <w:tcPr>
            <w:tcW w:w="1440" w:type="dxa"/>
            <w:vAlign w:val="center"/>
          </w:tcPr>
          <w:p>
            <w:pPr>
              <w:jc w:val="right"/>
            </w:pPr>
            <w:r>
              <w:rPr>
                <w:rFonts w:ascii="宋体" w:hAnsi="宋体" w:eastAsia="宋体" w:cs="宋体"/>
                <w:b w:val="0"/>
                <w:i w:val="0"/>
                <w:color w:val="000000"/>
                <w:sz w:val="17"/>
              </w:rPr>
              <w:t>4.04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51.95</w:t>
            </w:r>
          </w:p>
        </w:tc>
        <w:tc>
          <w:tcPr>
            <w:tcW w:w="1440" w:type="dxa"/>
            <w:vAlign w:val="center"/>
          </w:tcPr>
          <w:p>
            <w:pPr>
              <w:jc w:val="right"/>
            </w:pPr>
            <w:r>
              <w:rPr>
                <w:rFonts w:ascii="宋体" w:hAnsi="宋体" w:eastAsia="宋体" w:cs="宋体"/>
                <w:b w:val="0"/>
                <w:i w:val="0"/>
                <w:color w:val="000000"/>
                <w:sz w:val="17"/>
              </w:rPr>
              <w:t>51.95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51.95</w:t>
            </w:r>
          </w:p>
        </w:tc>
        <w:tc>
          <w:tcPr>
            <w:tcW w:w="1440" w:type="dxa"/>
            <w:vAlign w:val="center"/>
          </w:tcPr>
          <w:p>
            <w:pPr>
              <w:jc w:val="right"/>
            </w:pPr>
            <w:r>
              <w:rPr>
                <w:rFonts w:ascii="宋体" w:hAnsi="宋体" w:eastAsia="宋体" w:cs="宋体"/>
                <w:b w:val="0"/>
                <w:i w:val="0"/>
                <w:color w:val="000000"/>
                <w:sz w:val="17"/>
              </w:rPr>
              <w:t>51.95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17.45</w:t>
            </w:r>
          </w:p>
        </w:tc>
        <w:tc>
          <w:tcPr>
            <w:tcW w:w="1440" w:type="dxa"/>
            <w:vAlign w:val="center"/>
          </w:tcPr>
          <w:p>
            <w:pPr>
              <w:jc w:val="right"/>
            </w:pPr>
            <w:r>
              <w:rPr>
                <w:rFonts w:ascii="宋体" w:hAnsi="宋体" w:eastAsia="宋体" w:cs="宋体"/>
                <w:b w:val="0"/>
                <w:i w:val="0"/>
                <w:color w:val="000000"/>
                <w:sz w:val="17"/>
              </w:rPr>
              <w:t>17.45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15.99</w:t>
            </w:r>
          </w:p>
        </w:tc>
        <w:tc>
          <w:tcPr>
            <w:tcW w:w="1440" w:type="dxa"/>
            <w:vAlign w:val="center"/>
          </w:tcPr>
          <w:p>
            <w:pPr>
              <w:jc w:val="right"/>
            </w:pPr>
            <w:r>
              <w:rPr>
                <w:rFonts w:ascii="宋体" w:hAnsi="宋体" w:eastAsia="宋体" w:cs="宋体"/>
                <w:b w:val="0"/>
                <w:i w:val="0"/>
                <w:color w:val="000000"/>
                <w:sz w:val="17"/>
              </w:rPr>
              <w:t>15.99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18.51</w:t>
            </w:r>
          </w:p>
        </w:tc>
        <w:tc>
          <w:tcPr>
            <w:tcW w:w="1440" w:type="dxa"/>
            <w:vAlign w:val="center"/>
          </w:tcPr>
          <w:p>
            <w:pPr>
              <w:jc w:val="right"/>
            </w:pPr>
            <w:r>
              <w:rPr>
                <w:rFonts w:ascii="宋体" w:hAnsi="宋体" w:eastAsia="宋体" w:cs="宋体"/>
                <w:b w:val="0"/>
                <w:i w:val="0"/>
                <w:color w:val="000000"/>
                <w:sz w:val="17"/>
              </w:rPr>
              <w:t>18.51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w:t>
            </w:r>
          </w:p>
        </w:tc>
        <w:tc>
          <w:tcPr>
            <w:tcW w:w="3140" w:type="dxa"/>
            <w:vAlign w:val="center"/>
          </w:tcPr>
          <w:p>
            <w:pPr>
              <w:jc w:val="left"/>
            </w:pPr>
            <w:r>
              <w:rPr>
                <w:rFonts w:ascii="宋体" w:hAnsi="宋体" w:eastAsia="宋体" w:cs="宋体"/>
                <w:b w:val="0"/>
                <w:i w:val="0"/>
                <w:color w:val="000000"/>
                <w:sz w:val="17"/>
              </w:rPr>
              <w:t>节能环保支出</w:t>
            </w:r>
          </w:p>
        </w:tc>
        <w:tc>
          <w:tcPr>
            <w:tcW w:w="1440" w:type="dxa"/>
            <w:vAlign w:val="center"/>
          </w:tcPr>
          <w:p>
            <w:pPr>
              <w:jc w:val="right"/>
            </w:pPr>
            <w:r>
              <w:rPr>
                <w:rFonts w:ascii="宋体" w:hAnsi="宋体" w:eastAsia="宋体" w:cs="宋体"/>
                <w:b w:val="0"/>
                <w:i w:val="0"/>
                <w:color w:val="000000"/>
                <w:sz w:val="17"/>
              </w:rPr>
              <w:t>74.67</w:t>
            </w:r>
          </w:p>
        </w:tc>
        <w:tc>
          <w:tcPr>
            <w:tcW w:w="1440" w:type="dxa"/>
            <w:vAlign w:val="center"/>
          </w:tcPr>
          <w:p>
            <w:pPr>
              <w:jc w:val="right"/>
            </w:pPr>
            <w:r>
              <w:rPr>
                <w:rFonts w:ascii="宋体" w:hAnsi="宋体" w:eastAsia="宋体" w:cs="宋体"/>
                <w:b w:val="0"/>
                <w:i w:val="0"/>
                <w:color w:val="000000"/>
                <w:sz w:val="17"/>
              </w:rPr>
              <w:t>74.67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21103</w:t>
            </w:r>
          </w:p>
        </w:tc>
        <w:tc>
          <w:tcPr>
            <w:tcW w:w="3140" w:type="dxa"/>
            <w:vAlign w:val="center"/>
          </w:tcPr>
          <w:p>
            <w:pPr>
              <w:jc w:val="left"/>
            </w:pPr>
            <w:r>
              <w:rPr>
                <w:rFonts w:ascii="宋体" w:hAnsi="宋体" w:eastAsia="宋体" w:cs="宋体"/>
                <w:b w:val="0"/>
                <w:i w:val="0"/>
                <w:color w:val="000000"/>
                <w:sz w:val="17"/>
              </w:rPr>
              <w:t>污染防治</w:t>
            </w:r>
          </w:p>
        </w:tc>
        <w:tc>
          <w:tcPr>
            <w:tcW w:w="1440" w:type="dxa"/>
            <w:vAlign w:val="center"/>
          </w:tcPr>
          <w:p>
            <w:pPr>
              <w:jc w:val="right"/>
            </w:pPr>
            <w:r>
              <w:rPr>
                <w:rFonts w:ascii="宋体" w:hAnsi="宋体" w:eastAsia="宋体" w:cs="宋体"/>
                <w:b w:val="0"/>
                <w:i w:val="0"/>
                <w:color w:val="000000"/>
                <w:sz w:val="17"/>
              </w:rPr>
              <w:t>74.67</w:t>
            </w:r>
          </w:p>
        </w:tc>
        <w:tc>
          <w:tcPr>
            <w:tcW w:w="1440" w:type="dxa"/>
            <w:vAlign w:val="center"/>
          </w:tcPr>
          <w:p>
            <w:pPr>
              <w:jc w:val="right"/>
            </w:pPr>
            <w:r>
              <w:rPr>
                <w:rFonts w:ascii="宋体" w:hAnsi="宋体" w:eastAsia="宋体" w:cs="宋体"/>
                <w:b w:val="0"/>
                <w:i w:val="0"/>
                <w:color w:val="000000"/>
                <w:sz w:val="17"/>
              </w:rPr>
              <w:t>74.67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2110301</w:t>
            </w:r>
          </w:p>
        </w:tc>
        <w:tc>
          <w:tcPr>
            <w:tcW w:w="3140" w:type="dxa"/>
            <w:vAlign w:val="center"/>
          </w:tcPr>
          <w:p>
            <w:pPr>
              <w:jc w:val="left"/>
            </w:pPr>
            <w:r>
              <w:rPr>
                <w:rFonts w:ascii="宋体" w:hAnsi="宋体" w:eastAsia="宋体" w:cs="宋体"/>
                <w:b w:val="0"/>
                <w:i w:val="0"/>
                <w:color w:val="000000"/>
                <w:sz w:val="17"/>
              </w:rPr>
              <w:t>大气</w:t>
            </w:r>
          </w:p>
        </w:tc>
        <w:tc>
          <w:tcPr>
            <w:tcW w:w="1440" w:type="dxa"/>
            <w:vAlign w:val="center"/>
          </w:tcPr>
          <w:p>
            <w:pPr>
              <w:jc w:val="right"/>
            </w:pPr>
            <w:r>
              <w:rPr>
                <w:rFonts w:ascii="宋体" w:hAnsi="宋体" w:eastAsia="宋体" w:cs="宋体"/>
                <w:b w:val="0"/>
                <w:i w:val="0"/>
                <w:color w:val="000000"/>
                <w:sz w:val="17"/>
              </w:rPr>
              <w:t>74.67</w:t>
            </w:r>
          </w:p>
        </w:tc>
        <w:tc>
          <w:tcPr>
            <w:tcW w:w="1440" w:type="dxa"/>
            <w:vAlign w:val="center"/>
          </w:tcPr>
          <w:p>
            <w:pPr>
              <w:jc w:val="right"/>
            </w:pPr>
            <w:r>
              <w:rPr>
                <w:rFonts w:ascii="宋体" w:hAnsi="宋体" w:eastAsia="宋体" w:cs="宋体"/>
                <w:b w:val="0"/>
                <w:i w:val="0"/>
                <w:color w:val="000000"/>
                <w:sz w:val="17"/>
              </w:rPr>
              <w:t>74.67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38.27</w:t>
            </w:r>
          </w:p>
        </w:tc>
        <w:tc>
          <w:tcPr>
            <w:tcW w:w="1440" w:type="dxa"/>
            <w:vAlign w:val="center"/>
          </w:tcPr>
          <w:p>
            <w:pPr>
              <w:jc w:val="right"/>
            </w:pPr>
            <w:r>
              <w:rPr>
                <w:rFonts w:ascii="宋体" w:hAnsi="宋体" w:eastAsia="宋体" w:cs="宋体"/>
                <w:b w:val="0"/>
                <w:i w:val="0"/>
                <w:color w:val="000000"/>
                <w:sz w:val="17"/>
              </w:rPr>
              <w:t>38.27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21303</w:t>
            </w:r>
          </w:p>
        </w:tc>
        <w:tc>
          <w:tcPr>
            <w:tcW w:w="3140" w:type="dxa"/>
            <w:vAlign w:val="center"/>
          </w:tcPr>
          <w:p>
            <w:pPr>
              <w:jc w:val="left"/>
            </w:pPr>
            <w:r>
              <w:rPr>
                <w:rFonts w:ascii="宋体" w:hAnsi="宋体" w:eastAsia="宋体" w:cs="宋体"/>
                <w:b w:val="0"/>
                <w:i w:val="0"/>
                <w:color w:val="000000"/>
                <w:sz w:val="17"/>
              </w:rPr>
              <w:t>水利</w:t>
            </w:r>
          </w:p>
        </w:tc>
        <w:tc>
          <w:tcPr>
            <w:tcW w:w="1440" w:type="dxa"/>
            <w:vAlign w:val="center"/>
          </w:tcPr>
          <w:p>
            <w:pPr>
              <w:jc w:val="right"/>
            </w:pPr>
            <w:r>
              <w:rPr>
                <w:rFonts w:ascii="宋体" w:hAnsi="宋体" w:eastAsia="宋体" w:cs="宋体"/>
                <w:b w:val="0"/>
                <w:i w:val="0"/>
                <w:color w:val="000000"/>
                <w:sz w:val="17"/>
              </w:rPr>
              <w:t>36.02</w:t>
            </w:r>
          </w:p>
        </w:tc>
        <w:tc>
          <w:tcPr>
            <w:tcW w:w="1440" w:type="dxa"/>
            <w:vAlign w:val="center"/>
          </w:tcPr>
          <w:p>
            <w:pPr>
              <w:jc w:val="right"/>
            </w:pPr>
            <w:r>
              <w:rPr>
                <w:rFonts w:ascii="宋体" w:hAnsi="宋体" w:eastAsia="宋体" w:cs="宋体"/>
                <w:b w:val="0"/>
                <w:i w:val="0"/>
                <w:color w:val="000000"/>
                <w:sz w:val="17"/>
              </w:rPr>
              <w:t>36.02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2130311</w:t>
            </w:r>
          </w:p>
        </w:tc>
        <w:tc>
          <w:tcPr>
            <w:tcW w:w="3140" w:type="dxa"/>
            <w:vAlign w:val="center"/>
          </w:tcPr>
          <w:p>
            <w:pPr>
              <w:jc w:val="left"/>
            </w:pPr>
            <w:r>
              <w:rPr>
                <w:rFonts w:ascii="宋体" w:hAnsi="宋体" w:eastAsia="宋体" w:cs="宋体"/>
                <w:b w:val="0"/>
                <w:i w:val="0"/>
                <w:color w:val="000000"/>
                <w:sz w:val="17"/>
              </w:rPr>
              <w:t>水资源节约管理与保护</w:t>
            </w:r>
          </w:p>
        </w:tc>
        <w:tc>
          <w:tcPr>
            <w:tcW w:w="1440" w:type="dxa"/>
            <w:vAlign w:val="center"/>
          </w:tcPr>
          <w:p>
            <w:pPr>
              <w:jc w:val="right"/>
            </w:pPr>
            <w:r>
              <w:rPr>
                <w:rFonts w:ascii="宋体" w:hAnsi="宋体" w:eastAsia="宋体" w:cs="宋体"/>
                <w:b w:val="0"/>
                <w:i w:val="0"/>
                <w:color w:val="000000"/>
                <w:sz w:val="17"/>
              </w:rPr>
              <w:t>36.02</w:t>
            </w:r>
          </w:p>
        </w:tc>
        <w:tc>
          <w:tcPr>
            <w:tcW w:w="1440" w:type="dxa"/>
            <w:vAlign w:val="center"/>
          </w:tcPr>
          <w:p>
            <w:pPr>
              <w:jc w:val="right"/>
            </w:pPr>
            <w:r>
              <w:rPr>
                <w:rFonts w:ascii="宋体" w:hAnsi="宋体" w:eastAsia="宋体" w:cs="宋体"/>
                <w:b w:val="0"/>
                <w:i w:val="0"/>
                <w:color w:val="000000"/>
                <w:sz w:val="17"/>
              </w:rPr>
              <w:t>36.02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68.53</w:t>
            </w:r>
          </w:p>
        </w:tc>
        <w:tc>
          <w:tcPr>
            <w:tcW w:w="1440" w:type="dxa"/>
            <w:vAlign w:val="center"/>
          </w:tcPr>
          <w:p>
            <w:pPr>
              <w:jc w:val="right"/>
            </w:pPr>
            <w:r>
              <w:rPr>
                <w:rFonts w:ascii="宋体" w:hAnsi="宋体" w:eastAsia="宋体" w:cs="宋体"/>
                <w:b w:val="0"/>
                <w:i w:val="0"/>
                <w:color w:val="000000"/>
                <w:sz w:val="17"/>
              </w:rPr>
              <w:t>68.53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68.53</w:t>
            </w:r>
          </w:p>
        </w:tc>
        <w:tc>
          <w:tcPr>
            <w:tcW w:w="1440" w:type="dxa"/>
            <w:vAlign w:val="center"/>
          </w:tcPr>
          <w:p>
            <w:pPr>
              <w:jc w:val="right"/>
            </w:pPr>
            <w:r>
              <w:rPr>
                <w:rFonts w:ascii="宋体" w:hAnsi="宋体" w:eastAsia="宋体" w:cs="宋体"/>
                <w:b w:val="0"/>
                <w:i w:val="0"/>
                <w:color w:val="000000"/>
                <w:sz w:val="17"/>
              </w:rPr>
              <w:t>68.53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68.53</w:t>
            </w:r>
          </w:p>
        </w:tc>
        <w:tc>
          <w:tcPr>
            <w:tcW w:w="1440" w:type="dxa"/>
            <w:vAlign w:val="center"/>
          </w:tcPr>
          <w:p>
            <w:pPr>
              <w:jc w:val="right"/>
            </w:pPr>
            <w:r>
              <w:rPr>
                <w:rFonts w:ascii="宋体" w:hAnsi="宋体" w:eastAsia="宋体" w:cs="宋体"/>
                <w:b w:val="0"/>
                <w:i w:val="0"/>
                <w:color w:val="000000"/>
                <w:sz w:val="17"/>
              </w:rPr>
              <w:t>68.53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部门：许昌市机关事务中心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6,889.27</w:t>
            </w:r>
          </w:p>
        </w:tc>
        <w:tc>
          <w:tcPr>
            <w:tcW w:w="1600" w:type="dxa"/>
            <w:vAlign w:val="center"/>
          </w:tcPr>
          <w:p>
            <w:pPr>
              <w:jc w:val="right"/>
            </w:pPr>
            <w:r>
              <w:rPr>
                <w:rFonts w:ascii="宋体" w:hAnsi="宋体" w:eastAsia="宋体" w:cs="宋体"/>
                <w:b/>
                <w:i w:val="0"/>
                <w:color w:val="000000"/>
                <w:sz w:val="19"/>
              </w:rPr>
              <w:t>2,344.20</w:t>
            </w:r>
          </w:p>
        </w:tc>
        <w:tc>
          <w:tcPr>
            <w:tcW w:w="1600" w:type="dxa"/>
            <w:vAlign w:val="center"/>
          </w:tcPr>
          <w:p>
            <w:pPr>
              <w:jc w:val="right"/>
            </w:pPr>
            <w:r>
              <w:rPr>
                <w:rFonts w:ascii="宋体" w:hAnsi="宋体" w:eastAsia="宋体" w:cs="宋体"/>
                <w:b/>
                <w:i w:val="0"/>
                <w:color w:val="000000"/>
                <w:sz w:val="19"/>
              </w:rPr>
              <w:t>4,545.07</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6,505.38</w:t>
            </w:r>
          </w:p>
        </w:tc>
        <w:tc>
          <w:tcPr>
            <w:tcW w:w="1600" w:type="dxa"/>
            <w:vAlign w:val="center"/>
          </w:tcPr>
          <w:p>
            <w:pPr>
              <w:jc w:val="right"/>
            </w:pPr>
            <w:r>
              <w:rPr>
                <w:rFonts w:ascii="宋体" w:hAnsi="宋体" w:eastAsia="宋体" w:cs="宋体"/>
                <w:b w:val="0"/>
                <w:i w:val="0"/>
                <w:color w:val="000000"/>
                <w:sz w:val="19"/>
              </w:rPr>
              <w:t>2,073.25</w:t>
            </w:r>
          </w:p>
        </w:tc>
        <w:tc>
          <w:tcPr>
            <w:tcW w:w="1600" w:type="dxa"/>
            <w:vAlign w:val="center"/>
          </w:tcPr>
          <w:p>
            <w:pPr>
              <w:jc w:val="right"/>
            </w:pPr>
            <w:r>
              <w:rPr>
                <w:rFonts w:ascii="宋体" w:hAnsi="宋体" w:eastAsia="宋体" w:cs="宋体"/>
                <w:b w:val="0"/>
                <w:i w:val="0"/>
                <w:color w:val="000000"/>
                <w:sz w:val="19"/>
              </w:rPr>
              <w:t>4,432.12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58.82</w:t>
            </w:r>
          </w:p>
        </w:tc>
        <w:tc>
          <w:tcPr>
            <w:tcW w:w="1600" w:type="dxa"/>
            <w:vAlign w:val="center"/>
          </w:tcPr>
          <w:p>
            <w:pPr>
              <w:jc w:val="right"/>
            </w:pPr>
            <w:r>
              <w:rPr>
                <w:rFonts w:ascii="宋体" w:hAnsi="宋体" w:eastAsia="宋体" w:cs="宋体"/>
                <w:b w:val="0"/>
                <w:i w:val="0"/>
                <w:color w:val="000000"/>
                <w:sz w:val="19"/>
              </w:rPr>
              <w:t>58.82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2010103</w:t>
            </w:r>
          </w:p>
        </w:tc>
        <w:tc>
          <w:tcPr>
            <w:tcW w:w="3480" w:type="dxa"/>
            <w:vAlign w:val="center"/>
          </w:tcPr>
          <w:p>
            <w:pPr>
              <w:jc w:val="left"/>
            </w:pPr>
            <w:r>
              <w:rPr>
                <w:rFonts w:ascii="宋体" w:hAnsi="宋体" w:eastAsia="宋体" w:cs="宋体"/>
                <w:b w:val="0"/>
                <w:i w:val="0"/>
                <w:color w:val="000000"/>
                <w:sz w:val="19"/>
              </w:rPr>
              <w:t>机关服务</w:t>
            </w:r>
          </w:p>
        </w:tc>
        <w:tc>
          <w:tcPr>
            <w:tcW w:w="1600" w:type="dxa"/>
            <w:vAlign w:val="center"/>
          </w:tcPr>
          <w:p>
            <w:pPr>
              <w:jc w:val="right"/>
            </w:pPr>
            <w:r>
              <w:rPr>
                <w:rFonts w:ascii="宋体" w:hAnsi="宋体" w:eastAsia="宋体" w:cs="宋体"/>
                <w:b w:val="0"/>
                <w:i w:val="0"/>
                <w:color w:val="000000"/>
                <w:sz w:val="19"/>
              </w:rPr>
              <w:t>58.82</w:t>
            </w:r>
          </w:p>
        </w:tc>
        <w:tc>
          <w:tcPr>
            <w:tcW w:w="1600" w:type="dxa"/>
            <w:vAlign w:val="center"/>
          </w:tcPr>
          <w:p>
            <w:pPr>
              <w:jc w:val="right"/>
            </w:pPr>
            <w:r>
              <w:rPr>
                <w:rFonts w:ascii="宋体" w:hAnsi="宋体" w:eastAsia="宋体" w:cs="宋体"/>
                <w:b w:val="0"/>
                <w:i w:val="0"/>
                <w:color w:val="000000"/>
                <w:sz w:val="19"/>
              </w:rPr>
              <w:t>58.82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w:t>
            </w:r>
          </w:p>
        </w:tc>
        <w:tc>
          <w:tcPr>
            <w:tcW w:w="3480" w:type="dxa"/>
            <w:vAlign w:val="center"/>
          </w:tcPr>
          <w:p>
            <w:pPr>
              <w:jc w:val="left"/>
            </w:pPr>
            <w:r>
              <w:rPr>
                <w:rFonts w:ascii="宋体" w:hAnsi="宋体" w:eastAsia="宋体" w:cs="宋体"/>
                <w:b w:val="0"/>
                <w:i w:val="0"/>
                <w:color w:val="000000"/>
                <w:sz w:val="19"/>
              </w:rPr>
              <w:t>政府办公厅（室）及相关机构事务</w:t>
            </w:r>
          </w:p>
        </w:tc>
        <w:tc>
          <w:tcPr>
            <w:tcW w:w="1600" w:type="dxa"/>
            <w:vAlign w:val="center"/>
          </w:tcPr>
          <w:p>
            <w:pPr>
              <w:jc w:val="right"/>
            </w:pPr>
            <w:r>
              <w:rPr>
                <w:rFonts w:ascii="宋体" w:hAnsi="宋体" w:eastAsia="宋体" w:cs="宋体"/>
                <w:b w:val="0"/>
                <w:i w:val="0"/>
                <w:color w:val="000000"/>
                <w:sz w:val="19"/>
              </w:rPr>
              <w:t>6,386.38</w:t>
            </w:r>
          </w:p>
        </w:tc>
        <w:tc>
          <w:tcPr>
            <w:tcW w:w="1600" w:type="dxa"/>
            <w:vAlign w:val="center"/>
          </w:tcPr>
          <w:p>
            <w:pPr>
              <w:jc w:val="right"/>
            </w:pPr>
            <w:r>
              <w:rPr>
                <w:rFonts w:ascii="宋体" w:hAnsi="宋体" w:eastAsia="宋体" w:cs="宋体"/>
                <w:b w:val="0"/>
                <w:i w:val="0"/>
                <w:color w:val="000000"/>
                <w:sz w:val="19"/>
              </w:rPr>
              <w:t>1,954.25</w:t>
            </w:r>
          </w:p>
        </w:tc>
        <w:tc>
          <w:tcPr>
            <w:tcW w:w="1600" w:type="dxa"/>
            <w:vAlign w:val="center"/>
          </w:tcPr>
          <w:p>
            <w:pPr>
              <w:jc w:val="right"/>
            </w:pPr>
            <w:r>
              <w:rPr>
                <w:rFonts w:ascii="宋体" w:hAnsi="宋体" w:eastAsia="宋体" w:cs="宋体"/>
                <w:b w:val="0"/>
                <w:i w:val="0"/>
                <w:color w:val="000000"/>
                <w:sz w:val="19"/>
              </w:rPr>
              <w:t>4,432.12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2010303</w:t>
            </w:r>
          </w:p>
        </w:tc>
        <w:tc>
          <w:tcPr>
            <w:tcW w:w="3480" w:type="dxa"/>
            <w:vAlign w:val="center"/>
          </w:tcPr>
          <w:p>
            <w:pPr>
              <w:jc w:val="left"/>
            </w:pPr>
            <w:r>
              <w:rPr>
                <w:rFonts w:ascii="宋体" w:hAnsi="宋体" w:eastAsia="宋体" w:cs="宋体"/>
                <w:b w:val="0"/>
                <w:i w:val="0"/>
                <w:color w:val="000000"/>
                <w:sz w:val="19"/>
              </w:rPr>
              <w:t>机关服务</w:t>
            </w:r>
          </w:p>
        </w:tc>
        <w:tc>
          <w:tcPr>
            <w:tcW w:w="1600" w:type="dxa"/>
            <w:vAlign w:val="center"/>
          </w:tcPr>
          <w:p>
            <w:pPr>
              <w:jc w:val="right"/>
            </w:pPr>
            <w:r>
              <w:rPr>
                <w:rFonts w:ascii="宋体" w:hAnsi="宋体" w:eastAsia="宋体" w:cs="宋体"/>
                <w:b w:val="0"/>
                <w:i w:val="0"/>
                <w:color w:val="000000"/>
                <w:sz w:val="19"/>
              </w:rPr>
              <w:t>1,362.72</w:t>
            </w:r>
          </w:p>
        </w:tc>
        <w:tc>
          <w:tcPr>
            <w:tcW w:w="1600" w:type="dxa"/>
            <w:vAlign w:val="center"/>
          </w:tcPr>
          <w:p>
            <w:pPr>
              <w:jc w:val="right"/>
            </w:pPr>
            <w:r>
              <w:rPr>
                <w:rFonts w:ascii="宋体" w:hAnsi="宋体" w:eastAsia="宋体" w:cs="宋体"/>
                <w:b w:val="0"/>
                <w:i w:val="0"/>
                <w:color w:val="000000"/>
                <w:sz w:val="19"/>
              </w:rPr>
              <w:t>528.00</w:t>
            </w:r>
          </w:p>
        </w:tc>
        <w:tc>
          <w:tcPr>
            <w:tcW w:w="1600" w:type="dxa"/>
            <w:vAlign w:val="center"/>
          </w:tcPr>
          <w:p>
            <w:pPr>
              <w:jc w:val="right"/>
            </w:pPr>
            <w:r>
              <w:rPr>
                <w:rFonts w:ascii="宋体" w:hAnsi="宋体" w:eastAsia="宋体" w:cs="宋体"/>
                <w:b w:val="0"/>
                <w:i w:val="0"/>
                <w:color w:val="000000"/>
                <w:sz w:val="19"/>
              </w:rPr>
              <w:t>834.71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5,023.66</w:t>
            </w:r>
          </w:p>
        </w:tc>
        <w:tc>
          <w:tcPr>
            <w:tcW w:w="1600" w:type="dxa"/>
            <w:vAlign w:val="center"/>
          </w:tcPr>
          <w:p>
            <w:pPr>
              <w:jc w:val="right"/>
            </w:pPr>
            <w:r>
              <w:rPr>
                <w:rFonts w:ascii="宋体" w:hAnsi="宋体" w:eastAsia="宋体" w:cs="宋体"/>
                <w:b w:val="0"/>
                <w:i w:val="0"/>
                <w:color w:val="000000"/>
                <w:sz w:val="19"/>
              </w:rPr>
              <w:t>1,426.25</w:t>
            </w:r>
          </w:p>
        </w:tc>
        <w:tc>
          <w:tcPr>
            <w:tcW w:w="1600" w:type="dxa"/>
            <w:vAlign w:val="center"/>
          </w:tcPr>
          <w:p>
            <w:pPr>
              <w:jc w:val="right"/>
            </w:pPr>
            <w:r>
              <w:rPr>
                <w:rFonts w:ascii="宋体" w:hAnsi="宋体" w:eastAsia="宋体" w:cs="宋体"/>
                <w:b w:val="0"/>
                <w:i w:val="0"/>
                <w:color w:val="000000"/>
                <w:sz w:val="19"/>
              </w:rPr>
              <w:t>3,597.41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8.27</w:t>
            </w:r>
          </w:p>
        </w:tc>
        <w:tc>
          <w:tcPr>
            <w:tcW w:w="1600" w:type="dxa"/>
            <w:vAlign w:val="center"/>
          </w:tcPr>
          <w:p>
            <w:pPr>
              <w:jc w:val="right"/>
            </w:pPr>
            <w:r>
              <w:rPr>
                <w:rFonts w:ascii="宋体" w:hAnsi="宋体" w:eastAsia="宋体" w:cs="宋体"/>
                <w:b w:val="0"/>
                <w:i w:val="0"/>
                <w:color w:val="000000"/>
                <w:sz w:val="19"/>
              </w:rPr>
              <w:t>8.27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8.27</w:t>
            </w:r>
          </w:p>
        </w:tc>
        <w:tc>
          <w:tcPr>
            <w:tcW w:w="1600" w:type="dxa"/>
            <w:vAlign w:val="center"/>
          </w:tcPr>
          <w:p>
            <w:pPr>
              <w:jc w:val="right"/>
            </w:pPr>
            <w:r>
              <w:rPr>
                <w:rFonts w:ascii="宋体" w:hAnsi="宋体" w:eastAsia="宋体" w:cs="宋体"/>
                <w:b w:val="0"/>
                <w:i w:val="0"/>
                <w:color w:val="000000"/>
                <w:sz w:val="19"/>
              </w:rPr>
              <w:t>8.27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51.91</w:t>
            </w:r>
          </w:p>
        </w:tc>
        <w:tc>
          <w:tcPr>
            <w:tcW w:w="1600" w:type="dxa"/>
            <w:vAlign w:val="center"/>
          </w:tcPr>
          <w:p>
            <w:pPr>
              <w:jc w:val="right"/>
            </w:pPr>
            <w:r>
              <w:rPr>
                <w:rFonts w:ascii="宋体" w:hAnsi="宋体" w:eastAsia="宋体" w:cs="宋体"/>
                <w:b w:val="0"/>
                <w:i w:val="0"/>
                <w:color w:val="000000"/>
                <w:sz w:val="19"/>
              </w:rPr>
              <w:t>51.91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51.91</w:t>
            </w:r>
          </w:p>
        </w:tc>
        <w:tc>
          <w:tcPr>
            <w:tcW w:w="1600" w:type="dxa"/>
            <w:vAlign w:val="center"/>
          </w:tcPr>
          <w:p>
            <w:pPr>
              <w:jc w:val="right"/>
            </w:pPr>
            <w:r>
              <w:rPr>
                <w:rFonts w:ascii="宋体" w:hAnsi="宋体" w:eastAsia="宋体" w:cs="宋体"/>
                <w:b w:val="0"/>
                <w:i w:val="0"/>
                <w:color w:val="000000"/>
                <w:sz w:val="19"/>
              </w:rPr>
              <w:t>51.91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150.46</w:t>
            </w:r>
          </w:p>
        </w:tc>
        <w:tc>
          <w:tcPr>
            <w:tcW w:w="1600" w:type="dxa"/>
            <w:vAlign w:val="center"/>
          </w:tcPr>
          <w:p>
            <w:pPr>
              <w:jc w:val="right"/>
            </w:pPr>
            <w:r>
              <w:rPr>
                <w:rFonts w:ascii="宋体" w:hAnsi="宋体" w:eastAsia="宋体" w:cs="宋体"/>
                <w:b w:val="0"/>
                <w:i w:val="0"/>
                <w:color w:val="000000"/>
                <w:sz w:val="19"/>
              </w:rPr>
              <w:t>150.46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146.42</w:t>
            </w:r>
          </w:p>
        </w:tc>
        <w:tc>
          <w:tcPr>
            <w:tcW w:w="1600" w:type="dxa"/>
            <w:vAlign w:val="center"/>
          </w:tcPr>
          <w:p>
            <w:pPr>
              <w:jc w:val="right"/>
            </w:pPr>
            <w:r>
              <w:rPr>
                <w:rFonts w:ascii="宋体" w:hAnsi="宋体" w:eastAsia="宋体" w:cs="宋体"/>
                <w:b w:val="0"/>
                <w:i w:val="0"/>
                <w:color w:val="000000"/>
                <w:sz w:val="19"/>
              </w:rPr>
              <w:t>146.42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37.89</w:t>
            </w:r>
          </w:p>
        </w:tc>
        <w:tc>
          <w:tcPr>
            <w:tcW w:w="1600" w:type="dxa"/>
            <w:vAlign w:val="center"/>
          </w:tcPr>
          <w:p>
            <w:pPr>
              <w:jc w:val="right"/>
            </w:pPr>
            <w:r>
              <w:rPr>
                <w:rFonts w:ascii="宋体" w:hAnsi="宋体" w:eastAsia="宋体" w:cs="宋体"/>
                <w:b w:val="0"/>
                <w:i w:val="0"/>
                <w:color w:val="000000"/>
                <w:sz w:val="19"/>
              </w:rPr>
              <w:t>37.89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43.15</w:t>
            </w:r>
          </w:p>
        </w:tc>
        <w:tc>
          <w:tcPr>
            <w:tcW w:w="1600" w:type="dxa"/>
            <w:vAlign w:val="center"/>
          </w:tcPr>
          <w:p>
            <w:pPr>
              <w:jc w:val="right"/>
            </w:pPr>
            <w:r>
              <w:rPr>
                <w:rFonts w:ascii="宋体" w:hAnsi="宋体" w:eastAsia="宋体" w:cs="宋体"/>
                <w:b w:val="0"/>
                <w:i w:val="0"/>
                <w:color w:val="000000"/>
                <w:sz w:val="19"/>
              </w:rPr>
              <w:t>43.15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64.08</w:t>
            </w:r>
          </w:p>
        </w:tc>
        <w:tc>
          <w:tcPr>
            <w:tcW w:w="1600" w:type="dxa"/>
            <w:vAlign w:val="center"/>
          </w:tcPr>
          <w:p>
            <w:pPr>
              <w:jc w:val="right"/>
            </w:pPr>
            <w:r>
              <w:rPr>
                <w:rFonts w:ascii="宋体" w:hAnsi="宋体" w:eastAsia="宋体" w:cs="宋体"/>
                <w:b w:val="0"/>
                <w:i w:val="0"/>
                <w:color w:val="000000"/>
                <w:sz w:val="19"/>
              </w:rPr>
              <w:t>64.08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2080506</w:t>
            </w:r>
          </w:p>
        </w:tc>
        <w:tc>
          <w:tcPr>
            <w:tcW w:w="3480" w:type="dxa"/>
            <w:vAlign w:val="center"/>
          </w:tcPr>
          <w:p>
            <w:pPr>
              <w:jc w:val="left"/>
            </w:pPr>
            <w:r>
              <w:rPr>
                <w:rFonts w:ascii="宋体" w:hAnsi="宋体" w:eastAsia="宋体" w:cs="宋体"/>
                <w:b w:val="0"/>
                <w:i w:val="0"/>
                <w:color w:val="000000"/>
                <w:sz w:val="19"/>
              </w:rPr>
              <w:t>机关事业单位职业年金缴费支出</w:t>
            </w:r>
          </w:p>
        </w:tc>
        <w:tc>
          <w:tcPr>
            <w:tcW w:w="1600" w:type="dxa"/>
            <w:vAlign w:val="center"/>
          </w:tcPr>
          <w:p>
            <w:pPr>
              <w:jc w:val="right"/>
            </w:pPr>
            <w:r>
              <w:rPr>
                <w:rFonts w:ascii="宋体" w:hAnsi="宋体" w:eastAsia="宋体" w:cs="宋体"/>
                <w:b w:val="0"/>
                <w:i w:val="0"/>
                <w:color w:val="000000"/>
                <w:sz w:val="19"/>
              </w:rPr>
              <w:t>1.30</w:t>
            </w:r>
          </w:p>
        </w:tc>
        <w:tc>
          <w:tcPr>
            <w:tcW w:w="1600" w:type="dxa"/>
            <w:vAlign w:val="center"/>
          </w:tcPr>
          <w:p>
            <w:pPr>
              <w:jc w:val="right"/>
            </w:pPr>
            <w:r>
              <w:rPr>
                <w:rFonts w:ascii="宋体" w:hAnsi="宋体" w:eastAsia="宋体" w:cs="宋体"/>
                <w:b w:val="0"/>
                <w:i w:val="0"/>
                <w:color w:val="000000"/>
                <w:sz w:val="19"/>
              </w:rPr>
              <w:t>1.30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4.04</w:t>
            </w:r>
          </w:p>
        </w:tc>
        <w:tc>
          <w:tcPr>
            <w:tcW w:w="1600" w:type="dxa"/>
            <w:vAlign w:val="center"/>
          </w:tcPr>
          <w:p>
            <w:pPr>
              <w:jc w:val="right"/>
            </w:pPr>
            <w:r>
              <w:rPr>
                <w:rFonts w:ascii="宋体" w:hAnsi="宋体" w:eastAsia="宋体" w:cs="宋体"/>
                <w:b w:val="0"/>
                <w:i w:val="0"/>
                <w:color w:val="000000"/>
                <w:sz w:val="19"/>
              </w:rPr>
              <w:t>4.04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4.04</w:t>
            </w:r>
          </w:p>
        </w:tc>
        <w:tc>
          <w:tcPr>
            <w:tcW w:w="1600" w:type="dxa"/>
            <w:vAlign w:val="center"/>
          </w:tcPr>
          <w:p>
            <w:pPr>
              <w:jc w:val="right"/>
            </w:pPr>
            <w:r>
              <w:rPr>
                <w:rFonts w:ascii="宋体" w:hAnsi="宋体" w:eastAsia="宋体" w:cs="宋体"/>
                <w:b w:val="0"/>
                <w:i w:val="0"/>
                <w:color w:val="000000"/>
                <w:sz w:val="19"/>
              </w:rPr>
              <w:t>4.04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51.95</w:t>
            </w:r>
          </w:p>
        </w:tc>
        <w:tc>
          <w:tcPr>
            <w:tcW w:w="1600" w:type="dxa"/>
            <w:vAlign w:val="center"/>
          </w:tcPr>
          <w:p>
            <w:pPr>
              <w:jc w:val="right"/>
            </w:pPr>
            <w:r>
              <w:rPr>
                <w:rFonts w:ascii="宋体" w:hAnsi="宋体" w:eastAsia="宋体" w:cs="宋体"/>
                <w:b w:val="0"/>
                <w:i w:val="0"/>
                <w:color w:val="000000"/>
                <w:sz w:val="19"/>
              </w:rPr>
              <w:t>51.95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51.95</w:t>
            </w:r>
          </w:p>
        </w:tc>
        <w:tc>
          <w:tcPr>
            <w:tcW w:w="1600" w:type="dxa"/>
            <w:vAlign w:val="center"/>
          </w:tcPr>
          <w:p>
            <w:pPr>
              <w:jc w:val="right"/>
            </w:pPr>
            <w:r>
              <w:rPr>
                <w:rFonts w:ascii="宋体" w:hAnsi="宋体" w:eastAsia="宋体" w:cs="宋体"/>
                <w:b w:val="0"/>
                <w:i w:val="0"/>
                <w:color w:val="000000"/>
                <w:sz w:val="19"/>
              </w:rPr>
              <w:t>51.95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17.45</w:t>
            </w:r>
          </w:p>
        </w:tc>
        <w:tc>
          <w:tcPr>
            <w:tcW w:w="1600" w:type="dxa"/>
            <w:vAlign w:val="center"/>
          </w:tcPr>
          <w:p>
            <w:pPr>
              <w:jc w:val="right"/>
            </w:pPr>
            <w:r>
              <w:rPr>
                <w:rFonts w:ascii="宋体" w:hAnsi="宋体" w:eastAsia="宋体" w:cs="宋体"/>
                <w:b w:val="0"/>
                <w:i w:val="0"/>
                <w:color w:val="000000"/>
                <w:sz w:val="19"/>
              </w:rPr>
              <w:t>17.45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15.99</w:t>
            </w:r>
          </w:p>
        </w:tc>
        <w:tc>
          <w:tcPr>
            <w:tcW w:w="1600" w:type="dxa"/>
            <w:vAlign w:val="center"/>
          </w:tcPr>
          <w:p>
            <w:pPr>
              <w:jc w:val="right"/>
            </w:pPr>
            <w:r>
              <w:rPr>
                <w:rFonts w:ascii="宋体" w:hAnsi="宋体" w:eastAsia="宋体" w:cs="宋体"/>
                <w:b w:val="0"/>
                <w:i w:val="0"/>
                <w:color w:val="000000"/>
                <w:sz w:val="19"/>
              </w:rPr>
              <w:t>15.99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18.51</w:t>
            </w:r>
          </w:p>
        </w:tc>
        <w:tc>
          <w:tcPr>
            <w:tcW w:w="1600" w:type="dxa"/>
            <w:vAlign w:val="center"/>
          </w:tcPr>
          <w:p>
            <w:pPr>
              <w:jc w:val="right"/>
            </w:pPr>
            <w:r>
              <w:rPr>
                <w:rFonts w:ascii="宋体" w:hAnsi="宋体" w:eastAsia="宋体" w:cs="宋体"/>
                <w:b w:val="0"/>
                <w:i w:val="0"/>
                <w:color w:val="000000"/>
                <w:sz w:val="19"/>
              </w:rPr>
              <w:t>18.51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w:t>
            </w:r>
          </w:p>
        </w:tc>
        <w:tc>
          <w:tcPr>
            <w:tcW w:w="3480" w:type="dxa"/>
            <w:vAlign w:val="center"/>
          </w:tcPr>
          <w:p>
            <w:pPr>
              <w:jc w:val="left"/>
            </w:pPr>
            <w:r>
              <w:rPr>
                <w:rFonts w:ascii="宋体" w:hAnsi="宋体" w:eastAsia="宋体" w:cs="宋体"/>
                <w:b w:val="0"/>
                <w:i w:val="0"/>
                <w:color w:val="000000"/>
                <w:sz w:val="19"/>
              </w:rPr>
              <w:t>节能环保支出</w:t>
            </w:r>
          </w:p>
        </w:tc>
        <w:tc>
          <w:tcPr>
            <w:tcW w:w="1600" w:type="dxa"/>
            <w:vAlign w:val="center"/>
          </w:tcPr>
          <w:p>
            <w:pPr>
              <w:jc w:val="right"/>
            </w:pPr>
            <w:r>
              <w:rPr>
                <w:rFonts w:ascii="宋体" w:hAnsi="宋体" w:eastAsia="宋体" w:cs="宋体"/>
                <w:b w:val="0"/>
                <w:i w:val="0"/>
                <w:color w:val="000000"/>
                <w:sz w:val="19"/>
              </w:rPr>
              <w:t>74.67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74.67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21103</w:t>
            </w:r>
          </w:p>
        </w:tc>
        <w:tc>
          <w:tcPr>
            <w:tcW w:w="3480" w:type="dxa"/>
            <w:vAlign w:val="center"/>
          </w:tcPr>
          <w:p>
            <w:pPr>
              <w:jc w:val="left"/>
            </w:pPr>
            <w:r>
              <w:rPr>
                <w:rFonts w:ascii="宋体" w:hAnsi="宋体" w:eastAsia="宋体" w:cs="宋体"/>
                <w:b w:val="0"/>
                <w:i w:val="0"/>
                <w:color w:val="000000"/>
                <w:sz w:val="19"/>
              </w:rPr>
              <w:t>污染防治</w:t>
            </w:r>
          </w:p>
        </w:tc>
        <w:tc>
          <w:tcPr>
            <w:tcW w:w="1600" w:type="dxa"/>
            <w:vAlign w:val="center"/>
          </w:tcPr>
          <w:p>
            <w:pPr>
              <w:jc w:val="right"/>
            </w:pPr>
            <w:r>
              <w:rPr>
                <w:rFonts w:ascii="宋体" w:hAnsi="宋体" w:eastAsia="宋体" w:cs="宋体"/>
                <w:b w:val="0"/>
                <w:i w:val="0"/>
                <w:color w:val="000000"/>
                <w:sz w:val="19"/>
              </w:rPr>
              <w:t>74.67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74.67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2110301</w:t>
            </w:r>
          </w:p>
        </w:tc>
        <w:tc>
          <w:tcPr>
            <w:tcW w:w="3480" w:type="dxa"/>
            <w:vAlign w:val="center"/>
          </w:tcPr>
          <w:p>
            <w:pPr>
              <w:jc w:val="left"/>
            </w:pPr>
            <w:r>
              <w:rPr>
                <w:rFonts w:ascii="宋体" w:hAnsi="宋体" w:eastAsia="宋体" w:cs="宋体"/>
                <w:b w:val="0"/>
                <w:i w:val="0"/>
                <w:color w:val="000000"/>
                <w:sz w:val="19"/>
              </w:rPr>
              <w:t>大气</w:t>
            </w:r>
          </w:p>
        </w:tc>
        <w:tc>
          <w:tcPr>
            <w:tcW w:w="1600" w:type="dxa"/>
            <w:vAlign w:val="center"/>
          </w:tcPr>
          <w:p>
            <w:pPr>
              <w:jc w:val="right"/>
            </w:pPr>
            <w:r>
              <w:rPr>
                <w:rFonts w:ascii="宋体" w:hAnsi="宋体" w:eastAsia="宋体" w:cs="宋体"/>
                <w:b w:val="0"/>
                <w:i w:val="0"/>
                <w:color w:val="000000"/>
                <w:sz w:val="19"/>
              </w:rPr>
              <w:t>74.67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74.67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38.27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38.27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21303</w:t>
            </w:r>
          </w:p>
        </w:tc>
        <w:tc>
          <w:tcPr>
            <w:tcW w:w="3480" w:type="dxa"/>
            <w:vAlign w:val="center"/>
          </w:tcPr>
          <w:p>
            <w:pPr>
              <w:jc w:val="left"/>
            </w:pPr>
            <w:r>
              <w:rPr>
                <w:rFonts w:ascii="宋体" w:hAnsi="宋体" w:eastAsia="宋体" w:cs="宋体"/>
                <w:b w:val="0"/>
                <w:i w:val="0"/>
                <w:color w:val="000000"/>
                <w:sz w:val="19"/>
              </w:rPr>
              <w:t>水利</w:t>
            </w:r>
          </w:p>
        </w:tc>
        <w:tc>
          <w:tcPr>
            <w:tcW w:w="1600" w:type="dxa"/>
            <w:vAlign w:val="center"/>
          </w:tcPr>
          <w:p>
            <w:pPr>
              <w:jc w:val="right"/>
            </w:pPr>
            <w:r>
              <w:rPr>
                <w:rFonts w:ascii="宋体" w:hAnsi="宋体" w:eastAsia="宋体" w:cs="宋体"/>
                <w:b w:val="0"/>
                <w:i w:val="0"/>
                <w:color w:val="000000"/>
                <w:sz w:val="19"/>
              </w:rPr>
              <w:t>36.02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36.02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2130311</w:t>
            </w:r>
          </w:p>
        </w:tc>
        <w:tc>
          <w:tcPr>
            <w:tcW w:w="3480" w:type="dxa"/>
            <w:vAlign w:val="center"/>
          </w:tcPr>
          <w:p>
            <w:pPr>
              <w:jc w:val="left"/>
            </w:pPr>
            <w:r>
              <w:rPr>
                <w:rFonts w:ascii="宋体" w:hAnsi="宋体" w:eastAsia="宋体" w:cs="宋体"/>
                <w:b w:val="0"/>
                <w:i w:val="0"/>
                <w:color w:val="000000"/>
                <w:sz w:val="19"/>
              </w:rPr>
              <w:t>水资源节约管理与保护</w:t>
            </w:r>
          </w:p>
        </w:tc>
        <w:tc>
          <w:tcPr>
            <w:tcW w:w="1600" w:type="dxa"/>
            <w:vAlign w:val="center"/>
          </w:tcPr>
          <w:p>
            <w:pPr>
              <w:jc w:val="right"/>
            </w:pPr>
            <w:r>
              <w:rPr>
                <w:rFonts w:ascii="宋体" w:hAnsi="宋体" w:eastAsia="宋体" w:cs="宋体"/>
                <w:b w:val="0"/>
                <w:i w:val="0"/>
                <w:color w:val="000000"/>
                <w:sz w:val="19"/>
              </w:rPr>
              <w:t>36.02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36.02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68.53</w:t>
            </w:r>
          </w:p>
        </w:tc>
        <w:tc>
          <w:tcPr>
            <w:tcW w:w="1600" w:type="dxa"/>
            <w:vAlign w:val="center"/>
          </w:tcPr>
          <w:p>
            <w:pPr>
              <w:jc w:val="right"/>
            </w:pPr>
            <w:r>
              <w:rPr>
                <w:rFonts w:ascii="宋体" w:hAnsi="宋体" w:eastAsia="宋体" w:cs="宋体"/>
                <w:b w:val="0"/>
                <w:i w:val="0"/>
                <w:color w:val="000000"/>
                <w:sz w:val="19"/>
              </w:rPr>
              <w:t>68.53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68.53</w:t>
            </w:r>
          </w:p>
        </w:tc>
        <w:tc>
          <w:tcPr>
            <w:tcW w:w="1600" w:type="dxa"/>
            <w:vAlign w:val="center"/>
          </w:tcPr>
          <w:p>
            <w:pPr>
              <w:jc w:val="right"/>
            </w:pPr>
            <w:r>
              <w:rPr>
                <w:rFonts w:ascii="宋体" w:hAnsi="宋体" w:eastAsia="宋体" w:cs="宋体"/>
                <w:b w:val="0"/>
                <w:i w:val="0"/>
                <w:color w:val="000000"/>
                <w:sz w:val="19"/>
              </w:rPr>
              <w:t>68.53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68.53</w:t>
            </w:r>
          </w:p>
        </w:tc>
        <w:tc>
          <w:tcPr>
            <w:tcW w:w="1600" w:type="dxa"/>
            <w:vAlign w:val="center"/>
          </w:tcPr>
          <w:p>
            <w:pPr>
              <w:jc w:val="right"/>
            </w:pPr>
            <w:r>
              <w:rPr>
                <w:rFonts w:ascii="宋体" w:hAnsi="宋体" w:eastAsia="宋体" w:cs="宋体"/>
                <w:b w:val="0"/>
                <w:i w:val="0"/>
                <w:color w:val="000000"/>
                <w:sz w:val="19"/>
              </w:rPr>
              <w:t>68.53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部门：许昌市机关事务中心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6,669.91</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6,505.38</w:t>
            </w:r>
          </w:p>
        </w:tc>
        <w:tc>
          <w:tcPr>
            <w:tcW w:w="1420" w:type="dxa"/>
            <w:vAlign w:val="center"/>
          </w:tcPr>
          <w:p>
            <w:pPr>
              <w:jc w:val="right"/>
            </w:pPr>
            <w:r>
              <w:rPr>
                <w:rFonts w:ascii="宋体" w:hAnsi="宋体" w:eastAsia="宋体" w:cs="宋体"/>
                <w:b w:val="0"/>
                <w:i w:val="0"/>
                <w:color w:val="000000"/>
                <w:sz w:val="18"/>
              </w:rPr>
              <w:t>6,505.38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150.47</w:t>
            </w:r>
          </w:p>
        </w:tc>
        <w:tc>
          <w:tcPr>
            <w:tcW w:w="1420" w:type="dxa"/>
            <w:vAlign w:val="center"/>
          </w:tcPr>
          <w:p>
            <w:pPr>
              <w:jc w:val="right"/>
            </w:pPr>
            <w:r>
              <w:rPr>
                <w:rFonts w:ascii="宋体" w:hAnsi="宋体" w:eastAsia="宋体" w:cs="宋体"/>
                <w:b w:val="0"/>
                <w:i w:val="0"/>
                <w:color w:val="000000"/>
                <w:sz w:val="18"/>
              </w:rPr>
              <w:t>150.47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51.95</w:t>
            </w:r>
          </w:p>
        </w:tc>
        <w:tc>
          <w:tcPr>
            <w:tcW w:w="1420" w:type="dxa"/>
            <w:vAlign w:val="center"/>
          </w:tcPr>
          <w:p>
            <w:pPr>
              <w:jc w:val="right"/>
            </w:pPr>
            <w:r>
              <w:rPr>
                <w:rFonts w:ascii="宋体" w:hAnsi="宋体" w:eastAsia="宋体" w:cs="宋体"/>
                <w:b w:val="0"/>
                <w:i w:val="0"/>
                <w:color w:val="000000"/>
                <w:sz w:val="18"/>
              </w:rPr>
              <w:t>51.95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74.67</w:t>
            </w:r>
          </w:p>
        </w:tc>
        <w:tc>
          <w:tcPr>
            <w:tcW w:w="1420" w:type="dxa"/>
            <w:vAlign w:val="center"/>
          </w:tcPr>
          <w:p>
            <w:pPr>
              <w:jc w:val="right"/>
            </w:pPr>
            <w:r>
              <w:rPr>
                <w:rFonts w:ascii="宋体" w:hAnsi="宋体" w:eastAsia="宋体" w:cs="宋体"/>
                <w:b w:val="0"/>
                <w:i w:val="0"/>
                <w:color w:val="000000"/>
                <w:sz w:val="18"/>
              </w:rPr>
              <w:t>74.67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38.27</w:t>
            </w:r>
          </w:p>
        </w:tc>
        <w:tc>
          <w:tcPr>
            <w:tcW w:w="1420" w:type="dxa"/>
            <w:vAlign w:val="center"/>
          </w:tcPr>
          <w:p>
            <w:pPr>
              <w:jc w:val="right"/>
            </w:pPr>
            <w:r>
              <w:rPr>
                <w:rFonts w:ascii="宋体" w:hAnsi="宋体" w:eastAsia="宋体" w:cs="宋体"/>
                <w:b w:val="0"/>
                <w:i w:val="0"/>
                <w:color w:val="000000"/>
                <w:sz w:val="18"/>
              </w:rPr>
              <w:t>38.27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68.53</w:t>
            </w:r>
          </w:p>
        </w:tc>
        <w:tc>
          <w:tcPr>
            <w:tcW w:w="1420" w:type="dxa"/>
            <w:vAlign w:val="center"/>
          </w:tcPr>
          <w:p>
            <w:pPr>
              <w:jc w:val="right"/>
            </w:pPr>
            <w:r>
              <w:rPr>
                <w:rFonts w:ascii="宋体" w:hAnsi="宋体" w:eastAsia="宋体" w:cs="宋体"/>
                <w:b w:val="0"/>
                <w:i w:val="0"/>
                <w:color w:val="000000"/>
                <w:sz w:val="18"/>
              </w:rPr>
              <w:t>68.53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6,669.91</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6,889.27</w:t>
            </w:r>
          </w:p>
        </w:tc>
        <w:tc>
          <w:tcPr>
            <w:tcW w:w="1420" w:type="dxa"/>
            <w:vAlign w:val="center"/>
          </w:tcPr>
          <w:p>
            <w:pPr>
              <w:jc w:val="right"/>
            </w:pPr>
            <w:r>
              <w:rPr>
                <w:rFonts w:ascii="宋体" w:hAnsi="宋体" w:eastAsia="宋体" w:cs="宋体"/>
                <w:b w:val="0"/>
                <w:i w:val="0"/>
                <w:color w:val="000000"/>
                <w:sz w:val="18"/>
              </w:rPr>
              <w:t>6,889.27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219.36</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219.36</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6,889.27</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6,889.27</w:t>
            </w:r>
          </w:p>
        </w:tc>
        <w:tc>
          <w:tcPr>
            <w:tcW w:w="1420" w:type="dxa"/>
            <w:vAlign w:val="center"/>
          </w:tcPr>
          <w:p>
            <w:pPr>
              <w:jc w:val="right"/>
            </w:pPr>
            <w:r>
              <w:rPr>
                <w:rFonts w:ascii="宋体" w:hAnsi="宋体" w:eastAsia="宋体" w:cs="宋体"/>
                <w:b w:val="0"/>
                <w:i w:val="0"/>
                <w:color w:val="000000"/>
                <w:sz w:val="18"/>
              </w:rPr>
              <w:t>6,889.27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部门：许昌市机关事务中心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6,889.27</w:t>
            </w:r>
          </w:p>
        </w:tc>
        <w:tc>
          <w:tcPr>
            <w:tcW w:w="2700" w:type="dxa"/>
            <w:vAlign w:val="center"/>
          </w:tcPr>
          <w:p>
            <w:pPr>
              <w:jc w:val="right"/>
            </w:pPr>
            <w:r>
              <w:rPr>
                <w:rFonts w:ascii="宋体" w:hAnsi="宋体" w:eastAsia="宋体" w:cs="宋体"/>
                <w:b/>
                <w:i w:val="0"/>
                <w:color w:val="000000"/>
                <w:sz w:val="25"/>
              </w:rPr>
              <w:t>2,344.20</w:t>
            </w:r>
          </w:p>
        </w:tc>
        <w:tc>
          <w:tcPr>
            <w:tcW w:w="2658" w:type="dxa"/>
            <w:vAlign w:val="center"/>
          </w:tcPr>
          <w:p>
            <w:pPr>
              <w:jc w:val="right"/>
            </w:pPr>
            <w:r>
              <w:rPr>
                <w:rFonts w:ascii="宋体" w:hAnsi="宋体" w:eastAsia="宋体" w:cs="宋体"/>
                <w:b/>
                <w:i w:val="0"/>
                <w:color w:val="000000"/>
                <w:sz w:val="25"/>
              </w:rPr>
              <w:t>4,545.07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6,505.38</w:t>
            </w:r>
          </w:p>
        </w:tc>
        <w:tc>
          <w:tcPr>
            <w:tcW w:w="2700" w:type="dxa"/>
            <w:vAlign w:val="center"/>
          </w:tcPr>
          <w:p>
            <w:pPr>
              <w:jc w:val="right"/>
            </w:pPr>
            <w:r>
              <w:rPr>
                <w:rFonts w:ascii="宋体" w:hAnsi="宋体" w:eastAsia="宋体" w:cs="宋体"/>
                <w:b w:val="0"/>
                <w:i w:val="0"/>
                <w:color w:val="000000"/>
                <w:sz w:val="25"/>
              </w:rPr>
              <w:t>2,073.25</w:t>
            </w:r>
          </w:p>
        </w:tc>
        <w:tc>
          <w:tcPr>
            <w:tcW w:w="2658" w:type="dxa"/>
            <w:vAlign w:val="center"/>
          </w:tcPr>
          <w:p>
            <w:pPr>
              <w:jc w:val="right"/>
            </w:pPr>
            <w:r>
              <w:rPr>
                <w:rFonts w:ascii="宋体" w:hAnsi="宋体" w:eastAsia="宋体" w:cs="宋体"/>
                <w:b w:val="0"/>
                <w:i w:val="0"/>
                <w:color w:val="000000"/>
                <w:sz w:val="25"/>
              </w:rPr>
              <w:t>4,432.12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58.82</w:t>
            </w:r>
          </w:p>
        </w:tc>
        <w:tc>
          <w:tcPr>
            <w:tcW w:w="2700" w:type="dxa"/>
            <w:vAlign w:val="center"/>
          </w:tcPr>
          <w:p>
            <w:pPr>
              <w:jc w:val="right"/>
            </w:pPr>
            <w:r>
              <w:rPr>
                <w:rFonts w:ascii="宋体" w:hAnsi="宋体" w:eastAsia="宋体" w:cs="宋体"/>
                <w:b w:val="0"/>
                <w:i w:val="0"/>
                <w:color w:val="000000"/>
                <w:sz w:val="25"/>
              </w:rPr>
              <w:t>58.82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2010103</w:t>
            </w:r>
          </w:p>
        </w:tc>
        <w:tc>
          <w:tcPr>
            <w:tcW w:w="4700" w:type="dxa"/>
            <w:vAlign w:val="center"/>
          </w:tcPr>
          <w:p>
            <w:pPr>
              <w:jc w:val="left"/>
            </w:pPr>
            <w:r>
              <w:rPr>
                <w:rFonts w:ascii="宋体" w:hAnsi="宋体" w:eastAsia="宋体" w:cs="宋体"/>
                <w:b w:val="0"/>
                <w:i w:val="0"/>
                <w:color w:val="000000"/>
                <w:sz w:val="25"/>
              </w:rPr>
              <w:t>机关服务</w:t>
            </w:r>
          </w:p>
        </w:tc>
        <w:tc>
          <w:tcPr>
            <w:tcW w:w="2700" w:type="dxa"/>
            <w:vAlign w:val="center"/>
          </w:tcPr>
          <w:p>
            <w:pPr>
              <w:jc w:val="right"/>
            </w:pPr>
            <w:r>
              <w:rPr>
                <w:rFonts w:ascii="宋体" w:hAnsi="宋体" w:eastAsia="宋体" w:cs="宋体"/>
                <w:b w:val="0"/>
                <w:i w:val="0"/>
                <w:color w:val="000000"/>
                <w:sz w:val="25"/>
              </w:rPr>
              <w:t>58.82</w:t>
            </w:r>
          </w:p>
        </w:tc>
        <w:tc>
          <w:tcPr>
            <w:tcW w:w="2700" w:type="dxa"/>
            <w:vAlign w:val="center"/>
          </w:tcPr>
          <w:p>
            <w:pPr>
              <w:jc w:val="right"/>
            </w:pPr>
            <w:r>
              <w:rPr>
                <w:rFonts w:ascii="宋体" w:hAnsi="宋体" w:eastAsia="宋体" w:cs="宋体"/>
                <w:b w:val="0"/>
                <w:i w:val="0"/>
                <w:color w:val="000000"/>
                <w:sz w:val="25"/>
              </w:rPr>
              <w:t>58.82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w:t>
            </w:r>
          </w:p>
        </w:tc>
        <w:tc>
          <w:tcPr>
            <w:tcW w:w="4700" w:type="dxa"/>
            <w:vAlign w:val="center"/>
          </w:tcPr>
          <w:p>
            <w:pPr>
              <w:jc w:val="left"/>
            </w:pPr>
            <w:r>
              <w:rPr>
                <w:rFonts w:ascii="宋体" w:hAnsi="宋体" w:eastAsia="宋体" w:cs="宋体"/>
                <w:b w:val="0"/>
                <w:i w:val="0"/>
                <w:color w:val="000000"/>
                <w:sz w:val="25"/>
              </w:rPr>
              <w:t>政府办公厅（室）及相关机构事务</w:t>
            </w:r>
          </w:p>
        </w:tc>
        <w:tc>
          <w:tcPr>
            <w:tcW w:w="2700" w:type="dxa"/>
            <w:vAlign w:val="center"/>
          </w:tcPr>
          <w:p>
            <w:pPr>
              <w:jc w:val="right"/>
            </w:pPr>
            <w:r>
              <w:rPr>
                <w:rFonts w:ascii="宋体" w:hAnsi="宋体" w:eastAsia="宋体" w:cs="宋体"/>
                <w:b w:val="0"/>
                <w:i w:val="0"/>
                <w:color w:val="000000"/>
                <w:sz w:val="25"/>
              </w:rPr>
              <w:t>6,386.38</w:t>
            </w:r>
          </w:p>
        </w:tc>
        <w:tc>
          <w:tcPr>
            <w:tcW w:w="2700" w:type="dxa"/>
            <w:vAlign w:val="center"/>
          </w:tcPr>
          <w:p>
            <w:pPr>
              <w:jc w:val="right"/>
            </w:pPr>
            <w:r>
              <w:rPr>
                <w:rFonts w:ascii="宋体" w:hAnsi="宋体" w:eastAsia="宋体" w:cs="宋体"/>
                <w:b w:val="0"/>
                <w:i w:val="0"/>
                <w:color w:val="000000"/>
                <w:sz w:val="25"/>
              </w:rPr>
              <w:t>1,954.25</w:t>
            </w:r>
          </w:p>
        </w:tc>
        <w:tc>
          <w:tcPr>
            <w:tcW w:w="2658" w:type="dxa"/>
            <w:vAlign w:val="center"/>
          </w:tcPr>
          <w:p>
            <w:pPr>
              <w:jc w:val="right"/>
            </w:pPr>
            <w:r>
              <w:rPr>
                <w:rFonts w:ascii="宋体" w:hAnsi="宋体" w:eastAsia="宋体" w:cs="宋体"/>
                <w:b w:val="0"/>
                <w:i w:val="0"/>
                <w:color w:val="000000"/>
                <w:sz w:val="25"/>
              </w:rPr>
              <w:t>4,432.12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2010303</w:t>
            </w:r>
          </w:p>
        </w:tc>
        <w:tc>
          <w:tcPr>
            <w:tcW w:w="4700" w:type="dxa"/>
            <w:vAlign w:val="center"/>
          </w:tcPr>
          <w:p>
            <w:pPr>
              <w:jc w:val="left"/>
            </w:pPr>
            <w:r>
              <w:rPr>
                <w:rFonts w:ascii="宋体" w:hAnsi="宋体" w:eastAsia="宋体" w:cs="宋体"/>
                <w:b w:val="0"/>
                <w:i w:val="0"/>
                <w:color w:val="000000"/>
                <w:sz w:val="25"/>
              </w:rPr>
              <w:t>机关服务</w:t>
            </w:r>
          </w:p>
        </w:tc>
        <w:tc>
          <w:tcPr>
            <w:tcW w:w="2700" w:type="dxa"/>
            <w:vAlign w:val="center"/>
          </w:tcPr>
          <w:p>
            <w:pPr>
              <w:jc w:val="right"/>
            </w:pPr>
            <w:r>
              <w:rPr>
                <w:rFonts w:ascii="宋体" w:hAnsi="宋体" w:eastAsia="宋体" w:cs="宋体"/>
                <w:b w:val="0"/>
                <w:i w:val="0"/>
                <w:color w:val="000000"/>
                <w:sz w:val="25"/>
              </w:rPr>
              <w:t>1,362.72</w:t>
            </w:r>
          </w:p>
        </w:tc>
        <w:tc>
          <w:tcPr>
            <w:tcW w:w="2700" w:type="dxa"/>
            <w:vAlign w:val="center"/>
          </w:tcPr>
          <w:p>
            <w:pPr>
              <w:jc w:val="right"/>
            </w:pPr>
            <w:r>
              <w:rPr>
                <w:rFonts w:ascii="宋体" w:hAnsi="宋体" w:eastAsia="宋体" w:cs="宋体"/>
                <w:b w:val="0"/>
                <w:i w:val="0"/>
                <w:color w:val="000000"/>
                <w:sz w:val="25"/>
              </w:rPr>
              <w:t>528.00</w:t>
            </w:r>
          </w:p>
        </w:tc>
        <w:tc>
          <w:tcPr>
            <w:tcW w:w="2658" w:type="dxa"/>
            <w:vAlign w:val="center"/>
          </w:tcPr>
          <w:p>
            <w:pPr>
              <w:jc w:val="right"/>
            </w:pPr>
            <w:r>
              <w:rPr>
                <w:rFonts w:ascii="宋体" w:hAnsi="宋体" w:eastAsia="宋体" w:cs="宋体"/>
                <w:b w:val="0"/>
                <w:i w:val="0"/>
                <w:color w:val="000000"/>
                <w:sz w:val="25"/>
              </w:rPr>
              <w:t>834.71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5,023.66</w:t>
            </w:r>
          </w:p>
        </w:tc>
        <w:tc>
          <w:tcPr>
            <w:tcW w:w="2700" w:type="dxa"/>
            <w:vAlign w:val="center"/>
          </w:tcPr>
          <w:p>
            <w:pPr>
              <w:jc w:val="right"/>
            </w:pPr>
            <w:r>
              <w:rPr>
                <w:rFonts w:ascii="宋体" w:hAnsi="宋体" w:eastAsia="宋体" w:cs="宋体"/>
                <w:b w:val="0"/>
                <w:i w:val="0"/>
                <w:color w:val="000000"/>
                <w:sz w:val="25"/>
              </w:rPr>
              <w:t>1,426.25</w:t>
            </w:r>
          </w:p>
        </w:tc>
        <w:tc>
          <w:tcPr>
            <w:tcW w:w="2658" w:type="dxa"/>
            <w:vAlign w:val="center"/>
          </w:tcPr>
          <w:p>
            <w:pPr>
              <w:jc w:val="right"/>
            </w:pPr>
            <w:r>
              <w:rPr>
                <w:rFonts w:ascii="宋体" w:hAnsi="宋体" w:eastAsia="宋体" w:cs="宋体"/>
                <w:b w:val="0"/>
                <w:i w:val="0"/>
                <w:color w:val="000000"/>
                <w:sz w:val="25"/>
              </w:rPr>
              <w:t>3,597.41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8.27</w:t>
            </w:r>
          </w:p>
        </w:tc>
        <w:tc>
          <w:tcPr>
            <w:tcW w:w="2700" w:type="dxa"/>
            <w:vAlign w:val="center"/>
          </w:tcPr>
          <w:p>
            <w:pPr>
              <w:jc w:val="right"/>
            </w:pPr>
            <w:r>
              <w:rPr>
                <w:rFonts w:ascii="宋体" w:hAnsi="宋体" w:eastAsia="宋体" w:cs="宋体"/>
                <w:b w:val="0"/>
                <w:i w:val="0"/>
                <w:color w:val="000000"/>
                <w:sz w:val="25"/>
              </w:rPr>
              <w:t>8.27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8.27</w:t>
            </w:r>
          </w:p>
        </w:tc>
        <w:tc>
          <w:tcPr>
            <w:tcW w:w="2700" w:type="dxa"/>
            <w:vAlign w:val="center"/>
          </w:tcPr>
          <w:p>
            <w:pPr>
              <w:jc w:val="right"/>
            </w:pPr>
            <w:r>
              <w:rPr>
                <w:rFonts w:ascii="宋体" w:hAnsi="宋体" w:eastAsia="宋体" w:cs="宋体"/>
                <w:b w:val="0"/>
                <w:i w:val="0"/>
                <w:color w:val="000000"/>
                <w:sz w:val="25"/>
              </w:rPr>
              <w:t>8.27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51.91</w:t>
            </w:r>
          </w:p>
        </w:tc>
        <w:tc>
          <w:tcPr>
            <w:tcW w:w="2700" w:type="dxa"/>
            <w:vAlign w:val="center"/>
          </w:tcPr>
          <w:p>
            <w:pPr>
              <w:jc w:val="right"/>
            </w:pPr>
            <w:r>
              <w:rPr>
                <w:rFonts w:ascii="宋体" w:hAnsi="宋体" w:eastAsia="宋体" w:cs="宋体"/>
                <w:b w:val="0"/>
                <w:i w:val="0"/>
                <w:color w:val="000000"/>
                <w:sz w:val="25"/>
              </w:rPr>
              <w:t>51.91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51.91</w:t>
            </w:r>
          </w:p>
        </w:tc>
        <w:tc>
          <w:tcPr>
            <w:tcW w:w="2700" w:type="dxa"/>
            <w:vAlign w:val="center"/>
          </w:tcPr>
          <w:p>
            <w:pPr>
              <w:jc w:val="right"/>
            </w:pPr>
            <w:r>
              <w:rPr>
                <w:rFonts w:ascii="宋体" w:hAnsi="宋体" w:eastAsia="宋体" w:cs="宋体"/>
                <w:b w:val="0"/>
                <w:i w:val="0"/>
                <w:color w:val="000000"/>
                <w:sz w:val="25"/>
              </w:rPr>
              <w:t>51.91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150.46</w:t>
            </w:r>
          </w:p>
        </w:tc>
        <w:tc>
          <w:tcPr>
            <w:tcW w:w="2700" w:type="dxa"/>
            <w:vAlign w:val="center"/>
          </w:tcPr>
          <w:p>
            <w:pPr>
              <w:jc w:val="right"/>
            </w:pPr>
            <w:r>
              <w:rPr>
                <w:rFonts w:ascii="宋体" w:hAnsi="宋体" w:eastAsia="宋体" w:cs="宋体"/>
                <w:b w:val="0"/>
                <w:i w:val="0"/>
                <w:color w:val="000000"/>
                <w:sz w:val="25"/>
              </w:rPr>
              <w:t>150.46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146.42</w:t>
            </w:r>
          </w:p>
        </w:tc>
        <w:tc>
          <w:tcPr>
            <w:tcW w:w="2700" w:type="dxa"/>
            <w:vAlign w:val="center"/>
          </w:tcPr>
          <w:p>
            <w:pPr>
              <w:jc w:val="right"/>
            </w:pPr>
            <w:r>
              <w:rPr>
                <w:rFonts w:ascii="宋体" w:hAnsi="宋体" w:eastAsia="宋体" w:cs="宋体"/>
                <w:b w:val="0"/>
                <w:i w:val="0"/>
                <w:color w:val="000000"/>
                <w:sz w:val="25"/>
              </w:rPr>
              <w:t>146.42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37.89</w:t>
            </w:r>
          </w:p>
        </w:tc>
        <w:tc>
          <w:tcPr>
            <w:tcW w:w="2700" w:type="dxa"/>
            <w:vAlign w:val="center"/>
          </w:tcPr>
          <w:p>
            <w:pPr>
              <w:jc w:val="right"/>
            </w:pPr>
            <w:r>
              <w:rPr>
                <w:rFonts w:ascii="宋体" w:hAnsi="宋体" w:eastAsia="宋体" w:cs="宋体"/>
                <w:b w:val="0"/>
                <w:i w:val="0"/>
                <w:color w:val="000000"/>
                <w:sz w:val="25"/>
              </w:rPr>
              <w:t>37.89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43.15</w:t>
            </w:r>
          </w:p>
        </w:tc>
        <w:tc>
          <w:tcPr>
            <w:tcW w:w="2700" w:type="dxa"/>
            <w:vAlign w:val="center"/>
          </w:tcPr>
          <w:p>
            <w:pPr>
              <w:jc w:val="right"/>
            </w:pPr>
            <w:r>
              <w:rPr>
                <w:rFonts w:ascii="宋体" w:hAnsi="宋体" w:eastAsia="宋体" w:cs="宋体"/>
                <w:b w:val="0"/>
                <w:i w:val="0"/>
                <w:color w:val="000000"/>
                <w:sz w:val="25"/>
              </w:rPr>
              <w:t>43.15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64.08</w:t>
            </w:r>
          </w:p>
        </w:tc>
        <w:tc>
          <w:tcPr>
            <w:tcW w:w="2700" w:type="dxa"/>
            <w:vAlign w:val="center"/>
          </w:tcPr>
          <w:p>
            <w:pPr>
              <w:jc w:val="right"/>
            </w:pPr>
            <w:r>
              <w:rPr>
                <w:rFonts w:ascii="宋体" w:hAnsi="宋体" w:eastAsia="宋体" w:cs="宋体"/>
                <w:b w:val="0"/>
                <w:i w:val="0"/>
                <w:color w:val="000000"/>
                <w:sz w:val="25"/>
              </w:rPr>
              <w:t>64.08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2080506</w:t>
            </w:r>
          </w:p>
        </w:tc>
        <w:tc>
          <w:tcPr>
            <w:tcW w:w="4700" w:type="dxa"/>
            <w:vAlign w:val="center"/>
          </w:tcPr>
          <w:p>
            <w:pPr>
              <w:jc w:val="left"/>
            </w:pPr>
            <w:r>
              <w:rPr>
                <w:rFonts w:ascii="宋体" w:hAnsi="宋体" w:eastAsia="宋体" w:cs="宋体"/>
                <w:b w:val="0"/>
                <w:i w:val="0"/>
                <w:color w:val="000000"/>
                <w:sz w:val="25"/>
              </w:rPr>
              <w:t>机关事业单位职业年金缴费支出</w:t>
            </w:r>
          </w:p>
        </w:tc>
        <w:tc>
          <w:tcPr>
            <w:tcW w:w="2700" w:type="dxa"/>
            <w:vAlign w:val="center"/>
          </w:tcPr>
          <w:p>
            <w:pPr>
              <w:jc w:val="right"/>
            </w:pPr>
            <w:r>
              <w:rPr>
                <w:rFonts w:ascii="宋体" w:hAnsi="宋体" w:eastAsia="宋体" w:cs="宋体"/>
                <w:b w:val="0"/>
                <w:i w:val="0"/>
                <w:color w:val="000000"/>
                <w:sz w:val="25"/>
              </w:rPr>
              <w:t>1.30</w:t>
            </w:r>
          </w:p>
        </w:tc>
        <w:tc>
          <w:tcPr>
            <w:tcW w:w="2700" w:type="dxa"/>
            <w:vAlign w:val="center"/>
          </w:tcPr>
          <w:p>
            <w:pPr>
              <w:jc w:val="right"/>
            </w:pPr>
            <w:r>
              <w:rPr>
                <w:rFonts w:ascii="宋体" w:hAnsi="宋体" w:eastAsia="宋体" w:cs="宋体"/>
                <w:b w:val="0"/>
                <w:i w:val="0"/>
                <w:color w:val="000000"/>
                <w:sz w:val="25"/>
              </w:rPr>
              <w:t>1.30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4.04</w:t>
            </w:r>
          </w:p>
        </w:tc>
        <w:tc>
          <w:tcPr>
            <w:tcW w:w="2700" w:type="dxa"/>
            <w:vAlign w:val="center"/>
          </w:tcPr>
          <w:p>
            <w:pPr>
              <w:jc w:val="right"/>
            </w:pPr>
            <w:r>
              <w:rPr>
                <w:rFonts w:ascii="宋体" w:hAnsi="宋体" w:eastAsia="宋体" w:cs="宋体"/>
                <w:b w:val="0"/>
                <w:i w:val="0"/>
                <w:color w:val="000000"/>
                <w:sz w:val="25"/>
              </w:rPr>
              <w:t>4.04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4.04</w:t>
            </w:r>
          </w:p>
        </w:tc>
        <w:tc>
          <w:tcPr>
            <w:tcW w:w="2700" w:type="dxa"/>
            <w:vAlign w:val="center"/>
          </w:tcPr>
          <w:p>
            <w:pPr>
              <w:jc w:val="right"/>
            </w:pPr>
            <w:r>
              <w:rPr>
                <w:rFonts w:ascii="宋体" w:hAnsi="宋体" w:eastAsia="宋体" w:cs="宋体"/>
                <w:b w:val="0"/>
                <w:i w:val="0"/>
                <w:color w:val="000000"/>
                <w:sz w:val="25"/>
              </w:rPr>
              <w:t>4.04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51.95</w:t>
            </w:r>
          </w:p>
        </w:tc>
        <w:tc>
          <w:tcPr>
            <w:tcW w:w="2700" w:type="dxa"/>
            <w:vAlign w:val="center"/>
          </w:tcPr>
          <w:p>
            <w:pPr>
              <w:jc w:val="right"/>
            </w:pPr>
            <w:r>
              <w:rPr>
                <w:rFonts w:ascii="宋体" w:hAnsi="宋体" w:eastAsia="宋体" w:cs="宋体"/>
                <w:b w:val="0"/>
                <w:i w:val="0"/>
                <w:color w:val="000000"/>
                <w:sz w:val="25"/>
              </w:rPr>
              <w:t>51.95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51.95</w:t>
            </w:r>
          </w:p>
        </w:tc>
        <w:tc>
          <w:tcPr>
            <w:tcW w:w="2700" w:type="dxa"/>
            <w:vAlign w:val="center"/>
          </w:tcPr>
          <w:p>
            <w:pPr>
              <w:jc w:val="right"/>
            </w:pPr>
            <w:r>
              <w:rPr>
                <w:rFonts w:ascii="宋体" w:hAnsi="宋体" w:eastAsia="宋体" w:cs="宋体"/>
                <w:b w:val="0"/>
                <w:i w:val="0"/>
                <w:color w:val="000000"/>
                <w:sz w:val="25"/>
              </w:rPr>
              <w:t>51.95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17.45</w:t>
            </w:r>
          </w:p>
        </w:tc>
        <w:tc>
          <w:tcPr>
            <w:tcW w:w="2700" w:type="dxa"/>
            <w:vAlign w:val="center"/>
          </w:tcPr>
          <w:p>
            <w:pPr>
              <w:jc w:val="right"/>
            </w:pPr>
            <w:r>
              <w:rPr>
                <w:rFonts w:ascii="宋体" w:hAnsi="宋体" w:eastAsia="宋体" w:cs="宋体"/>
                <w:b w:val="0"/>
                <w:i w:val="0"/>
                <w:color w:val="000000"/>
                <w:sz w:val="25"/>
              </w:rPr>
              <w:t>17.45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15.99</w:t>
            </w:r>
          </w:p>
        </w:tc>
        <w:tc>
          <w:tcPr>
            <w:tcW w:w="2700" w:type="dxa"/>
            <w:vAlign w:val="center"/>
          </w:tcPr>
          <w:p>
            <w:pPr>
              <w:jc w:val="right"/>
            </w:pPr>
            <w:r>
              <w:rPr>
                <w:rFonts w:ascii="宋体" w:hAnsi="宋体" w:eastAsia="宋体" w:cs="宋体"/>
                <w:b w:val="0"/>
                <w:i w:val="0"/>
                <w:color w:val="000000"/>
                <w:sz w:val="25"/>
              </w:rPr>
              <w:t>15.99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18.51</w:t>
            </w:r>
          </w:p>
        </w:tc>
        <w:tc>
          <w:tcPr>
            <w:tcW w:w="2700" w:type="dxa"/>
            <w:vAlign w:val="center"/>
          </w:tcPr>
          <w:p>
            <w:pPr>
              <w:jc w:val="right"/>
            </w:pPr>
            <w:r>
              <w:rPr>
                <w:rFonts w:ascii="宋体" w:hAnsi="宋体" w:eastAsia="宋体" w:cs="宋体"/>
                <w:b w:val="0"/>
                <w:i w:val="0"/>
                <w:color w:val="000000"/>
                <w:sz w:val="25"/>
              </w:rPr>
              <w:t>18.51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w:t>
            </w:r>
          </w:p>
        </w:tc>
        <w:tc>
          <w:tcPr>
            <w:tcW w:w="4700" w:type="dxa"/>
            <w:vAlign w:val="center"/>
          </w:tcPr>
          <w:p>
            <w:pPr>
              <w:jc w:val="left"/>
            </w:pPr>
            <w:r>
              <w:rPr>
                <w:rFonts w:ascii="宋体" w:hAnsi="宋体" w:eastAsia="宋体" w:cs="宋体"/>
                <w:b w:val="0"/>
                <w:i w:val="0"/>
                <w:color w:val="000000"/>
                <w:sz w:val="25"/>
              </w:rPr>
              <w:t>节能环保支出</w:t>
            </w:r>
          </w:p>
        </w:tc>
        <w:tc>
          <w:tcPr>
            <w:tcW w:w="2700" w:type="dxa"/>
            <w:vAlign w:val="center"/>
          </w:tcPr>
          <w:p>
            <w:pPr>
              <w:jc w:val="right"/>
            </w:pPr>
            <w:r>
              <w:rPr>
                <w:rFonts w:ascii="宋体" w:hAnsi="宋体" w:eastAsia="宋体" w:cs="宋体"/>
                <w:b w:val="0"/>
                <w:i w:val="0"/>
                <w:color w:val="000000"/>
                <w:sz w:val="25"/>
              </w:rPr>
              <w:t>74.67</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74.67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21103</w:t>
            </w:r>
          </w:p>
        </w:tc>
        <w:tc>
          <w:tcPr>
            <w:tcW w:w="4700" w:type="dxa"/>
            <w:vAlign w:val="center"/>
          </w:tcPr>
          <w:p>
            <w:pPr>
              <w:jc w:val="left"/>
            </w:pPr>
            <w:r>
              <w:rPr>
                <w:rFonts w:ascii="宋体" w:hAnsi="宋体" w:eastAsia="宋体" w:cs="宋体"/>
                <w:b w:val="0"/>
                <w:i w:val="0"/>
                <w:color w:val="000000"/>
                <w:sz w:val="25"/>
              </w:rPr>
              <w:t>污染防治</w:t>
            </w:r>
          </w:p>
        </w:tc>
        <w:tc>
          <w:tcPr>
            <w:tcW w:w="2700" w:type="dxa"/>
            <w:vAlign w:val="center"/>
          </w:tcPr>
          <w:p>
            <w:pPr>
              <w:jc w:val="right"/>
            </w:pPr>
            <w:r>
              <w:rPr>
                <w:rFonts w:ascii="宋体" w:hAnsi="宋体" w:eastAsia="宋体" w:cs="宋体"/>
                <w:b w:val="0"/>
                <w:i w:val="0"/>
                <w:color w:val="000000"/>
                <w:sz w:val="25"/>
              </w:rPr>
              <w:t>74.67</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74.67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2110301</w:t>
            </w:r>
          </w:p>
        </w:tc>
        <w:tc>
          <w:tcPr>
            <w:tcW w:w="4700" w:type="dxa"/>
            <w:vAlign w:val="center"/>
          </w:tcPr>
          <w:p>
            <w:pPr>
              <w:jc w:val="left"/>
            </w:pPr>
            <w:r>
              <w:rPr>
                <w:rFonts w:ascii="宋体" w:hAnsi="宋体" w:eastAsia="宋体" w:cs="宋体"/>
                <w:b w:val="0"/>
                <w:i w:val="0"/>
                <w:color w:val="000000"/>
                <w:sz w:val="25"/>
              </w:rPr>
              <w:t>大气</w:t>
            </w:r>
          </w:p>
        </w:tc>
        <w:tc>
          <w:tcPr>
            <w:tcW w:w="2700" w:type="dxa"/>
            <w:vAlign w:val="center"/>
          </w:tcPr>
          <w:p>
            <w:pPr>
              <w:jc w:val="right"/>
            </w:pPr>
            <w:r>
              <w:rPr>
                <w:rFonts w:ascii="宋体" w:hAnsi="宋体" w:eastAsia="宋体" w:cs="宋体"/>
                <w:b w:val="0"/>
                <w:i w:val="0"/>
                <w:color w:val="000000"/>
                <w:sz w:val="25"/>
              </w:rPr>
              <w:t>74.67</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74.67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38.27</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21303</w:t>
            </w:r>
          </w:p>
        </w:tc>
        <w:tc>
          <w:tcPr>
            <w:tcW w:w="4700" w:type="dxa"/>
            <w:vAlign w:val="center"/>
          </w:tcPr>
          <w:p>
            <w:pPr>
              <w:jc w:val="left"/>
            </w:pPr>
            <w:r>
              <w:rPr>
                <w:rFonts w:ascii="宋体" w:hAnsi="宋体" w:eastAsia="宋体" w:cs="宋体"/>
                <w:b w:val="0"/>
                <w:i w:val="0"/>
                <w:color w:val="000000"/>
                <w:sz w:val="25"/>
              </w:rPr>
              <w:t>水利</w:t>
            </w:r>
          </w:p>
        </w:tc>
        <w:tc>
          <w:tcPr>
            <w:tcW w:w="2700" w:type="dxa"/>
            <w:vAlign w:val="center"/>
          </w:tcPr>
          <w:p>
            <w:pPr>
              <w:jc w:val="right"/>
            </w:pPr>
            <w:r>
              <w:rPr>
                <w:rFonts w:ascii="宋体" w:hAnsi="宋体" w:eastAsia="宋体" w:cs="宋体"/>
                <w:b w:val="0"/>
                <w:i w:val="0"/>
                <w:color w:val="000000"/>
                <w:sz w:val="25"/>
              </w:rPr>
              <w:t>36.02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36.02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2130311</w:t>
            </w:r>
          </w:p>
        </w:tc>
        <w:tc>
          <w:tcPr>
            <w:tcW w:w="4700" w:type="dxa"/>
            <w:vAlign w:val="center"/>
          </w:tcPr>
          <w:p>
            <w:pPr>
              <w:jc w:val="left"/>
            </w:pPr>
            <w:r>
              <w:rPr>
                <w:rFonts w:ascii="宋体" w:hAnsi="宋体" w:eastAsia="宋体" w:cs="宋体"/>
                <w:b w:val="0"/>
                <w:i w:val="0"/>
                <w:color w:val="000000"/>
                <w:sz w:val="25"/>
              </w:rPr>
              <w:t>水资源节约管理与保护</w:t>
            </w:r>
          </w:p>
        </w:tc>
        <w:tc>
          <w:tcPr>
            <w:tcW w:w="2700" w:type="dxa"/>
            <w:vAlign w:val="center"/>
          </w:tcPr>
          <w:p>
            <w:pPr>
              <w:jc w:val="right"/>
            </w:pPr>
            <w:r>
              <w:rPr>
                <w:rFonts w:ascii="宋体" w:hAnsi="宋体" w:eastAsia="宋体" w:cs="宋体"/>
                <w:b w:val="0"/>
                <w:i w:val="0"/>
                <w:color w:val="000000"/>
                <w:sz w:val="25"/>
              </w:rPr>
              <w:t>36.02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36.02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68.53</w:t>
            </w:r>
          </w:p>
        </w:tc>
        <w:tc>
          <w:tcPr>
            <w:tcW w:w="2700" w:type="dxa"/>
            <w:vAlign w:val="center"/>
          </w:tcPr>
          <w:p>
            <w:pPr>
              <w:jc w:val="right"/>
            </w:pPr>
            <w:r>
              <w:rPr>
                <w:rFonts w:ascii="宋体" w:hAnsi="宋体" w:eastAsia="宋体" w:cs="宋体"/>
                <w:b w:val="0"/>
                <w:i w:val="0"/>
                <w:color w:val="000000"/>
                <w:sz w:val="25"/>
              </w:rPr>
              <w:t>68.53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68.53</w:t>
            </w:r>
          </w:p>
        </w:tc>
        <w:tc>
          <w:tcPr>
            <w:tcW w:w="2700" w:type="dxa"/>
            <w:vAlign w:val="center"/>
          </w:tcPr>
          <w:p>
            <w:pPr>
              <w:jc w:val="right"/>
            </w:pPr>
            <w:r>
              <w:rPr>
                <w:rFonts w:ascii="宋体" w:hAnsi="宋体" w:eastAsia="宋体" w:cs="宋体"/>
                <w:b w:val="0"/>
                <w:i w:val="0"/>
                <w:color w:val="000000"/>
                <w:sz w:val="25"/>
              </w:rPr>
              <w:t>68.53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68.53</w:t>
            </w:r>
          </w:p>
        </w:tc>
        <w:tc>
          <w:tcPr>
            <w:tcW w:w="2700" w:type="dxa"/>
            <w:vAlign w:val="center"/>
          </w:tcPr>
          <w:p>
            <w:pPr>
              <w:jc w:val="right"/>
            </w:pPr>
            <w:r>
              <w:rPr>
                <w:rFonts w:ascii="宋体" w:hAnsi="宋体" w:eastAsia="宋体" w:cs="宋体"/>
                <w:b w:val="0"/>
                <w:i w:val="0"/>
                <w:color w:val="000000"/>
                <w:sz w:val="25"/>
              </w:rPr>
              <w:t>68.53</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部门：许昌市机关事务中心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1,620.10</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461.99</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472.12</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63.55</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491.76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2.13</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277.35</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1.81</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51.81</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101.31</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22.02</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5.26</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48.21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18.51</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1.73</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0.88</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4.81</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128.76</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0.16</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7.37</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37.33</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261.61</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81.05</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4.04</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176.52</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22.98</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3.86</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8.27</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8.96</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236.75</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60.28</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3.91</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1,881.70</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462.50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部门：许昌市机关事务中心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部门：许昌市机关事务中心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部门：许昌市机关事务中心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263.20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263.00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263.00</w:t>
            </w:r>
          </w:p>
        </w:tc>
        <w:tc>
          <w:tcPr>
            <w:tcW w:w="1160" w:type="dxa"/>
            <w:vAlign w:val="center"/>
          </w:tcPr>
          <w:p>
            <w:pPr>
              <w:jc w:val="right"/>
            </w:pPr>
            <w:r>
              <w:rPr>
                <w:rFonts w:ascii="宋体" w:hAnsi="宋体" w:eastAsia="宋体" w:cs="宋体"/>
                <w:b w:val="0"/>
                <w:i w:val="0"/>
                <w:color w:val="000000"/>
                <w:sz w:val="17"/>
              </w:rPr>
              <w:t>0.20</w:t>
            </w:r>
          </w:p>
        </w:tc>
        <w:tc>
          <w:tcPr>
            <w:tcW w:w="1160" w:type="dxa"/>
            <w:vAlign w:val="center"/>
          </w:tcPr>
          <w:p>
            <w:pPr>
              <w:jc w:val="right"/>
            </w:pPr>
            <w:r>
              <w:rPr>
                <w:rFonts w:ascii="宋体" w:hAnsi="宋体" w:eastAsia="宋体" w:cs="宋体"/>
                <w:b w:val="0"/>
                <w:i w:val="0"/>
                <w:color w:val="000000"/>
                <w:sz w:val="17"/>
              </w:rPr>
              <w:t>236.95</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236.75</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236.75</w:t>
            </w:r>
          </w:p>
        </w:tc>
        <w:tc>
          <w:tcPr>
            <w:tcW w:w="1198" w:type="dxa"/>
            <w:vAlign w:val="center"/>
          </w:tcPr>
          <w:p>
            <w:pPr>
              <w:jc w:val="right"/>
            </w:pPr>
            <w:r>
              <w:rPr>
                <w:rFonts w:ascii="宋体" w:hAnsi="宋体" w:eastAsia="宋体" w:cs="宋体"/>
                <w:b w:val="0"/>
                <w:i w:val="0"/>
                <w:color w:val="000000"/>
                <w:sz w:val="17"/>
              </w:rPr>
              <w:t>0.20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2023年度收、支总计均为6889.27万元。与上年度相比，收、支总计各减少1949.54万元，下降22.06%。主要原因是2023年度项目经费减少。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收入合计6669.91万元，其中：财政拨款收入6669.91万元，占100.00%；上级补助收入0.00万元，占0.00%；事业收入0.00万元，占0.00%；经营收入0.00万元，占0.00%；附属单位上缴收入0.00万元，占0.00%；其他收入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2023年度支出合计6889.27万元，其中：基本支出2344.20万元，占34.03%；项目支出4545.07万元，占65.97%；上缴上级支出0.00万元，占0.00%；经营支出0.00万元，占0.00%；对附属单位补助支出0.00万元，占0.00%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2023年度财政拨款收、支总计均为6889.27万元。与上年度相比，财政拨款收、支总计各减少1949.54万元，下降22.06%。主要原因是2023年度项目经费减少。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2023年度一般公共预算财政拨款支出6889.27万元，占支出合计的100.00%。与上年度相比，一般公共预算财政拨款支出减少1949.54万元，下降22.06%。主要原因是2023年度项目经费减少。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6889.27万元，主要用于以下方面：一般公共服务支出（类）6505.38万元，占94.43%；社会保障和就业支出（类）150.47万元，占2.18%；卫生健康支出（类）51.95万元，占0.75%；节能环保支出（类）74.67万元，占1.08%；农林水支出（类）38.27万元，占0.56%；住房保障支出（类）68.53万元，占01.00%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2023年度一般公共预算财政拨款支出年初预算为6669.91万元，支出决算为6889.27万元，完成年初预算的103.29%。其中：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1.一般公共服务支出（类）人大事务（款）机关服务（项）</w:t>
      </w:r>
      <w:r>
        <w:rPr>
          <w:rFonts w:hint="eastAsia" w:ascii="仿宋_GB2312" w:hAnsi="仿宋_GB2312" w:eastAsia="仿宋_GB2312" w:cs="仿宋_GB2312"/>
          <w:kern w:val="0"/>
          <w:sz w:val="32"/>
          <w:szCs w:val="32"/>
          <w:lang w:val="en-US" w:eastAsia="zh-CN"/>
        </w:rPr>
        <w:t>年初预算数为58.82万元，决算数58.82万元,完成年初预算的100.00%，决算数与年初预算数不存在差异。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2.一般公共服务支出（类）政府办公厅（室）及相关机构事务（款）机关服务（项）</w:t>
      </w:r>
      <w:r>
        <w:rPr>
          <w:rFonts w:hint="eastAsia" w:ascii="仿宋_GB2312" w:hAnsi="仿宋_GB2312" w:eastAsia="仿宋_GB2312" w:cs="仿宋_GB2312"/>
          <w:kern w:val="0"/>
          <w:sz w:val="32"/>
          <w:szCs w:val="32"/>
          <w:lang w:val="en-US" w:eastAsia="zh-CN"/>
        </w:rPr>
        <w:t>年初预算数为1362.72万元，决算数1362.72万元,完成年初预算的100.00%，决算数与年初预算数不存在差异。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3.一般公共服务支出（类）政府办公厅（室）及相关机构事务（款）事业运行（项）</w:t>
      </w:r>
      <w:r>
        <w:rPr>
          <w:rFonts w:hint="eastAsia" w:ascii="仿宋_GB2312" w:hAnsi="仿宋_GB2312" w:eastAsia="仿宋_GB2312" w:cs="仿宋_GB2312"/>
          <w:kern w:val="0"/>
          <w:sz w:val="32"/>
          <w:szCs w:val="32"/>
          <w:lang w:val="en-US" w:eastAsia="zh-CN"/>
        </w:rPr>
        <w:t>年初预算数为4804.31万元，决算数5023.66万元,完成年初预算的104.57%，决算数与年初预算数存在差异的主要原因为支出决算中部分项目资金为收回存量再安排资金。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4.一般公共服务支出（类）群众团体事务（款）工会事务（项）</w:t>
      </w:r>
      <w:r>
        <w:rPr>
          <w:rFonts w:hint="eastAsia" w:ascii="仿宋_GB2312" w:hAnsi="仿宋_GB2312" w:eastAsia="仿宋_GB2312" w:cs="仿宋_GB2312"/>
          <w:kern w:val="0"/>
          <w:sz w:val="32"/>
          <w:szCs w:val="32"/>
          <w:lang w:val="en-US" w:eastAsia="zh-CN"/>
        </w:rPr>
        <w:t>年初预算数为8.27万元，决算数8.27万元,完成年初预算的100.00%，决算数与年初预算数不存在差异。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5.一般公共服务支出（类）其他一般公共服务支出（款）其他一般公共服务支出（项）</w:t>
      </w:r>
      <w:r>
        <w:rPr>
          <w:rFonts w:hint="eastAsia" w:ascii="仿宋_GB2312" w:hAnsi="仿宋_GB2312" w:eastAsia="仿宋_GB2312" w:cs="仿宋_GB2312"/>
          <w:kern w:val="0"/>
          <w:sz w:val="32"/>
          <w:szCs w:val="32"/>
          <w:lang w:val="en-US" w:eastAsia="zh-CN"/>
        </w:rPr>
        <w:t>年初预算数为51.91万元，决算数51.91万元,完成年初预算的100.00%，决算数与年初预算数不存在差异。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6.社会保障和就业支出（类）行政事业单位养老支出（款）行政单位离退休（项）</w:t>
      </w:r>
      <w:r>
        <w:rPr>
          <w:rFonts w:hint="eastAsia" w:ascii="仿宋_GB2312" w:hAnsi="仿宋_GB2312" w:eastAsia="仿宋_GB2312" w:cs="仿宋_GB2312"/>
          <w:kern w:val="0"/>
          <w:sz w:val="32"/>
          <w:szCs w:val="32"/>
          <w:lang w:val="en-US" w:eastAsia="zh-CN"/>
        </w:rPr>
        <w:t>年初预算数为37.89万元，决算数37.89万元,完成年初预算的100.00%，决算数与年初预算数不存在差异。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7.社会保障和就业支出（类）行政事业单位养老支出（款）事业单位离退休（项）</w:t>
      </w:r>
      <w:r>
        <w:rPr>
          <w:rFonts w:hint="eastAsia" w:ascii="仿宋_GB2312" w:hAnsi="仿宋_GB2312" w:eastAsia="仿宋_GB2312" w:cs="仿宋_GB2312"/>
          <w:kern w:val="0"/>
          <w:sz w:val="32"/>
          <w:szCs w:val="32"/>
          <w:lang w:val="en-US" w:eastAsia="zh-CN"/>
        </w:rPr>
        <w:t>年初预算数为43.15万元，决算数43.15万元,完成年初预算的100.00%，决算数与年初预算数不存在差异。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8.社会保障和就业支出（类）行政事业单位养老支出（款）机关事业单位基本养老保险缴费支出（项）</w:t>
      </w:r>
      <w:r>
        <w:rPr>
          <w:rFonts w:hint="eastAsia" w:ascii="仿宋_GB2312" w:hAnsi="仿宋_GB2312" w:eastAsia="仿宋_GB2312" w:cs="仿宋_GB2312"/>
          <w:kern w:val="0"/>
          <w:sz w:val="32"/>
          <w:szCs w:val="32"/>
          <w:lang w:val="en-US" w:eastAsia="zh-CN"/>
        </w:rPr>
        <w:t>年初预算数为64.08万元，决算数64.08万元,完成年初预算的100.00%，决算数与年初预算数不存在差异。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9.社会保障和就业支出（类）行政事业单位养老支出（款）机关事业单位职业年金缴费支出（项）</w:t>
      </w:r>
      <w:r>
        <w:rPr>
          <w:rFonts w:hint="eastAsia" w:ascii="仿宋_GB2312" w:hAnsi="仿宋_GB2312" w:eastAsia="仿宋_GB2312" w:cs="仿宋_GB2312"/>
          <w:kern w:val="0"/>
          <w:sz w:val="32"/>
          <w:szCs w:val="32"/>
          <w:lang w:val="en-US" w:eastAsia="zh-CN"/>
        </w:rPr>
        <w:t>年初预算数为1.30万元，决算数1.30万元,完成年初预算的100.00%，决算数与年初预算数不存在差异。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10.社会保障和就业支出（类）抚恤（款）死亡抚恤（项）</w:t>
      </w:r>
      <w:r>
        <w:rPr>
          <w:rFonts w:hint="eastAsia" w:ascii="仿宋_GB2312" w:hAnsi="仿宋_GB2312" w:eastAsia="仿宋_GB2312" w:cs="仿宋_GB2312"/>
          <w:kern w:val="0"/>
          <w:sz w:val="32"/>
          <w:szCs w:val="32"/>
          <w:lang w:val="en-US" w:eastAsia="zh-CN"/>
        </w:rPr>
        <w:t>年初预算数为4.04万元，决算数4.04万元,完成年初预算的100.00%，决算数与年初预算数不存在差异。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11.卫生健康支出（类）行政事业单位医疗（款）行政单位医疗（项）</w:t>
      </w:r>
      <w:r>
        <w:rPr>
          <w:rFonts w:hint="eastAsia" w:ascii="仿宋_GB2312" w:hAnsi="仿宋_GB2312" w:eastAsia="仿宋_GB2312" w:cs="仿宋_GB2312"/>
          <w:kern w:val="0"/>
          <w:sz w:val="32"/>
          <w:szCs w:val="32"/>
          <w:lang w:val="en-US" w:eastAsia="zh-CN"/>
        </w:rPr>
        <w:t>年初预算数为17.45万元，决算数17.45万元,完成年初预算的100.00%，决算数与年初预算数不存在差异。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12.卫生健康支出（类）行政事业单位医疗（款）事业单位医疗（项）</w:t>
      </w:r>
      <w:r>
        <w:rPr>
          <w:rFonts w:hint="eastAsia" w:ascii="仿宋_GB2312" w:hAnsi="仿宋_GB2312" w:eastAsia="仿宋_GB2312" w:cs="仿宋_GB2312"/>
          <w:kern w:val="0"/>
          <w:sz w:val="32"/>
          <w:szCs w:val="32"/>
          <w:lang w:val="en-US" w:eastAsia="zh-CN"/>
        </w:rPr>
        <w:t>年初预算数为15.99万元，决算数15.99万元,完成年初预算的100.00%，决算数与年初预算数不存在差异。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13.卫生健康支出（类）行政事业单位医疗（款）公务员医疗补助（项）</w:t>
      </w:r>
      <w:r>
        <w:rPr>
          <w:rFonts w:hint="eastAsia" w:ascii="仿宋_GB2312" w:hAnsi="仿宋_GB2312" w:eastAsia="仿宋_GB2312" w:cs="仿宋_GB2312"/>
          <w:kern w:val="0"/>
          <w:sz w:val="32"/>
          <w:szCs w:val="32"/>
          <w:lang w:val="en-US" w:eastAsia="zh-CN"/>
        </w:rPr>
        <w:t>年初预算数为18.51万元，决算数18.51万元,完成年初预算的100.00%，决算数与年初预算数不存在差异。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14.节能环保支出（类）污染防治（款）大气（项）</w:t>
      </w:r>
      <w:r>
        <w:rPr>
          <w:rFonts w:hint="eastAsia" w:ascii="仿宋_GB2312" w:hAnsi="仿宋_GB2312" w:eastAsia="仿宋_GB2312" w:cs="仿宋_GB2312"/>
          <w:kern w:val="0"/>
          <w:sz w:val="32"/>
          <w:szCs w:val="32"/>
          <w:lang w:val="en-US" w:eastAsia="zh-CN"/>
        </w:rPr>
        <w:t>年初预算数为74.67万元，决算数74.67万元,完成年初预算的100.00%，决算数与年初预算数不存在差异。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15.农林水支出（类）水利（款）水资源节约管理与保护（项）</w:t>
      </w:r>
      <w:r>
        <w:rPr>
          <w:rFonts w:hint="eastAsia" w:ascii="仿宋_GB2312" w:hAnsi="仿宋_GB2312" w:eastAsia="仿宋_GB2312" w:cs="仿宋_GB2312"/>
          <w:kern w:val="0"/>
          <w:sz w:val="32"/>
          <w:szCs w:val="32"/>
          <w:lang w:val="en-US" w:eastAsia="zh-CN"/>
        </w:rPr>
        <w:t>年初预算数为36.02万元，决算数36.02万元,完成年初预算的100.00%，决算数与年初预算数不存在差异。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16.农林水支出（类）巩固脱贫攻坚成果衔接乡村振兴（款）一般行政管理事务（项）</w:t>
      </w:r>
      <w:r>
        <w:rPr>
          <w:rFonts w:hint="eastAsia" w:ascii="仿宋_GB2312" w:hAnsi="仿宋_GB2312" w:eastAsia="仿宋_GB2312" w:cs="仿宋_GB2312"/>
          <w:kern w:val="0"/>
          <w:sz w:val="32"/>
          <w:szCs w:val="32"/>
          <w:lang w:val="en-US" w:eastAsia="zh-CN"/>
        </w:rPr>
        <w:t>年初预算数为2.25万元，决算数2.25万元,完成年初预算的100.00%，决算数与年初预算数不存在差异。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17.住房保障支出（类）住房改革支出（款）住房公积金（项）</w:t>
      </w:r>
      <w:r>
        <w:rPr>
          <w:rFonts w:hint="eastAsia" w:ascii="仿宋_GB2312" w:hAnsi="仿宋_GB2312" w:eastAsia="仿宋_GB2312" w:cs="仿宋_GB2312"/>
          <w:kern w:val="0"/>
          <w:sz w:val="32"/>
          <w:szCs w:val="32"/>
          <w:lang w:val="en-US" w:eastAsia="zh-CN"/>
        </w:rPr>
        <w:t>年初预算数为68.53万元，决算数68.53万元,完成年初预算的100.00%，决算数与年初预算数不存在差异。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2344.20万元。其中：人员经费1881.70万元，主要包括：基本工资、津贴补贴、奖金、绩效工资、机关事业单位基本养老保险缴费、职业年金缴费、职工基本医疗保险缴费、公务员医疗补助缴费、其他社会保障缴费、住房公积金、其他工资福利支出、退休费、抚恤金、生活补助等。公用经费462.50万元，主要包括：办公费、印刷费、咨询费、邮电费、物业管理费、差旅费、维修（护）费、租赁费、公务接待费、劳务费、委托业务费、工会经费、福利费、公务用车运行维护费、其他交通费用、其他商品和服务支出、办公设备购置等。</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263.20万元，支出决算为236.95万元，完成预算的90.03%。2023年度“三公”经费支出决算数与预算数存在差异的主要原因是我部门严格贯彻执行中央八项规定精神，节约压缩不必要的开支。</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236.75万元,完成预算的90.02%，占99.92%；公务接待费支出决算0.20万元，完成预算的100.00%，占0.08%。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预算为263.00万元，支出决算为236.75万元，完成预算的90.02%。决算数与预算数存在差异的主要原因是贯彻落实过“紧日子”要求，严格规范各类经费管理，压缩开支。其中：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236.75万元。主要用于车辆燃油费、维修保养费、保险购置费、年检审验费等。2023年期末，部门开支财政拨款的公务用车保有量为</w:t>
      </w:r>
      <w:r>
        <w:rPr>
          <w:rFonts w:hint="eastAsia" w:ascii="仿宋_GB2312" w:hAnsi="仿宋_GB2312" w:eastAsia="仿宋_GB2312" w:cs="仿宋_GB2312"/>
          <w:kern w:val="2"/>
          <w:sz w:val="32"/>
          <w:szCs w:val="32"/>
          <w:lang w:val="en-US" w:eastAsia="zh-CN"/>
        </w:rPr>
        <w:t>67</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预算为0.20万元，支出决算为0.20万元</w:t>
      </w:r>
      <w:r>
        <w:rPr>
          <w:rFonts w:hint="eastAsia" w:ascii="仿宋_GB2312" w:hAnsi="仿宋_GB2312" w:eastAsia="仿宋_GB2312" w:cs="仿宋_GB2312"/>
          <w:kern w:val="0"/>
          <w:sz w:val="32"/>
          <w:szCs w:val="32"/>
          <w:lang w:val="en-US" w:eastAsia="zh-CN"/>
        </w:rPr>
        <w:t>，完成预算的100.00%</w:t>
      </w:r>
      <w:r>
        <w:rPr>
          <w:rFonts w:hint="eastAsia" w:ascii="仿宋_GB2312" w:hAnsi="仿宋_GB2312" w:eastAsia="仿宋_GB2312" w:cs="仿宋_GB2312"/>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0.20</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b w:val="0"/>
          <w:bCs w:val="0"/>
          <w:kern w:val="0"/>
          <w:sz w:val="32"/>
          <w:szCs w:val="32"/>
          <w:lang w:val="en-US" w:eastAsia="zh-CN"/>
        </w:rPr>
        <w:t>主要用于接待省内各地市机关事务管理部门来访相关公务活动等支出。</w:t>
      </w:r>
      <w:r>
        <w:rPr>
          <w:rFonts w:hint="eastAsia" w:ascii="仿宋_GB2312" w:hAnsi="仿宋_GB2312" w:eastAsia="仿宋_GB2312" w:cs="仿宋_GB2312"/>
          <w:kern w:val="0"/>
          <w:sz w:val="32"/>
          <w:szCs w:val="32"/>
          <w:lang w:val="en-US" w:eastAsia="zh-CN"/>
        </w:rPr>
        <w:t>2023年共接待国内来访团组4个、来宾29人次（不包括陪同人员）。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2023年度机关运行经费支出71.38万元，较2022年度下降40.83万元，下降36.39%，主要原因是机关办公区办公用房改造工程完结。</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2023年期末，本部门共有车辆67辆，其中：省级领导干部用车0辆、主要领导干部用车0辆、机要通信用车2辆、应急保障车0辆、执法执勤用车0辆、特种专业技术用车0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辆、离退休干部用车0辆、其他用车65辆；单价100万元（含）以上设备（不含车辆）0台（套）。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我部门对本部门</w:t>
      </w:r>
      <w:r>
        <w:rPr>
          <w:rFonts w:hint="eastAsia" w:ascii="仿宋_GB2312" w:hAnsi="仿宋_GB2312" w:eastAsia="仿宋_GB2312" w:cs="仿宋_GB2312"/>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1.部门整体绩效自评。</w:t>
      </w:r>
      <w:r>
        <w:rPr>
          <w:rFonts w:hint="eastAsia" w:ascii="仿宋_GB2312" w:hAnsi="仿宋_GB2312" w:eastAsia="仿宋_GB2312" w:cs="仿宋_GB2312"/>
          <w:kern w:val="0"/>
          <w:sz w:val="32"/>
          <w:szCs w:val="32"/>
          <w:lang w:val="en-US" w:eastAsia="zh-CN"/>
        </w:rPr>
        <w:t>涉及预算资金6889.27万元。自评得分为97.85分，等级为“优”。从部门整体自评情况来看，我部门严格按照《中共许昌市委 许昌市人民政府关于全面实施预算绩效管理的实施意见》（许发〔2021〕13号）文件要求，不断强化预算绩效目标管理，扎实推进绩效目标与预算编制同步申报、同步公开，对本部门整体支出和项目支出开展全过程预算绩效管理，从源头上提高预算管理的科学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2.项目绩效自评。</w:t>
      </w:r>
      <w:r>
        <w:rPr>
          <w:rFonts w:hint="eastAsia" w:ascii="仿宋_GB2312" w:hAnsi="仿宋_GB2312" w:eastAsia="仿宋_GB2312" w:cs="仿宋_GB2312"/>
          <w:kern w:val="0"/>
          <w:sz w:val="32"/>
          <w:szCs w:val="32"/>
          <w:lang w:val="en-US" w:eastAsia="zh-CN"/>
        </w:rPr>
        <w:t>基于项目预期目标的实现程度，我部门对2023年度部门预算项目支出（含部门参与分配的转移支付项目）开展绩效自评，涉及项目52个，项目金额5112.38万元。其中：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1）“市直单位办公用房租赁经费”：根据年初设定的绩效目标，自评得分为100分，等级为“优”。全年预算数为20万元，执行数为20万元，完成预算的100%。项目绩效目标完成情况：完成市委政法委综治办办公用房租赁资金的按期支付，满足正常办公的服务保障需求。</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调干楼经费”：根据年初设定的绩效目标，自评得分为98.75分,等级为“优”。全年预算数为207.59万元，执行数为207.58万元，完成预算的100%。项目绩效目标完成情况：完成调干楼的日常管理和服务工作，切实保障调干楼正常运行。为切实提升服务对象满意度，下一步我单位将提升调干楼精细化管理，进一步提升服务水平。</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调干楼电器购置费”：根据年初设定的绩效目标，自评得分为100分,等级为“优”。全年预算数为8.59万元，执行数为8.59万元，完成预算的100%。项目绩效目标完成情况：完成调干楼电器设备配置更新工作，切实解决部分超期服役的电器设备在使用过程中存在的安全隐患问题，有效避免并杜绝安全事故的可能发生。</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市直单位办公用房租赁经费”：根据年初设定的绩效目标，项目绩效自评得分为100分,等级为“优”。全年预算数为596万元，执行数为596万元，完成预算的100%。项目绩效目标完成情况：完成市直单位使用的办公用房租金缴纳工作，保障市直单位正常办公。为进一步提升集中办公区工作人员满意度，下一步我单位将紧紧围绕驻办公区各部门单位的服务保障需求，优化服务措施，改善服务方式，更加注重精细化、精准化服务，全面提升市直机关集中办公区服务工作质效。</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5）“派驻纪检组工作经费”：根据年初设定的绩效目标，自评得分为100分,等级为“优”。全年预算数为2.59万元，执行数为2.55万元，完成预算的98.46%。项目绩效目标完成情况：完成纪检监察内网专用电脑及软硬件设备的购置与安装，切实保障派驻纪检组纪检工作的正常运转。为切实加强项目资金的监督管理，下一步我单位将科学精准编制预算，合理安排使用资金，加快推进项目支付进度，精准结算，切实保障业务工作的高效运转。</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6）“派驻村第一书记补助经费”：根据年初设定的绩效目标，自评得分为100分,等级为“优”。全年预算数为2.25万元，执行数为2.25万元，完成预算的100%。项目绩效目标完成情况：按照专款专用、高效合理的资金使用原则，完成2023年驻村书记（工作队长）在许昌市巩固拓展脱贫攻坚成果与乡村振兴有效衔接工作开展中的生活补助与交通补贴的及时发放保障，资金使用进度与项目规划相符，达到了预期效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7）“文博：水电暖”：根据年初设定的绩效目标，项目绩效自评得分为100分。全年预算数为3.72万元，执行数为3.72万元，完成预算的100%。项目绩效目标完成情况：完成博物馆、图书馆、规划馆、规划档案馆、许都书城等6个场馆，面积5.28万平方米区域内水电暖费用的缴纳及设备巡检工作。完成了对水电暖的统筹管理，节约了财政资金，促进了全市年度节能减排目标的完成。下一步我单位将继续本着“节能降耗”的管理理念，结合文博馆办公区的服务保障需求，加强水电暖管理，保障水电暖设施安全、正常运行，坚决杜绝长明灯和长流水现象，减少水电暖浪费，维护正常的办公、参观、学习秩序。</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8）“创业：机关餐厅运行保障费用”：根据年初设定的绩效目标，项目绩效自评得分为99.99分。全年预算数为35.88万元，执行数为35.83万元，完成预算的99.86%。项目绩效目标完成情况：完成规定时间内在保证质量的前提下，做好职工的一日三餐工作。下一步我单位将继续提升餐厅服务水平，丰富菜肴数量和品类，均衡营养，控制成本避免物资浪费，做好厨房设施及工具的维修保养，保持卫生和安全用火工作，为广大干部职工营造一个安全、健康、舒心的就餐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9）“创业：水电暖天然气、公共设施设备维护费项目、房屋维护费项目”：根据年初设定的绩效目标，项目绩效自评得分为100分。全年预算数为574.8万元，执行数为574.8万元，完成预算的100%。项目绩效目标完成情况：完成面积13.6万平方米区域内水电暖费用的缴纳、房屋及公共设施设备的巡检维护工作。实现了对水电暖及办公用房、公共区域设施设备的统筹管理，节约了财政资金，促进了全市年度节能减排目标的完成。下一步我单位将继续本着“节能降耗”的管理理念，结合创业服务中心办公区的服务保障需求，加强水电暖管理，保障房屋及各类设施设备的安全、正常运行，坚决杜绝长明灯和长流水现象，减少水电暖浪费，维护正常的办公、办事秩序，为工作人员及市民营造良好、舒心的办公、办事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10）“文博：保安费”：根据年初设定的绩效目标，项目绩效自评得分为100分。全年预算数为175.59万元，执行数为175.59万元，完成预算的100%。项目绩效目标完成情况：完成了文博馆5.28万平方米区域内24小时不间断的安全保卫巡检工作，因文博馆属于许昌市一级安保重点单位，属开放性管理，面对全市市民提供参观、学习服务，进出人员较为复杂，在下步工作中我们将不断提升服务质量，保护好个人财产和国家文物遗产，营造良好的治安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11）“创业：消防维保经费”：根据年初设定的绩效目标，项目绩效自评得分为99.14分。全年预算数为70.2万元，执行数为64.18万元，完成预算的91.42%。项目绩效目标完成情况：完成创业服务中心消防维保及消防系统的巡检值班，确保了火灾重点报警设备及所有相关设备的正常运行，各消防水箱水位正常，消防卷帘、灭火器、消防报警设施等完好率100%，24小时消防控制室不间断双岗值班。因创业服务中心是人员集中活动场所，每天前来办事的市民和工作人员不低于3500人次，所以消防维保工作尤为重要，在下一步工作中我单位会认真组织各类消防专业知识的培训学习，合理合规的设置各类消防设施，以达到“预防为主，防消结合”的宗旨。</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（12）“创业中心：节水示范工程项目经费”：根据年初设定的绩效目标，项目绩效自评得分为94.50分。全年预算数为80.00万元，执行数为36.02万元，完成预算的45.03%。绩效目标完成情况：新建玻璃钢雨水泵站 1 座、智能一体化雨水处理装置 1 套、智能一体化雨水处理装置基础 1 座、玻璃钢雨水泵站基础 1 座、离心式泵 3台、智能雨水收集回用控制柜 1 台、智能雨水收集回用系统 1 套、电控一体化雨水弃流溢流装置 1 套、管道、电缆等。改造后可以从源头上减少生活污水排放的数量，降低污水治理的成本，带来很好的社会效益。同时降低用水总量和用水强度。减少水资源和能源费用支出与维护费用，同时项目契合国家节能减排的基本国策，承担了相应的社会责任，起到了很好的表率作用。执行率偏低的原因是：此项目为跨年度实施项目，工程尚未完工，下一步我单位会敦促施工方加快进度，抓紧完成项目的完工验收工作，及早投入使用。</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13）“文博：亮化工程”：根据年初设定的绩效目标，项目绩效自评得分为100分。全年预算数为2万元，执行数为2万元，完成预算的100%。项目绩效目标完成情况：完成了我单位管理的文博馆5.28万平方米公共区域内11000多套照明、亮化灯具的配置维修工作。在下步工作中，我单位将继续以“节能降耗”为管理理念，及时更换更节能的照明灯具，节约资源，用以促进年度节能减排目标的实现，进一步提高后勤服务水平。</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14）“文博：电梯维护费”：根据年初设定的绩效目标，项目绩效自评得分为100分。全年预算数为7.2万元，执行数为7.2万元，完成预算的100%。项目绩效目标完成情况：完成图书馆4部直梯（3客1货、4层）、博物馆5部直梯（4客1货4层）、规划馆2部直梯（4层）1部扶梯（2层）的维修维护工作，保持了电梯的正常运行，杜绝了电梯安全事故的发生。下一步我单位将继续牢记安全意识，严格遵守操作规程，保持主机、控制屏无异常现象，不因维修保养不到位而使电梯有年检不合格现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15）“创业：物业管理费”：根据年初设定的绩效目标，项目绩效自评得分为100分。全年预算数为695.68万元，执行数为695.68万元，完成预算的100%。项目绩效目标完成情况：完成了创业服务中心13.6万平方米区域内24小时不间断的安全保卫巡检、卫生保洁、绿化养护等工作，保障了创业服务中心办公区内外部环境的协调统一，各设施设备的正常运行。对服务电话反映及时，为进一步提升办公区工作人员满意度，下一步我单位将将紧紧围绕驻办公区各部门单位的服务保障需求，优化服务措施，改善服务方式，更加注重精细化、精准化服务，全面提升集中办公区服务工作质效。</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16）“创业：水电暖天然气费用项目及公共设施维护费项目、房屋维护费项目”：根据年初设定的绩效目标，项目绩效自评得分为100分。全年预算数为3.46万元，执行数为3.46万元，完成预算的100%。项目绩效目标完成情况：完成面积13.6万平方米区域内水电暖费用的缴纳、房屋及公共设施设备的巡检维护工作。实现了对水电暖及办公用房、公共区域设施设备的统筹管理，节约了财政资金，促进了全市年度节能减排目标的完成。下一步我单位将继续本着“节能降耗”的管理理念，结合创业服务中心办公区的服务保障需求，加强水电暖管理，保障房屋及各类设施设备的安全、正常运行，坚决杜绝长明灯和长流水现象，减少水电暖浪费，维护正常的办公、办事秩序，为工作人员及市民营造良好、舒心的办公、办事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17）“文博：消防维保及消防控制室人员值班经费”：根据年初设定的绩效目标，项目绩效自评得分为98.88分。全年预算数为26.08万元，执行数为23.15万元，完成预算的88.77%。项目绩效目标完成情况：完成文博馆消防维保及消防系统的巡检值班，确保了火灾重点报警设备及所有相关设备的正常运行，各消防水箱水位正常，消防卷帘、灭火器、消防报警设施等完好率100%，24小时消防控制室不间断双岗值班。因文博馆属于全市一级重点防火单位，是人员集中活动场所，每天前来学习、参观的市民和工作人员不低于2500人次，所以在下一步工作中我单位会更加重视消防维保工作的重要性，认真组织各类消防专业知识的培训学习，合理合规的设置消防设施，以达到“预防为主，防消结合”的宗旨。</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18）“文博馆消防格栅更换”：根据年初设定的绩效目标，项目绩效自评得分为100分。全年预算数为55.39万元，执行数为55.39万元，完成预算的100%。项目绩效目标完成情况：完成文博馆天棚面4565.07㎡龙骨、饰面拆除及新的铝制格栅更换安装等相关维修改造工程，确保不对环境造成二次破坏达到可持续的目的，通过项目实施，解除消防安全隐患，大大改善和美化文博馆设施环境，为市民提供一个更加安全舒适的参观学习活动环境，活跃市民生活，促进和谐社会的发展。保障了文博馆区域的消防安全，节约了财政资金。</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19）“创业：亮化工程”：根据年初设定的绩效目标，项目绩效自评得分为91.15分。全年预算数为2万元，执行数为0.39万元，完成预算的19.50%。项目绩效目标完成情况：完成了创业服务中心13.6万平方米公共区域内14086套照明灯具的配置维修工作。在下一步工作中，我单位将继续做好预算计划，提高资金利用率，以“节能降耗”为管理理念，及时更换更节能的照明灯具，节约资源，用以促进年度节能减排目标的实现，进一步提高后勤服务水平。</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20）“文博：外墙清洗”：根据年初设定的绩效目标，项目绩效自评得分为93.71分。全年预算数为2.13万元，执行数为0.79万元，完成预算的37.09%。项目绩效目标完成情况：项目要求每3年集中资金对文博馆外立面及玻璃幕墙进行1次全面的清洗，本年度为节约资金只进行了1次局部清洗维护工作。清洗后，维护了我市文明城市、卫生城市的荣誉称号和文博馆外部清洁的基本需要。</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21）“创业：中央空调维护费”：根据年初设定的绩效目标，项目绩效自评得分为98.85分。全年预算数为21万元，执行数为18.58万元，完成预算的88.48%。项目绩效目标完成情况：完成了定期对创业服务中心中央空调主机、风机盘管的维修保养，及时排除了设备隐患，维护期内，保证了创业服务中心基本的办公、办事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22）“文博：保洁费”：根据年初设定的绩效目标，项目绩效自评得分为96.93分。全年预算数为102.08万元，执行数为70.74万元，完成预算的69.30%。项目绩效目标完成情况：完成了5.28万平方米公共区域内卫生的清洁、打扫、保养工作，给前来参观、学习的市民及工作人员一个舒心、整洁的环境，使全国卫生城的荣誉称号实至名归，提升了区域的环境卫生水平。在下一步工作中，我单位将继续做好预算计划，提高资金利用率，做好文博馆公共区域的清洁保养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23）“文博：中央空调维护费”：根据年初设定的绩效目标，项目绩效自评得分为97.92分。全年预算数为8.67万元，执行数为6.87万元，完成预算的79.24%。项目绩效目标完成情况：完成定期对文博馆中央空调主机、风机盘管的维修保养，水系统的清洗维护，及时排除了设备隐患，维护期内，保证了中央空调的正常运转，创造了文博馆基本的参观、学习、工作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24）“盘活国有房产费用”：根据年初设定的绩效目标，项目绩效自评得分为100分。全年预算数为5.45万元，执行数为5.45万元，完成预算的100%。项目绩效目标完成情况：有序的对各单位上交的国有房产开展了相关的测绘、评估、前期物业管理进入、房屋维修维护等工作。对可出租的房产及时进行了拍租，并将房租收入上交财政。实现了国有资产的增值、保值，避免了国有资产流失、有效提高了财政收入。</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25）“文博：公共设施设备维护费”：根据年初设定的绩效目标，项目绩效自评得分为97.11分。全年预算数为30.55万元，执行数为21.72万元，完成预算的71.10%。项目绩效目标完成情况：完成了文博馆5.28万平方米公共区域内公共设施设备的维修检测、配置维护工作。实现了公共区域内设施设备的统筹管理，节约了财政资金。在下一步工作中，我单位将继续做好预算计划，提高资金利用率，结合文博馆办公区的服务保障需求，提升维修质量，节约维修资金，维护正常的办公、参观、学习秩序，为工作人员及市民营造良好、舒心的办公、参观、学习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26）“文博：水电暖”：根据年初设定的绩效目标，项目绩效自评得分为99.80分。全年预算数为181.05万元，执行数为177.44万元，完成预算的98.01%。项目绩效目标完成情况：完成博物馆、图书馆、规划馆、规划档案馆、许都书城等6个场馆，面积5.28万平方米区域内水电暖费用的缴纳及设备巡检工作。完成了对水电暖的统筹管理，节约了财政资金，促进了全市年度节能减排目标的完成。下一步我单位将继续本着“节能降耗”的管理理念，结合文博馆办公区的服务保障需求，加强水电暖管理，保障水电暖设施安全、正常运行，坚决杜绝长明灯和长流水现象，减少水电暖浪费，维护正常的办公、参观、学习秩序。</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27）“创业：电梯维保费用”：根据年初设定的绩效目标，项目绩效自评得分为99.17分。全年预算数为15万元，执行数为13.75万元，完成预算的91.67%。项目绩效目标完成情况：完成办公区内17部直梯（1-21层），6部扶梯（4层），2部餐厅食梯（2层）的维修维护工作，保持了电梯的正常运行，杜绝了电梯安全事故的发生。下一步我单位将继续牢记安全意识，严格遵守操作规程，保持主机、控制屏无异常现象，不因维修保养不到位而使电梯有年检不合格现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28）“创业：水电暖天然气费用项目及公共设施维护费项目、房屋维护费项目2”：根据年初设定的绩效目标，项目绩效自评得分为100分。全年预算数为7.74万元，执行数为7.74万元，完成预算的100%。项目绩效目标完成情况：完成面积13.6万平方米区域内水电暖费用的缴纳、房屋及公共设施设备的巡检维护工作。实现了对水电暖及办公用房、公共区域设施设备的统筹管理，节约了财政资金，促进了全市年度节能减排目标的完成。下一步我单位将继续本着“节能降耗”的管理理念，结合创业服务中心办公区的服务保障需求，加强水电暖管理，保障房屋及各类设施设备的安全、正常运行，坚决杜绝长明灯和长流水现象，减少水电暖浪费，维护正常的办公、办事秩序，为工作人员及市民营造良好、舒心的办公、办事环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29）“保安费”：根据年初设定的绩效目标，项目绩效自评得分为99.95分。全年预算数为378.45万元，执行数为376.48万元，完成预算的99.48%。项目绩效目标完成情况：保障机关办公区和调干楼的安全保卫、防盗、防破坏、车辆秩序维持和综合治理等工作，为干部职工提供安全的工作环境。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30）“保洁费”：根据年初设定的绩效目标，项目绩效自评得分为99.98分。全年预算数为149.18万元，执行数为148.88万元，完成预算的99.80%。项目绩效目标完成情况：保障许昌市委、市政府和人大、政协办公区等区域的卫生保洁工作，为机关干部营造良好的工作环境。为进一步提升机关办公区工作人员满意度，下一步我单位将严格要求服务专业公司提高卫生标准，更加注重精细化、精准化服务，全面提升机关办公区保洁服务工作质效。</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31）“机关餐厅劳务及运行经费”：根据年初设定的绩效目标，项目绩效自评得分为99.97分。全年预算数为130.52万元，执行数为130.09万元，完成预算的99.67%。项目绩效目标完成情况：保障机关餐厅正常运转，确保办公区干部职工正常用餐，为机关干部职工提供良好的餐饮服务。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32）“暖气站临时人员”：根据年初设定的绩效目标，项目绩效自评得分为100分。全年预算数为1.1万元，执行数为1.1万元，完成预算的100%。项目绩效目标完成情况：机关办公区交换站临时人员3人服务费用，保障正常供暖。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33）“市委、市政府东办公区消防报警控制系统经费”：根据年初设定的绩效目标，项目绩效自评得分为100分。全年预算数为30.48万元，执行数为30.48万元，完成预算的100.00%。项目绩效目标完成情况：解决市委、市政府东办公区消防相关问题，以提高服务保障水平。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34）“会务中心”：根据年初设定的绩效目标，项目绩效自评得分为98分。全年预算数为44.19万元，执行数为44.19万元，完成预算的100%。项目绩效目标完成情况：提供优质会议服务，做到会务保障、会议室干净整洁、音响灯光效果良好、茶水供应及时，服务态度热情。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35）“许昌市人大政协办公楼室内地板砖及公共区域局部整修”：根据年初设定的绩效目标，项目绩效自评得分为85分。全年预算数为121.56万元，拨付资金0.00万元，执行数为0.00万元，完成预算的0.00%。项目绩效目标完成情况：对人大、市政协办公楼进行局部整修，改善办公环境，维持办公楼正常运转，使办公人员满意度达到90%以上。项目已完工，未结算，资金暂未拨付。为进一步确保资金支付的及时性，下一步我单位将进一步加强与财政局的沟通，积极申请财政资金拨付相关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36）“8号楼及5号楼五楼公共区域卫生间整修项目”：根据年初设定的绩效目标，项目绩效自评得分为85分。全年预算数为82.92万元，拨付资金0.00万元，执行数为0.00万元，完成预算的0.00%。项目绩效目标完成情况：对8号楼、5号楼五楼办公区域原生间地面、洁具、墙砖、天花板进行更换，对部分电路及水路进行改造，改善如厕条件，使工作人员有良好的工作环境。项目未完工，未验收，资金暂未拨付。下一步我单位将做好项目工期计划，进一步做好项目预算相关工作，进一步加强与财政局的沟通，积极申请财政资金拨付相关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37）“消防监控人员”：根据年初设定的绩效目标，项目绩效自评得分为100分。全年预算数为41.65万元，执行数为41.65万元，完成预算的100%。项目绩效目标完成情况：负责消防供电配电系统、火灾自动报警系统、消防供水系统、消火栓功能、自动喷淋系统、气体灭火系统、应急照明系统和疏散知识指标、应急广播系统、防火分隔设施等维护保养及消防监控值班，做好办公区消防维保后勤工作。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38）“维稳经费”：根据年初设定的绩效目标，项目绩效自评得分为99.99分。全年预算数为7.16万元，执行数为7.15万元，完成预算的99.86%。项目绩效目标完成情况：做好人员工资发放、社保缴纳工作，维护社会稳定。为进一步提升发放工资及时性，下一步我单位将进一步加强与财政局的沟通，积极申请财政资金拨付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39)“绿化养护费”：根据年初设定的绩效目标，项目绩效自评得分为99.89分。全年预算数为58.35万元，执行数为57.71万元，完成预算的98.90%。项目绩效目标完成情况：确保办公区乔灌花草合理配置，营造优美、舒适的办公环境。存在问题：绿化养护达标率、机关大院干部职工满意度，没有满足设定目标。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(40)“调干楼餐厅后厨改造、室内暖气片更换工程质保金”：根据年初设定的绩效目标，项目绩效自评得分为100。全年预算数为1.64万元，执行数为1.64万元，完成预算的100%。项目绩效目标完成情况：保障调干楼后厨餐厅的使用及冬季取暖，为调干楼提供更好的后勤保障服务。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(41)“配电室临时人员”：根据年初设定的绩效目标，项目绩效自评得分为99.95分。全年预算数为38.3万元，执行数为38.12万元，完成预算的99.53%。项目绩效目标完成情况：负责机关办公区配电室值守及箱变高低压室的巡视，巡查工作；市委市政府办公区中央空调制冷、制暖及天然气锅炉机的操作运行；市委市政府、市人大政协办公区，综合楼办公区、人民路办公区、调干楼生活区水、电、暖的维修维护等，为机关干部职工营造良好的工作环境。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(42)“水电暖费”：根据年初设定的绩效目标，项目绩效自评得分为100分。全年预算数为66.87万元，执行数为66.87万元，完成预算的100%。项目绩效目标完成情况：保障机关办公区及调干楼供电、供水及供暖正常进行。为避免各单位重复设立预算项目，节约财政资金，完成年度节能减排目标，进一步提高后勤服务水平，由我单位统一提供用电、用水、暖气、等后勤管理服务，为工作人员营造良好、舒心的办公环境。水电暖费为保障机关大院运转的刚性支出，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43）“公共设施维护费”：根据年初设定的绩效目标，项目绩效自评得分为100分。全年预算数为116.05万元，执行数为116.05万元，完成预算的100%。项目绩效目标完成情况：完成机关办公区和调干楼生活区房屋及水、电、暖、中央空调等公共基础设施的维护管理工作。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(44)“水电暖费”：根据年初设定的绩效目标，项目绩效自评得分为98.47分。全年预算数为495.44万元，执行数为419.56万元，完成预算的84.68%。项目绩效目标完成情况：保障机关办公区及调干楼供电、供水及供暖正常进行。为避免各单位重复设立预算项目，节约财政资金，完成年度节能减排目标，进一步提高后勤服务水平，由我单位统一提供用电、用水、暖气、等后勤管理服务，为工作人员营造良好、舒心的办公环境。水电暖费为保障机关大院运转的刚性支出，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(45)“1、2号楼办公用房局部整修”：根据年初设定的绩效目标，项目绩效自评得分为99.96分。全年预算数为7.99万元，执行数为7.96万元，完成预算的99.62%。项目绩效目标完成情况：满足机关办公区1号楼、2号楼办公用房的正常使用，需对8间办公室进行局部整修，整修主要内容为房屋室内墙漆粉刷、更换18扇木门。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(46)“三号楼一楼会议室提升改造质保金”：根据年初设定的绩效目标，项目绩效自评得分为100分。全年预算数为4.62万元，执行数为4.62万元，完成预算的100%。项目绩效目标完成情况：及时支付质保金，提升会议服务水平，保障会务服务工作正常开展。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(47)“2号楼接待室、会议室木地板、灯具及墙漆粉刷”：根据年初设定的绩效目标，项目绩效自评得分为100分。全年预算数为7.75万元，执行数为7.75万元，完成预算的100%。项目绩效目标完成情况：对2号楼接待室、会议室进行整修，改善办公环境，使与会人员满意度达到90%以上。绩效目标设置合理，完成情况良好，下一步我单位将继续优化服务改善服务方式，更加注重精细化、精准化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48）“公车运行费”：项目评价等级为“优”，预算为256.00万元，支出决算为256.00万元，预算执行率100%，目标完成率100%。下一步我单位将进一步保障好市直机关跨区域出行、跨部门综合执法等其他各类符合条件的公务出行需要。</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49）“公车运行费”：项目评价等级为“优”，预算为6.90万元，支出决算为6.90万元，预算执行率100%，目标完成率100%，下一步我单位将进一步保障好市直机关跨区域出行、跨部门综合执法等其他各类符合条件的公务出行需要。</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（50）“司车补助”：项目评价等级为“优”，预算为40.69万元，支出决算为40.69万元，预算执行率100%，目标完成率100%，下一步我单位将进一步加强驾驶员安全、礼仪培训，保障好各单位的用车需求。</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51）“北斗导航定位信息量费”：项目评价等级为“优”，预算为44.21万元，支出决算为44.21万元，预算执行率100%，目标完成率100%，下一步我单位将继续利用好该系统随时掌握全市公务用车的动态，确实起到监督和督促的作用。</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52）“环委办车辆租赁费（结转本级资金）”项目评价等级为“优”，预算为37.67万元，支出决算为37.67万元，预算执行率100%，目标完成率100%，下一步我单位将继续服务好环委办的租车需求，保障各项工作正常开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项目绩效自评情况来看，2023年我部门紧紧围绕市委、市政府中心工作，认真完成了各项目标任务，取得了较好的社会效益，项目支出绩效情况较为理想，达到了预期申请时设定的各项绩效目标。评价结果显示，项目立项符合国家有关政策和事业发展需要，与部门职能密切相关，立项程序规范；绩效目标设置合理、清晰、可衡量，实施内容与预期目标密切相关；预算编制科学，具体内容细化，预算执行较好。严格执行各项制度和财务流程，推进了部门财务工作制度化、规范化、程序化，保障了部门财务经济活动合法合规，各项目均实现了预期绩效目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516"/>
        <w:gridCol w:w="232"/>
        <w:gridCol w:w="232"/>
        <w:gridCol w:w="1468"/>
        <w:gridCol w:w="1248"/>
        <w:gridCol w:w="1193"/>
        <w:gridCol w:w="680"/>
        <w:gridCol w:w="870"/>
        <w:gridCol w:w="1178"/>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6889.27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6889.27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6889.27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6889.27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机关事务管理服务和保障工作；对党政机关办公用房进行管理，推进办公用房合理配置；负责全市行政事业单位公务用车管理，组织制定车辆管理办法并监督执行；负责全市公共机构节能监督管理，负责推进、指导、协调、监督全市公共机构节能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机关事务管理、保障、服务工作；完成对党政机关办公用房进行管理,推进办公用房合理配置；完成全市行政事业单位公务用车管理，组织制定车辆管理办法并监督执行；完成全市公共机构节能监督管理，负责推进、指导、协调、监督全市公共机构节能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机关事务管理服务和保障工作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对党政机关公房、行政事业单位公车、公共机构节能工作进行管理，保障运行，降低成本。</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偏差原因分析及</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工作目标</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预算和财务</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年中临时增加预算项目，使用单位自有资金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资金拨付进度滞后，支出业务滞后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“三公经费”</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绩效目标编制</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部门绩效评价</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重点工作</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公房公车公共机构节能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履职目标</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 xml:space="preserve"> 公共公车公共</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机构节能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提升服务对象</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进一步提高管理服务水平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 xml:space="preserve"> 被服务对象</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9"/>
        <w:gridCol w:w="823"/>
        <w:gridCol w:w="1397"/>
        <w:gridCol w:w="786"/>
        <w:gridCol w:w="786"/>
        <w:gridCol w:w="983"/>
        <w:gridCol w:w="975"/>
        <w:gridCol w:w="574"/>
        <w:gridCol w:w="574"/>
        <w:gridCol w:w="526"/>
        <w:gridCol w:w="841"/>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市直单位办公用房租赁经费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项目资金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年度资金总额</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财政专户管理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预算绩效管理</w:t>
            </w:r>
          </w:p>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完成市直单位使用的办公用房租金缴纳工作。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及时完成市直单位使用办公用房租金的缴纳。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二级</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办公用房租赁成本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数量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办公用房租赁面积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质量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租赁房屋是否满足合同要求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满足单位</w:t>
            </w:r>
          </w:p>
          <w:p>
            <w:pPr>
              <w:pStyle w:val="10"/>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w:t>
            </w:r>
            <w:r>
              <w:rPr>
                <w:rFonts w:hint="eastAsia" w:ascii="宋体" w:hAnsi="宋体" w:eastAsia="宋体" w:cs="宋体"/>
                <w:i w:val="0"/>
                <w:iCs w:val="0"/>
                <w:color w:val="000000"/>
                <w:kern w:val="0"/>
                <w:sz w:val="18"/>
                <w:szCs w:val="18"/>
                <w:u w:val="none"/>
                <w:lang w:val="en-US" w:eastAsia="zh-CN" w:bidi="en-AU"/>
              </w:rPr>
              <w:t>公需求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时效</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减少办公成本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工作人员</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753"/>
        <w:gridCol w:w="1297"/>
        <w:gridCol w:w="552"/>
        <w:gridCol w:w="552"/>
        <w:gridCol w:w="1217"/>
        <w:gridCol w:w="1088"/>
        <w:gridCol w:w="573"/>
        <w:gridCol w:w="733"/>
        <w:gridCol w:w="507"/>
        <w:gridCol w:w="784"/>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调干楼经费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项目资金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年度资金总额</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财政专户管理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预算绩效管理</w:t>
            </w:r>
          </w:p>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负责调干楼日常管理和服务工作，保障调干楼正常运行。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完成全年目标任务情况良好。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二级</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物业管理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≤207.59</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w:t>
            </w:r>
            <w:r>
              <w:rPr>
                <w:rFonts w:hint="eastAsia" w:ascii="宋体" w:hAnsi="宋体" w:eastAsia="宋体" w:cs="宋体"/>
                <w:i w:val="0"/>
                <w:iCs w:val="0"/>
                <w:color w:val="000000"/>
                <w:kern w:val="0"/>
                <w:sz w:val="18"/>
                <w:szCs w:val="18"/>
                <w:u w:val="none"/>
                <w:lang w:val="en-US" w:eastAsia="zh-CN" w:bidi="en-AU"/>
              </w:rPr>
              <w:t>8</w:t>
            </w:r>
            <w:r>
              <w:rPr>
                <w:rFonts w:ascii="宋体" w:hAnsi="宋体" w:eastAsia="宋体" w:cs="宋体"/>
                <w:i w:val="0"/>
                <w:iCs w:val="0"/>
                <w:color w:val="000000"/>
                <w:kern w:val="0"/>
                <w:sz w:val="18"/>
                <w:szCs w:val="18"/>
                <w:u w:val="none"/>
                <w:lang w:val="en-US" w:eastAsia="zh-CN" w:bidi="en-AU"/>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数量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物业管理面积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14520平方米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14520平方米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质量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公共设施设备完好率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时效</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物业服务完成及时性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提升入住人员生活环境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加强精细化管理，进一步提升服务水平。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入住人员</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2"/>
        <w:gridCol w:w="1006"/>
        <w:gridCol w:w="1707"/>
        <w:gridCol w:w="571"/>
        <w:gridCol w:w="571"/>
        <w:gridCol w:w="1208"/>
        <w:gridCol w:w="921"/>
        <w:gridCol w:w="574"/>
        <w:gridCol w:w="574"/>
        <w:gridCol w:w="517"/>
        <w:gridCol w:w="814"/>
        <w:gridCol w:w="1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调干楼电器购置费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项目资金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年度资金总额</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财政专户管理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预算绩效管理</w:t>
            </w:r>
          </w:p>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负责调干楼电器购置及配备安装，保障调干楼</w:t>
            </w:r>
            <w:r>
              <w:rPr>
                <w:rFonts w:hint="eastAsia" w:ascii="宋体" w:hAnsi="宋体" w:eastAsia="宋体" w:cs="宋体"/>
                <w:i w:val="0"/>
                <w:iCs w:val="0"/>
                <w:color w:val="000000"/>
                <w:kern w:val="0"/>
                <w:sz w:val="18"/>
                <w:szCs w:val="18"/>
                <w:u w:val="none"/>
                <w:lang w:val="en-US" w:eastAsia="zh-CN" w:bidi="en-AU"/>
              </w:rPr>
              <w:t>管理服务工作</w:t>
            </w:r>
            <w:r>
              <w:rPr>
                <w:rFonts w:ascii="宋体" w:hAnsi="宋体" w:eastAsia="宋体" w:cs="宋体"/>
                <w:i w:val="0"/>
                <w:iCs w:val="0"/>
                <w:color w:val="000000"/>
                <w:kern w:val="0"/>
                <w:sz w:val="18"/>
                <w:szCs w:val="18"/>
                <w:u w:val="none"/>
                <w:lang w:val="en-US" w:eastAsia="zh-CN" w:bidi="en-AU"/>
              </w:rPr>
              <w:t>正常运行。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完成目标任务情况良好。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二级</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电器购置配备成本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数量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电器新增购置数量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质量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电器设备</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时效</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设备安装完成及时性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满足入住人员</w:t>
            </w:r>
          </w:p>
          <w:p>
            <w:pPr>
              <w:pStyle w:val="10"/>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8"/>
                <w:szCs w:val="18"/>
                <w:u w:val="none"/>
                <w:lang w:val="en-US" w:eastAsia="zh-CN" w:bidi="en-AU"/>
              </w:rPr>
              <w:t>工作生活需求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入住人员</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2"/>
        <w:gridCol w:w="722"/>
        <w:gridCol w:w="1249"/>
        <w:gridCol w:w="867"/>
        <w:gridCol w:w="841"/>
        <w:gridCol w:w="1564"/>
        <w:gridCol w:w="1055"/>
        <w:gridCol w:w="573"/>
        <w:gridCol w:w="573"/>
        <w:gridCol w:w="505"/>
        <w:gridCol w:w="778"/>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市直单位办公用房租赁经费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4"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项目资金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年度资金总额</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财政专户管理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6"/>
                <w:szCs w:val="16"/>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完成市直单位使用的办公用房租金缴纳工作，保障市直单位正常办公。</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完成全年目标任务情况良好。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二级</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每年足额缴纳创业服务中心房屋租赁费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单位集中办公，减少办公经费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单位集中办公，减少办公经费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数量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创业服务中心办公</w:t>
            </w:r>
            <w:r>
              <w:rPr>
                <w:rFonts w:hint="eastAsia" w:ascii="宋体" w:hAnsi="宋体" w:eastAsia="宋体" w:cs="宋体"/>
                <w:i w:val="0"/>
                <w:iCs w:val="0"/>
                <w:color w:val="000000"/>
                <w:kern w:val="0"/>
                <w:sz w:val="18"/>
                <w:szCs w:val="18"/>
                <w:u w:val="none"/>
                <w:lang w:val="en-US" w:eastAsia="zh-CN" w:bidi="en-AU"/>
              </w:rPr>
              <w:t>用房</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租赁面积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≥150万</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质量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租赁房屋是否满足合同要求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时效</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减少办公成本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工作人员</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派驻纪检组工作经费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项目资金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年度资金总额</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财政专户管理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预算绩效管理</w:t>
            </w:r>
          </w:p>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保障执纪监督工作和执纪审查工作的顺利开展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派驻纪检组纪检当年工作已完成，进展顺利。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二级</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en-AU"/>
              </w:rPr>
              <w:t>派驻纪检组工作经费成本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数量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纪检工作人员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质量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纪检工作质量达到要求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时效</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纪检工作</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8"/>
                <w:szCs w:val="18"/>
                <w:u w:val="none"/>
                <w:lang w:val="en-US" w:eastAsia="zh-CN" w:bidi="en-AU"/>
              </w:rPr>
              <w:t>纪检工作效率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纪检</w:t>
            </w:r>
            <w:r>
              <w:rPr>
                <w:rFonts w:hint="eastAsia" w:ascii="宋体" w:hAnsi="宋体" w:eastAsia="宋体" w:cs="宋体"/>
                <w:i w:val="0"/>
                <w:iCs w:val="0"/>
                <w:color w:val="000000"/>
                <w:kern w:val="0"/>
                <w:sz w:val="18"/>
                <w:szCs w:val="18"/>
                <w:u w:val="none"/>
                <w:lang w:val="en-US" w:eastAsia="zh-CN" w:bidi="en-AU"/>
              </w:rPr>
              <w:t>工作</w:t>
            </w:r>
            <w:r>
              <w:rPr>
                <w:rFonts w:ascii="宋体" w:hAnsi="宋体" w:eastAsia="宋体" w:cs="宋体"/>
                <w:i w:val="0"/>
                <w:iCs w:val="0"/>
                <w:color w:val="000000"/>
                <w:kern w:val="0"/>
                <w:sz w:val="18"/>
                <w:szCs w:val="18"/>
                <w:u w:val="none"/>
                <w:lang w:val="en-US" w:eastAsia="zh-CN" w:bidi="en-AU"/>
              </w:rPr>
              <w:t>人员</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4"/>
        <w:gridCol w:w="908"/>
        <w:gridCol w:w="1566"/>
        <w:gridCol w:w="546"/>
        <w:gridCol w:w="514"/>
        <w:gridCol w:w="1181"/>
        <w:gridCol w:w="1041"/>
        <w:gridCol w:w="680"/>
        <w:gridCol w:w="681"/>
        <w:gridCol w:w="598"/>
        <w:gridCol w:w="919"/>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2023年许昌市派驻村第一书记补助经费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项目资金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年度资金总额</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财政专户管理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预算绩效管理</w:t>
            </w:r>
          </w:p>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按照市财政局文件要求，向市级选派的驻村工作队员发放驻村生活补助、交通补贴等费用支出。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为市级驻村工作队员提供保障服务，确保了驻村帮扶工作顺利开展，群众满意度和驻村工作队员满意度均达到95%以上。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二级</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生活和交通补贴发放标准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数量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发放生活、交通补贴人数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数量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时效</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补助经费</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8"/>
                <w:szCs w:val="18"/>
                <w:u w:val="none"/>
                <w:lang w:val="en-US" w:eastAsia="zh-CN" w:bidi="en-AU"/>
              </w:rPr>
              <w:t>对驻村工作的推进作用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工作队员</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
        <w:gridCol w:w="942"/>
        <w:gridCol w:w="1831"/>
        <w:gridCol w:w="373"/>
        <w:gridCol w:w="346"/>
        <w:gridCol w:w="1292"/>
        <w:gridCol w:w="1084"/>
        <w:gridCol w:w="748"/>
        <w:gridCol w:w="749"/>
        <w:gridCol w:w="639"/>
        <w:gridCol w:w="957"/>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文博：水电暖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文博馆为全市人民参观、学习的重要场所，也是我市对外展示的一张金名片。现有博物馆、图书馆、规划馆、规划馆规划档案馆、许都书城等多个场馆，管理面积5.28万平方米，工作人员400余人。为避免各单位重复设立预算项目，节约财政资金，完成全市年度节能减排目标，进一步提高后勤服务水平，需由我单位统一提供用电、用水、暖气及费用缴纳的后勤管理服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文博馆为全市人民参观、学习的重要场所，也是我市对外展示的一张金名片。现有博物馆、图书馆、规划馆、规划馆规划档案馆、许都书城等多个场馆，管理面积5.28万平方米，工作人员400余人。我单位统一提供用电、用水、暖气及费用缴纳的后勤管理服务，避免了各单位重复设立预算项目，节约l财政资金，完成了全市年度节能减排目标，进一步提高后勤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指标1：文博馆全年用电量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指标1：水电暖使用安全事故发生次数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指标1：水电暖供应及时性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指标2：缴费时间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r>
        <w:rPr>
          <w:rFonts w:hint="eastAsia"/>
          <w:lang w:val="en-US" w:eastAsia="zh-CN"/>
        </w:rPr>
        <w:t xml:space="preserve"> </w:t>
      </w: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2"/>
        <w:gridCol w:w="799"/>
        <w:gridCol w:w="1552"/>
        <w:gridCol w:w="385"/>
        <w:gridCol w:w="358"/>
        <w:gridCol w:w="1549"/>
        <w:gridCol w:w="1061"/>
        <w:gridCol w:w="708"/>
        <w:gridCol w:w="907"/>
        <w:gridCol w:w="602"/>
        <w:gridCol w:w="992"/>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创业：机关餐厅运行保障费用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35.83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服务中心餐厅厨师团队要在规定时间内做好职工餐，在保证质量的前提下，合理安排数量和品类，营养均衡，控制成本避免物资浪费，做好厨房设施及工具的维修保养，做好卫生和安全用火工作，为广大干部职工营造一个安全、健康、舒心的就餐环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服务中心餐厅厨师团队在规定时间内做好了职工餐，在保证质量的前提下，合理安排了菜品数量和品类，营养均衡，控制了成本避免物资浪费，做好了厨房设施及工具的维修保养，做好了卫生和安全用火工作，为广大干部职工营造了一个安全、健康、舒心的就餐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指标1：机关餐厅劳务费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≤143.57万元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35.83万元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指标1：配备餐厅服务人员数量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指标2：就餐职工总人次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≥1500人/天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1500人/天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指标1：提供餐饮服务质量达标率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指标2：餐厅厨余垃圾处理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符合国家卫生标准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指标1：每周推出1个新菜品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1每周1个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1每周1个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指标2：供餐及时性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指标1：满足职工正常就餐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有效满足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指标2：用餐服务长效机制健全性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指标1：用餐职工满意度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
        <w:gridCol w:w="875"/>
        <w:gridCol w:w="1700"/>
        <w:gridCol w:w="414"/>
        <w:gridCol w:w="373"/>
        <w:gridCol w:w="1498"/>
        <w:gridCol w:w="1163"/>
        <w:gridCol w:w="732"/>
        <w:gridCol w:w="732"/>
        <w:gridCol w:w="622"/>
        <w:gridCol w:w="927"/>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创业：水电暖天然气、公共设施设备维护费、房屋维护费项目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574.8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进一步提高后勤服务水平，由我单位统一提供公共区域维修、用电、用水、暖气、冷气维修及费用缴纳的后勤管理服务，为工作人员营造良好、舒心的办公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进一步提高后勤服务水平，由我单位统一提供公共区域维修、用电、用水、暖气、冷气维修及费用缴纳的后勤管理服务，为工作人员营造了良好、舒心的办公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指标2：水费成本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指标3：暖气成本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指标4：公共设施设备维修维护成本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指标5：房屋维修维护成本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指标1：创业服务中心全年用水量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≤3.64万吨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3.64万吨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指标2：创业服务中心全年用电量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≤646万度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646万度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指标3：创业服务中心全年暖气用量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≤0.36万吨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0.36万吨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指标4：公共设施管理面积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≥13.6万平方米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13.6万平方米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指标5：办公楼管理数量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6栋高层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6栋高层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指标2：设施设备损坏率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指标1：电、水、暖使用安全事故发生次数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指标3：房屋质量合格率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指标1：水、电、暖供应及时性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指标2：缴费时间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每月25日前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指标3：一般故障处理时效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指标4：紧急故障处理时效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指标2：办公、办事环境舒适性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指标1：办事群众满意度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
        <w:gridCol w:w="879"/>
        <w:gridCol w:w="1708"/>
        <w:gridCol w:w="342"/>
        <w:gridCol w:w="315"/>
        <w:gridCol w:w="1554"/>
        <w:gridCol w:w="1226"/>
        <w:gridCol w:w="729"/>
        <w:gridCol w:w="729"/>
        <w:gridCol w:w="620"/>
        <w:gridCol w:w="925"/>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文博：保安费项目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175.59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175.59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175.59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因文博馆总面积大（5.28万平方米），是许昌市一级安保重点单位。内部不但有博物馆、图书馆、规划馆规划档案馆、许都书城五个场馆，属于开放性管理，面对全市市民提供参观、学习服务，进出人员相对复杂，保安人员既要维持办公秩序良好，疏导好往来车辆，又要处理好突发性时事件，保护好个人财产和国家文物遗产，营造良好的治安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因文博馆总面积大（5.28万平方米），是许昌市一级安保重点单位。内部不但有博物馆、图书馆、规划馆规划档案馆、许都书城五个场馆，属于开放性管理，面对全市市民提供参观、学习服务，进出人员相对复杂，保安人员既要维持办公秩序良好，疏导好往来车辆，又要处理好突发性时事件，保护好个人财产和国家文物遗产，营造良好的治安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指标1：保安费用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≤175.59万元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175.59万元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指标1：保安服务人数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指标1：安保服务时效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指标1：办公条件安全性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876"/>
        <w:gridCol w:w="1704"/>
        <w:gridCol w:w="416"/>
        <w:gridCol w:w="390"/>
        <w:gridCol w:w="1244"/>
        <w:gridCol w:w="1069"/>
        <w:gridCol w:w="708"/>
        <w:gridCol w:w="906"/>
        <w:gridCol w:w="601"/>
        <w:gridCol w:w="991"/>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创业：消防维保经费项目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64.18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服务中心是人员集中活动场所，每天前来办事的市民和工作人员不低于3500人次，因此消防设施设备设置要符合法律法规，确保消火灾重点报警设备、消防报警设施等完好率100%，24小时消防控制室不间断双岗值班。以达到“预防为主，防消结合”的宗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服务中心是人员集中活动场所，每天前来办事的市民和工作人员不低于3500人次，因此消防设施设备设置要符合法律法规，确保消火灾重点报警设备、消防报警设施等完好率100%，24小时消防控制室不间断双岗值班。达到了“预防为主，防消结合”的宗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指标1：消防维保费用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64.18万元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指标1：消防控制室值班人员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指标2：监控时间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24小时双岗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24小时双岗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指标3：出检测报告时间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指标1：消防设备完好率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指标2：检查记录的完整性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指标2：消防监控时效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指标1：保障创业服务中心区域消防安全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指标1：办事的市民群众满意率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指标2：工作人员满意率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4"/>
        <w:gridCol w:w="865"/>
        <w:gridCol w:w="1682"/>
        <w:gridCol w:w="355"/>
        <w:gridCol w:w="355"/>
        <w:gridCol w:w="1426"/>
        <w:gridCol w:w="1082"/>
        <w:gridCol w:w="726"/>
        <w:gridCol w:w="780"/>
        <w:gridCol w:w="621"/>
        <w:gridCol w:w="1025"/>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创业中心：节水示范工程项目经费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36.02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改造后从源头上减少了生活污水排放的数量，降低了污水治理的成本，带来了很好的社会效益。同时降低了用水总量和用水强度。减少了水资源和能源费用支出与维护费用，同时项目契合国家节能减排的基本国策，承担了相应的社会责任，起到了很好的表率作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改造后从源头上减少了生活污水排放的数量，降低了污水治理的成本，带来了很好的社会效益。同时降低了用水总量和用水强度。减少了水资源和能源费用支出与维护费用，同时项目契合国家节能减排的基本国策，承担了相应的社会责任，起到了很好的表率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节水示范工程总成本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非常规水资源回收利用设施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智慧绿化喷灌设施节水改造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智能物联网用水计量改造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人均用水情况降低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降低1%以上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绿化用水总量降低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降低4%以上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非常规水资源年回收利用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1000 吨左右/年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减少水资源和能源费用支出与维护费用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显著降低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降低污水治理的成本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显著降低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契合国家节能减排的基本国策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节能减排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办公区工作人员满意度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
        <w:gridCol w:w="909"/>
        <w:gridCol w:w="1767"/>
        <w:gridCol w:w="374"/>
        <w:gridCol w:w="347"/>
        <w:gridCol w:w="1435"/>
        <w:gridCol w:w="1144"/>
        <w:gridCol w:w="732"/>
        <w:gridCol w:w="731"/>
        <w:gridCol w:w="624"/>
        <w:gridCol w:w="932"/>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文博：亮化工程项目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文博馆为全市人民参观、学习的重要场所，也是我市对外展示的一张金名片。现有博物馆、图书馆、规划馆、规划馆规划档案馆、许都书城等多个场馆，管理面积5.28万平方米，工作人员400余人。为保障参观环境和亮化景观要求，需完成文博馆公共区域11000多套照明、亮化灯具的维修更换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文博馆为全市人民参观、学习的重要场所，也是我市对外展示的一张金名片。现有博物馆、图书馆、规划馆、规划馆规划档案馆、许都书城等多个场馆，管理面积5.28万平方米，工作人员400余人。保障了参观环境和亮化景观要求，完成了文博馆公共区域11000多套照明、亮化灯具的维修更换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指标1：亮化工程维修维护总成本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指标1：公共区域照明灯具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≥11000套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11000套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指标2：返修率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指标1：故障响应时间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指标2：维修时效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指标1：学习和参观的群众满意度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2"/>
        <w:gridCol w:w="936"/>
        <w:gridCol w:w="1821"/>
        <w:gridCol w:w="394"/>
        <w:gridCol w:w="368"/>
        <w:gridCol w:w="1238"/>
        <w:gridCol w:w="1084"/>
        <w:gridCol w:w="744"/>
        <w:gridCol w:w="744"/>
        <w:gridCol w:w="637"/>
        <w:gridCol w:w="957"/>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文博：电梯维护费项目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图书馆4部直梯（3客1货、4层）、博物馆5部直梯（4客1货4层）、规划馆2部直梯（4层）1部扶梯（2层）进行维修维护，保持电梯的正常运行，杜绝电梯安全事故的发生，不因维修保养不到位而使电梯年检不合格，严格遵守操作规程，牢记安全意识，保持主机、控制屏无异常现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图书馆4部直梯（3客1货、4层）、博物馆5部直梯（4客1货4层）、规划馆2部直梯（4层）1部扶梯（2层）进行了维修维护，保持了电梯的正常运行，杜绝了电梯安全事故的发生，不因维修保养不到位而使电梯年检不合格，严格遵守操作规程，牢记安全意识，保持了主机、控制屏的无异常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指标1：电梯维修维护总成本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指标1：对办公区域内电梯巡检维护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指标1：电梯设备完好率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指标2：重大故障次数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指标1：一般故障处理时效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指标2：紧急故障处理时效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指标1：环境改善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指标1：学习和参观的群众满意度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899"/>
        <w:gridCol w:w="1749"/>
        <w:gridCol w:w="389"/>
        <w:gridCol w:w="363"/>
        <w:gridCol w:w="1918"/>
        <w:gridCol w:w="1279"/>
        <w:gridCol w:w="651"/>
        <w:gridCol w:w="651"/>
        <w:gridCol w:w="546"/>
        <w:gridCol w:w="802"/>
        <w:gridCol w:w="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创业：物业管理费项目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695.68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695.68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695.68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该项目为我单位2016年接管创业服务中心以来的固定项目，列入年度部门预算中，为保障内外部环境协调统一，设施设备运行良好对服务电话反映及时，努力营造良好办公环境，做好后勤服务。依据许政纪[2018]28号会议纪要及2020年9月份政府公开招标价的中标价，物业服务合同总计695.68万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该项目为我单位2016年接管创业服务中心以来的固定项目，列入年度部门预算中，保障了内外部环境协调统一，设施设备运行良好对服务电话反映及时，努力营造了良好办公环境，做好了后勤服务。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指标1：物业管理费用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≤695.68万元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695.68万元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指标1：办公区面积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≥13.6万平方米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13.6万平方米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指标2;环境卫生达标率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指标3：物业服务上门率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指标1：安保服务时效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指标2：卫生保洁时效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24小时（按合同要求）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24小时（按合同要求）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 服务电话处理时效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指标1：对办公环境的提升程度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指标2：工作人员满意率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指标1：办事的市民群众满意率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
        <w:gridCol w:w="932"/>
        <w:gridCol w:w="1812"/>
        <w:gridCol w:w="417"/>
        <w:gridCol w:w="376"/>
        <w:gridCol w:w="1283"/>
        <w:gridCol w:w="1078"/>
        <w:gridCol w:w="746"/>
        <w:gridCol w:w="746"/>
        <w:gridCol w:w="637"/>
        <w:gridCol w:w="952"/>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创业：水电暖天然气费用项目及公共设施维护费项目、房屋维护费项目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进一步提高后勤服务水平，由我单位统一提供公共区域维修、用电、用水、暖气、冷气维修及费用缴纳的后勤管理服务，为工作人员营造良好、舒心的办公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创业服务中心为机关事业单位集中办公区，现有入驻的行政单位19个，事业单位35个，另有面对全市市民服务的行政事业单位窗口140个，公共服务窗口6个，管理面积13.6万平方米，工作人员2000余人。由我单位统一提供公共区域维修、用电、用水、暖气、冷气维修及费用缴纳的后勤管理服务，为工作人员营造了良好、舒心的办公环境，避免了各单位重复设立预算项目，节约了财政资金，进一步提高了后勤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指标1：创业服务中心用电量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指标1：电、水、暖使用安全事故发生次数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指标1：水、电、暖供应及时性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指标1：办事群众满意度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
        <w:gridCol w:w="865"/>
        <w:gridCol w:w="1681"/>
        <w:gridCol w:w="388"/>
        <w:gridCol w:w="347"/>
        <w:gridCol w:w="1377"/>
        <w:gridCol w:w="1069"/>
        <w:gridCol w:w="714"/>
        <w:gridCol w:w="915"/>
        <w:gridCol w:w="604"/>
        <w:gridCol w:w="995"/>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文博：消防维保及消防控制室人员值班经费项目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23.15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馆馆藏有重要文物，属于全市一级重点防火单位。是人员集中活动场所，每天前来学习、参观的市民和工作人员不低于2500人次，因此消防设施设备设置要符合法律法规，确保火灾重点报警设备及所有相关设备运行正常，各水箱水位正常，消防卷帘、灭火器、消防报警设施等完好率100%，24小时消防控制室不间断双岗值班。以达到“预防为主，防消结合”的宗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馆馆藏有重要文物，属于全市一级重点防火单位。是人员集中活动场所，每天前来学习、参观的市民和工作人员不低于2500人次，消防设施设备设置要符合法律法规，火灾重点报警设备及所有相关设备运行正常，各水箱水位正常，消防卷帘、灭火器、消防报警设施等完好率100%，24小时消防控制室不间断双岗值班。达到了“预防为主，防消结合”的宗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指标1：消防维保费用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指标1：消防控制室值班人数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指标2：监控时间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24小时双岗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24小时双岗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指标3：出检测报告时间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半年一次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指标1：消防设备完好率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指标2：检查记录的完整性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标1：故障处理时效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指标2：消防监控时效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指标1：保障文博馆区域消防安全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指标1：学习、参观的市民满意度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785"/>
        <w:gridCol w:w="1526"/>
        <w:gridCol w:w="452"/>
        <w:gridCol w:w="415"/>
        <w:gridCol w:w="1749"/>
        <w:gridCol w:w="1444"/>
        <w:gridCol w:w="651"/>
        <w:gridCol w:w="651"/>
        <w:gridCol w:w="554"/>
        <w:gridCol w:w="828"/>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文博馆消防格栅更换项目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55.39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按照2022年4月24日市政府领导批示件要求，对文博馆展厅顶部消防格栅进行维修改造，用以消除消防喷淋消防隐患，达到消防要求。</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按照2022年4月24日市政府领导批示件要求，对文博馆展厅顶部消防格栅进行维修改造，用以消除消防喷淋消防隐患，已达到消防要求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展厅顶部格栅更换成本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≤553887.11元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553887.11元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吊顶天棚拆除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≥4565.07㎡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4565.07㎡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余方弃置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更换铝制天棚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≥4565.07㎡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4565.07㎡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消防喷淋使用达标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符合消防要求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完成工作时效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保障文博馆区域消防安全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参观、学习的市民满意度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
        <w:gridCol w:w="866"/>
        <w:gridCol w:w="1683"/>
        <w:gridCol w:w="382"/>
        <w:gridCol w:w="340"/>
        <w:gridCol w:w="1403"/>
        <w:gridCol w:w="1115"/>
        <w:gridCol w:w="720"/>
        <w:gridCol w:w="923"/>
        <w:gridCol w:w="610"/>
        <w:gridCol w:w="905"/>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创业：亮化工程项目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完成年度节能减排目标，进一步提高后勤服务水平，由我单位统一提供公共区域14086套照明灯具的配置维修，为前来办事的群众和工作人员营造良好、舒心的办公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完成年度节能减排目标，进一步提高后勤服务水平，由我单位统一提供公共区域14086套照明灯具的配置维修，为前来办事的群众和工作人员营造良好、舒心的办公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指标1：亮化工程维修维护总成本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指标1：公共区域照明灯具。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≥14000套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14000套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指标2：返修率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指标1：故障响应时间。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指标2：维修时效。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指标2：有效保障办公环境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指标2：工作人员满意率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指标1：办事的市民群众满意率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91.95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893"/>
        <w:gridCol w:w="1738"/>
        <w:gridCol w:w="415"/>
        <w:gridCol w:w="389"/>
        <w:gridCol w:w="1226"/>
        <w:gridCol w:w="1015"/>
        <w:gridCol w:w="703"/>
        <w:gridCol w:w="900"/>
        <w:gridCol w:w="600"/>
        <w:gridCol w:w="989"/>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文博：外墙清洗项目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0.79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馆属于我市建设的一体化亮点工程、文明建设的窗口，对外的城市形象。为保持我市文明城市、卫生城市的荣誉称号和文博馆外部清洁的基本需要，需每年请专业公司对文博馆外立面及玻璃幕墙进行至少一次的清洗维护。</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馆属于我市建设的一体化亮点工程、文明建设的窗口，对外的城市形象。为保持我市文明城市、卫生城市的荣誉称号和文博馆外部清洁的基本需要，每年请专业公司对文博馆外立面及玻璃幕墙进行至少一次的清洗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指标1：外墙清洗维修维护总成本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0.79万元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指标1：清洗次数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1年1次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指标1：清洗标准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无明显污垢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指标1：清洗时间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每年年中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指标1：提升文博馆形象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指标1：学习和参观的群众满意度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862"/>
        <w:gridCol w:w="1678"/>
        <w:gridCol w:w="546"/>
        <w:gridCol w:w="523"/>
        <w:gridCol w:w="1188"/>
        <w:gridCol w:w="975"/>
        <w:gridCol w:w="666"/>
        <w:gridCol w:w="853"/>
        <w:gridCol w:w="572"/>
        <w:gridCol w:w="946"/>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创业：中央空调维护费项目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18.58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定期对中央空调主机、风机盘管进行维修保养，及时排除设备隐患，维护期内，保证中央空调正常运转，创造冬暖夏凉基本的办公环境。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定期对中央空调主机、风机盘管进行维修保养，及时排除设备隐患，维护期内，保证中央空调正常运转，创造了冬暖夏凉基本的办公环境。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指标1：中央空调维修维护总成本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指标1：中央空调控制面积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指标2：对中央空调机组进行维修保养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指标1：中央空调设备完好率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指标2：故障发生率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指标2：紧急故障处理时效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指标1：一般故障处理时效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指标1：市民群众的舒适度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指标1：办事的市民群众满意率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指标2：工作人员满意率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785"/>
        <w:gridCol w:w="1525"/>
        <w:gridCol w:w="398"/>
        <w:gridCol w:w="374"/>
        <w:gridCol w:w="1590"/>
        <w:gridCol w:w="1374"/>
        <w:gridCol w:w="661"/>
        <w:gridCol w:w="846"/>
        <w:gridCol w:w="561"/>
        <w:gridCol w:w="835"/>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文博：保洁费项目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102.08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70.74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102.08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清洁、打扫、保养好5.28万平方米区域内的卫生，给前来参观、学习的市民及工作人员一个舒心、干净的环境，使全国卫生城的荣誉称号实至名归，提升整个地区的环境水平。</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清洁、打扫、保养好5.28万平方米区域内的卫生，给前来参观、学习的市民及工作人员一个舒心、干净的环境，使全国卫生城的荣誉称号实至名归，提升了整个地区的环境水平。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指标1：保洁费用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指标1：保洁面积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≥5.28万平方米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5.28万平方米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指标2：保洁服务人数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指标1：环境卫生达标率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指标1：卫生保洁时效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24小时（按合同要求）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24小时（按合同要求）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指标1：环境提升程度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833"/>
        <w:gridCol w:w="1619"/>
        <w:gridCol w:w="510"/>
        <w:gridCol w:w="473"/>
        <w:gridCol w:w="1311"/>
        <w:gridCol w:w="1066"/>
        <w:gridCol w:w="675"/>
        <w:gridCol w:w="864"/>
        <w:gridCol w:w="576"/>
        <w:gridCol w:w="950"/>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文博：中央空调维护费项目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6.87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定期对文博馆中央空调主机、风机盘管进行维修保养，水系统进行清洗维护，及时排除设备隐患，维护期内，要保证中央空调正常运转，创造基本的参观、学习环境。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定期对文博馆中央空调主机、风机盘管进行维修保养，水系统进行清洗维护，及时排除设备隐患，维护期内，要保证中央空调正常运转，创造了基本的参观、学习环境。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指标1：中央空调维修维护总成本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指标1：中央空调控制面积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≥5.28万平方米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5.28万平方米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指标1：中央空调设备完好率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指标2：故障发生率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指标1：一般故障处理时效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指标2：紧急故障处理时效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指标1：参观群众的舒适度、幸福感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指标1：学习、参观的市民满意度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
        <w:gridCol w:w="835"/>
        <w:gridCol w:w="1621"/>
        <w:gridCol w:w="390"/>
        <w:gridCol w:w="347"/>
        <w:gridCol w:w="1565"/>
        <w:gridCol w:w="1430"/>
        <w:gridCol w:w="715"/>
        <w:gridCol w:w="715"/>
        <w:gridCol w:w="604"/>
        <w:gridCol w:w="896"/>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盘活国有房产费用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参照《许昌市市直行政事业单位房地产（办公用房）核查实施方案》许事（2021）56号文件精神，范围内市直行政事业单位房地产权属及管理权限，统一移交我单位管理，可有效杜绝国有资产流失，确保国有资产的增值、保值，把租金收益纳入财政预算统筹安排，提高财政收入。中间产生的相关工程测绘、价值评估、前期物业管理费、房屋维修费用，从房产收益中据实解决。</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参照《许昌市市直行政事业单位房地产（办公用房）核查实施方案》许事（2021）56号文件精神，范围内市直行政事业单位房地产权属及管理权限，统一移交我单位管理，有效杜绝了国有资产流失，确保了国有资产的增值、保值，把租金收益纳入财政预算统筹安排，提高了财政收入。中间产生的相关工程测绘、价值评估、前期物业管理费、房屋维修费用，从房产收益中据实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盘活国有房产保障费成本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54449.94元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54449.94元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接收的市直行政事业单位房产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市直范围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测绘、评估价格准确性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准确、合理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房产出租时效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房屋维修、测绘、评估时效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1星期内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增加财政收入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杜绝国有资产流失，确保增值、保值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增值、保值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使用关于房产单位满意度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
        <w:gridCol w:w="841"/>
        <w:gridCol w:w="1633"/>
        <w:gridCol w:w="406"/>
        <w:gridCol w:w="365"/>
        <w:gridCol w:w="1454"/>
        <w:gridCol w:w="1122"/>
        <w:gridCol w:w="716"/>
        <w:gridCol w:w="917"/>
        <w:gridCol w:w="606"/>
        <w:gridCol w:w="898"/>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文博：公共设施设备维护费项目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21.72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进一步提高后勤服务水平，由我单位统一提供公共区域维修、用电、用水、暖气、冷气维修及费用缴纳的后勤管理服务，为工作人员营造良好、舒心的办公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创业服务中心为机关事业单位集中办公区，现有入驻的行政单位19个，事业单位35个，另有面对全市市民服务的行政事业单位窗口140个，公共服务窗口6个，管理面积13.6万平方米，工作人员2000余人。由我单位统一提供公共区域维修、用电、用水、暖气、冷气维修及费用缴纳的后勤管理服务，为工作人员营造良好、舒心的办公环境。避免了各单位重复设立预算项目，节约财政资金，进一步提高了后勤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指标2：水费成本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指标3：暖气成本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指标4：公共设施设备维修维护成本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指标5：房屋维修维护成本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指标1：创业服务中心全年用水量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≤3.64万吨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3.64万吨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指标2：创业服务中心全年用电量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≤646万度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646万度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指标3：创业服务中心全年暖气用量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≤0.36万吨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0.36万吨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指标4：公共设施管理面积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≥13.6万平方米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13.6万平方米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指标5：办公楼管理数量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6栋高层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指标2：设施设备损坏率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指标1：电、水、暖使用安全事故发生次数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指标3：房屋质量合格率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指标1：水、电、暖供应及时性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指标2：缴费时间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每月25日前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指标3：一般故障处理时效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指标4：紧急故障处理时效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指标2：办公、办事环境舒适性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指标1：学习、参观的市民满意度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
        <w:gridCol w:w="840"/>
        <w:gridCol w:w="1632"/>
        <w:gridCol w:w="406"/>
        <w:gridCol w:w="365"/>
        <w:gridCol w:w="1512"/>
        <w:gridCol w:w="1200"/>
        <w:gridCol w:w="719"/>
        <w:gridCol w:w="773"/>
        <w:gridCol w:w="609"/>
        <w:gridCol w:w="1003"/>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文博馆：水电暖项目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177.44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文博馆为全市人民参观、学习的重要场所，也是我市对外展示的一张金名片。现有博物馆、图书馆、规划馆、规划馆规划档案馆、许都书城等多个场馆，管理面积5.28万平方米，工作人员400余人。为避免各单位重复设立预算项目，节约财政资金，完成全市年度节能减排目标，进一步提高后勤服务水平，需由我单位统一提供用电、用水、暖气及费用缴纳的后勤管理服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文博馆为全市人民参观、学习的重要场所，也是我市对外展示的一张金名片。现有博物馆、图书馆、规划馆、规划馆规划档案馆、许都书城等多个场馆，管理面积5.28万平方米，工作人员400余人。由我单位统一提供用电、用水、暖气及费用缴纳的后勤管理服务。避免了各单位重复设立预算项目，节约了财政资金，完成了全市年度节能减排目标，进一步提高后勤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指标2：水费成本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指标3：暖气成本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≤28.4万元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28.4万元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指标1：文博馆全年用电量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≤263.65万度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263.65万度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指标2：文博馆全年用水量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≤1.82万吨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1.82万吨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指标3：文博馆全年用暖量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≤0.13万吨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0.13万吨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指标1：电、水、暖使用安全事故发生次数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指标2：设施设备损坏率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指标2：缴费时间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每月25日前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指标1：水、电、暖供应及时性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指标1：参观、学习的市民满意度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877"/>
        <w:gridCol w:w="1707"/>
        <w:gridCol w:w="521"/>
        <w:gridCol w:w="484"/>
        <w:gridCol w:w="1158"/>
        <w:gridCol w:w="992"/>
        <w:gridCol w:w="684"/>
        <w:gridCol w:w="875"/>
        <w:gridCol w:w="584"/>
        <w:gridCol w:w="965"/>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创业：电梯维保费项目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13.75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保持25部电梯的正常运行，杜绝电梯安全事故的发生，不因维修保养不到位而使电梯年检不合格，严格遵守操作规程，牢记安全意识，保持主机、控制屏无异常现象。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保持了25部电梯的正常运行，杜绝电梯安全事故的发生，不因维修保养不到位而使电梯年检不合格，严格遵守操作规程，牢记安全意识，保持主机、控制屏无异常现象。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指标1：电梯维修维护总成本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指标1：对办公区内电梯巡检维护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指标1：电梯设备完好率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指标2：重大故障次数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指标1：一般故障处理时效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指标1：紧急故障处理时效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指标1：安全快捷的（办公办事）环境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指标1：办事的市民群众满意率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指标2：工作人员满意率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
        <w:gridCol w:w="902"/>
        <w:gridCol w:w="1753"/>
        <w:gridCol w:w="414"/>
        <w:gridCol w:w="373"/>
        <w:gridCol w:w="1419"/>
        <w:gridCol w:w="1095"/>
        <w:gridCol w:w="740"/>
        <w:gridCol w:w="740"/>
        <w:gridCol w:w="630"/>
        <w:gridCol w:w="941"/>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创业：水电暖天然气费用项目及公共设施维护费项目、房屋维护费项目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创业服务中心为机关事业单位集中办公区，现有入驻的行政单位19个，事业单位35个，另有面对全市市民服务的行政事业单位窗口140个，公共服务窗口6个，管理面积13.6万平方米，工作人员2000余人。为避免各单位重复设立预算项目，节约财政资金，进一步提高后勤服务水平，由我单位统一提供公共区域维修、用电、用水、暖气、冷气维修及费用缴纳的后勤管理服务，为工作人员营造良好、舒心的办公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我单位管理的创业服务中心为机关事业单位集中办公区，现有入驻的行政单位19个，事业单位35个，另有面对全市市民服务的行政事业单位窗口140个，公共服务窗口6个，管理面积13.6万平方米，工作人员2000余人。由我单位统一提供公共区域维修、用电、用水、暖气、冷气维修及费用缴纳的后勤管理服务，为工作人员营造了良好、舒心的办公环境，避免了各单位重复设立预算项目，节约了财政资金，进一步提高了后勤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指标1：创业服务中心用电量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≤12.48万度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12.48万度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指标1：电、水、暖使用安全事故发生次数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指标1：水、电、暖供应及时性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供应及时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指标1：后勤服务水平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指标1：办事群众满意度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lang w:val="en-US" w:eastAsia="zh-CN"/>
        </w:rPr>
      </w:pPr>
    </w:p>
    <w:p>
      <w:pPr>
        <w:pStyle w:val="10"/>
        <w:sectPr>
          <w:pgSz w:w="11906" w:h="16838"/>
          <w:pgMar w:top="720" w:right="720" w:bottom="720" w:left="72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834"/>
        <w:gridCol w:w="1623"/>
        <w:gridCol w:w="479"/>
        <w:gridCol w:w="479"/>
        <w:gridCol w:w="1425"/>
        <w:gridCol w:w="1083"/>
        <w:gridCol w:w="684"/>
        <w:gridCol w:w="816"/>
        <w:gridCol w:w="545"/>
        <w:gridCol w:w="901"/>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保安费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378.45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376.48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378.45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负责机关办公区和调干楼的安全保卫、防盗、防破坏、车辆秩序维持和综合治理等工作，为干部职工提供安全的工作环境。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保障机关办公区和调干楼的安全保卫、防盗、防破坏、车辆秩序维持和综合治理等，为干部职工提供安全的工作环境。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保安费用总成本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≤378.45万元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376.48万元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保安服务人数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≤137人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137人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设施设备维保及时率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安保服务时效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对办公环境和办公条件的提升程度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对办公安全性的提升程度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815"/>
        <w:gridCol w:w="1588"/>
        <w:gridCol w:w="556"/>
        <w:gridCol w:w="556"/>
        <w:gridCol w:w="1545"/>
        <w:gridCol w:w="1158"/>
        <w:gridCol w:w="598"/>
        <w:gridCol w:w="765"/>
        <w:gridCol w:w="513"/>
        <w:gridCol w:w="774"/>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149.18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148.88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149.18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负责许昌市委、市政府和人大、政协办公区等区域的卫生保洁工作，为机关干部营造良好的工作环境。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保障许昌市委、市政府和人大、政协办公区等区域的卫生，为机关干部营造良好的工作环境。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保洁费用总成本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≤149.18万元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148.88万元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保洁面积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≥142000平方米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142000平方米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保洁服务人数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环境卫生标准率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卫生保洁及时性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对办公环境和办公条件的提升程度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803"/>
        <w:gridCol w:w="1563"/>
        <w:gridCol w:w="469"/>
        <w:gridCol w:w="469"/>
        <w:gridCol w:w="1523"/>
        <w:gridCol w:w="1130"/>
        <w:gridCol w:w="654"/>
        <w:gridCol w:w="779"/>
        <w:gridCol w:w="526"/>
        <w:gridCol w:w="871"/>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机关餐厅劳务及运行经费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130.09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保障机关餐厅正常运转，确保办公区干部职工正常用餐，为机关干部职工提供良好的餐饮服务。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保障机关餐厅正常运转，确保办公区干部职工正常用餐，为机关干部职工提供良好的餐饮服务。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机关餐厅劳务费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机关餐厅运行费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≤16.52万元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16.09万元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配备餐厅服务人员数量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就餐职工总人次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117240人次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提供餐饮服务质量达标率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餐厅厨余垃圾处理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符合国家卫生标准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供餐及时性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满足职工正常就餐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有效满足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营造良好就餐环境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0"/>
        <w:gridCol w:w="759"/>
        <w:gridCol w:w="1484"/>
        <w:gridCol w:w="789"/>
        <w:gridCol w:w="789"/>
        <w:gridCol w:w="1289"/>
        <w:gridCol w:w="916"/>
        <w:gridCol w:w="574"/>
        <w:gridCol w:w="574"/>
        <w:gridCol w:w="515"/>
        <w:gridCol w:w="809"/>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暖气站临时人员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机关办公区交换站临时人员3人服务费用，保障正常供暖。</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机关办公区交换站临时人员3人服务费用，保障正常供暖。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暖气站临时人员总成本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暖气站临时人员数量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公共设施设备完好率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暖气站服务完成及时性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对办公区域正常办公的影响程度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保障办公室正常运转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5"/>
        <w:gridCol w:w="859"/>
        <w:gridCol w:w="1677"/>
        <w:gridCol w:w="692"/>
        <w:gridCol w:w="692"/>
        <w:gridCol w:w="1190"/>
        <w:gridCol w:w="935"/>
        <w:gridCol w:w="573"/>
        <w:gridCol w:w="573"/>
        <w:gridCol w:w="514"/>
        <w:gridCol w:w="808"/>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市委、市政府东办公区消防报警控制系统经费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解决市委、市政府东办公区消防相关问题，以提高服务保障水平。</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解决市委、市政府东办公区消防相关问题，以提高服务保障水平。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消防监控控制系统经费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拆除消防报警控制系统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安装楼层显示器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安装消防广播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安装烟感报警器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安装烟温报警器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设施设备维保及时率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消防报警控制系统更换工期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办公区建筑安全水平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895"/>
        <w:gridCol w:w="1744"/>
        <w:gridCol w:w="564"/>
        <w:gridCol w:w="564"/>
        <w:gridCol w:w="1318"/>
        <w:gridCol w:w="994"/>
        <w:gridCol w:w="645"/>
        <w:gridCol w:w="645"/>
        <w:gridCol w:w="561"/>
        <w:gridCol w:w="856"/>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会务中心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提供优质会议服务，做到会务保障、会议室干净整洁、音响灯光效果良好、茶水供应及时，服务态度热情。</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提供优质会议服务，做到会务保障、会议室干净整洁、音响灯光效果良好、茶水供应及时，服务态度热情。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会务服务总成本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44.19万元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会务中心工作人员数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会议事故发生次数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会务中心设施设备完好率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会议服务完成及时性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对会务环境和服务水平的提升程度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850"/>
        <w:gridCol w:w="1656"/>
        <w:gridCol w:w="505"/>
        <w:gridCol w:w="505"/>
        <w:gridCol w:w="1507"/>
        <w:gridCol w:w="1301"/>
        <w:gridCol w:w="638"/>
        <w:gridCol w:w="583"/>
        <w:gridCol w:w="551"/>
        <w:gridCol w:w="834"/>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许昌市人大政协办公楼室内地板砖及公共区域局部整修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121.56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121.56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项目完工，未结算。财政未拨付资金。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对市人大、市政协办公楼进行局部整修，改善办公环境，维持办公楼正常运转，使办公人员满意度达到90%以上。</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对市人大、市政协办公楼进行局部整修，改善办公环境，维持办公楼正常运转，使办公人员满意度达到90%以上。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可行性方案编制费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地板砖及公共区域局部整修成本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≤121.56万元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监理费用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吊顶面积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1448.9平方米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1448.9平方米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天棚涂刷面积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797.55平方米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797.55平方米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楼地面拆除改造面积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883.16平方米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883.16平方米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墙面改造面积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4800.81平方米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4800.81平方米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连廊外墙面整修面积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采购程序合规性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施工工期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办公环境改善状况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3"/>
        <w:gridCol w:w="930"/>
        <w:gridCol w:w="1812"/>
        <w:gridCol w:w="322"/>
        <w:gridCol w:w="322"/>
        <w:gridCol w:w="1421"/>
        <w:gridCol w:w="1119"/>
        <w:gridCol w:w="741"/>
        <w:gridCol w:w="741"/>
        <w:gridCol w:w="596"/>
        <w:gridCol w:w="902"/>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8号楼及5号楼五楼公共区域卫生间整修项目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工程未完工、未验收、资金暂未拨付。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对8号楼、5号楼五楼公共区域原卫生间地面、洁具、墙砖、天花板进行更换，对部分电路及水路进行改造，改善如厕条件，使工作人员满意度达到90%以上。</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对8号楼、5号楼五楼公共区域原卫生间地面、洁具、墙砖、天花板进行更换，对部分电路及水路进行改造，改善如厕条件，使工作人员满意度达到90%以上。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整修成本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≤82.92万元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≤0.83万元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整修卫生间数量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整修面积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578.2平方米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578.2平方米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采购程序合规性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施工工期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如厕条件改善情况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办公环境改善情况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
        <w:gridCol w:w="925"/>
        <w:gridCol w:w="1800"/>
        <w:gridCol w:w="320"/>
        <w:gridCol w:w="320"/>
        <w:gridCol w:w="1423"/>
        <w:gridCol w:w="1094"/>
        <w:gridCol w:w="729"/>
        <w:gridCol w:w="729"/>
        <w:gridCol w:w="626"/>
        <w:gridCol w:w="941"/>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消防监控人员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机关办公区消防供电配电系统、火灾自动报警系统、消防供水系统、消火栓功能、自动喷淋系统、气体灭火系统、应急照明系统和疏散知识指标、应急广播系统、防火分隔设施等维护保养及消防监控值班，做好办公区消防维保后勤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了机关办公区消防供电配电系统、火灾自动报警系统、消防供水系统、消火栓功能、自动喷淋系统、气体灭火系统、应急照明系统和疏散知识指标、应急广播系统、防火分隔设施等维护保养及消防监控值班，做好办公区消防维保后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消防监控值班人员总成本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41.65万元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监控值班时间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消防设施完好率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消防设施故障处理及时性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办公区域消防安全提升程度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923"/>
        <w:gridCol w:w="1801"/>
        <w:gridCol w:w="517"/>
        <w:gridCol w:w="517"/>
        <w:gridCol w:w="1125"/>
        <w:gridCol w:w="917"/>
        <w:gridCol w:w="641"/>
        <w:gridCol w:w="763"/>
        <w:gridCol w:w="525"/>
        <w:gridCol w:w="874"/>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维稳经费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为信访人周孟良发放工资，并缴纳社会保险及住房公积金费用，维护社会和谐稳定。</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为信访人周孟良发放工资，并缴纳社会保险及住房公积金费用，维护社会和谐稳定。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工资社保公积金费用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7.16万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7.15万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聘用人员数量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工资发放准确率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社保公积金缴纳及时率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工资发放及时率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维护信访稳定性程度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保障基本生活水平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聘用人员满意度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
        <w:gridCol w:w="817"/>
        <w:gridCol w:w="1587"/>
        <w:gridCol w:w="286"/>
        <w:gridCol w:w="286"/>
        <w:gridCol w:w="1637"/>
        <w:gridCol w:w="1304"/>
        <w:gridCol w:w="694"/>
        <w:gridCol w:w="889"/>
        <w:gridCol w:w="588"/>
        <w:gridCol w:w="872"/>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绿化养护费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市委、市政府机关办公区50000平方米、苗圃40000平方米、人大、政协办公区15000平方米，市委、政府综合楼机关办公区14000平方米、调干楼生活服务区14200平方米的绿化养护。确保办公区乔灌花草合理配置，营造优美、舒适的办公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市委、市政府机关办公区50000平方米、苗圃40000平方米、人大、政协办公区15000平方米，市委、政府综合楼机关办公区14000平方米、调干楼生活服务区14200平方米的绿化养护。确保办公区乔灌花草合理配置，营造优美、舒适的办公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绿化养护总成本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≤58.35万元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绿化养护面积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≥130200平方米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130500平方米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绿化养护达标率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绿化养护及时性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对办公环境的改善程度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p>
      <w:pPr>
        <w:pStyle w:val="10"/>
      </w:pPr>
    </w:p>
    <w:p>
      <w:pPr>
        <w:pStyle w:val="10"/>
      </w:pPr>
    </w:p>
    <w:p>
      <w:pPr>
        <w:pStyle w:val="10"/>
      </w:pPr>
    </w:p>
    <w:tbl>
      <w:tblPr>
        <w:tblStyle w:val="11"/>
        <w:tblpPr w:leftFromText="180" w:rightFromText="180" w:vertAnchor="text" w:horzAnchor="page" w:tblpX="717" w:tblpY="29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1"/>
        <w:gridCol w:w="878"/>
        <w:gridCol w:w="1716"/>
        <w:gridCol w:w="590"/>
        <w:gridCol w:w="590"/>
        <w:gridCol w:w="1330"/>
        <w:gridCol w:w="907"/>
        <w:gridCol w:w="615"/>
        <w:gridCol w:w="615"/>
        <w:gridCol w:w="512"/>
        <w:gridCol w:w="801"/>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调干楼餐厅后厨改造、室内暖气片更换工程质保金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保障调干楼后厨餐厅的使用及冬季供暖，为调干楼提供更好的后勤保障。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保障调干楼后厨餐厅的使用及冬季供暖，为调干楼提供更好的后勤保障。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餐厅后厨改造质保金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0.6985万元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r>
              <w:rPr>
                <w:rFonts w:hint="eastAsia" w:ascii="宋体" w:hAnsi="宋体" w:cs="宋体"/>
                <w:i w:val="0"/>
                <w:iCs w:val="0"/>
                <w:color w:val="000000"/>
                <w:kern w:val="0"/>
                <w:sz w:val="18"/>
                <w:szCs w:val="18"/>
                <w:u w:val="none"/>
                <w:lang w:val="en-US" w:eastAsia="zh-CN" w:bidi="en-AU"/>
              </w:rPr>
              <w:t>.00</w:t>
            </w: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室内暖气片更换质保金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0.942万元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0.00</w:t>
            </w: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工程改造完成率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项目竣工验收达标率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工程安全事故发生率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工程进度达标率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按合同定期完工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项目完成使用率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服务水平的提高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调干楼领导干部满意度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7"/>
        <w:gridCol w:w="915"/>
        <w:gridCol w:w="1779"/>
        <w:gridCol w:w="289"/>
        <w:gridCol w:w="289"/>
        <w:gridCol w:w="1255"/>
        <w:gridCol w:w="1043"/>
        <w:gridCol w:w="722"/>
        <w:gridCol w:w="924"/>
        <w:gridCol w:w="616"/>
        <w:gridCol w:w="1016"/>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配电室临时人员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38.12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机关办公区配电室值守及箱变高低压室的巡视、巡查工作；市委市政府办公区中央空调制冷、制暖及天然气锅炉机的操作运行；市委市政府、市人大政协办公区，综合楼办公区、人民路办公区、调干楼生活区水、电、暖的维修维护等，为机关干部职工营造良好的工作环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机关办公区配电室值守及箱变高低压室的巡视、巡查工作；市委市政府办公区中央空调制冷、制暖及天然气锅炉机的操作运行；市委市政府、市人大政协办公区，综合楼办公区、人民路办公区、调干楼生活区水、电、暖的维修维护等，为机关干部职工营造良好的工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维修人员劳务费用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维修服务建筑数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配电室临时人员数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配电室人员值守时间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配电设备完好率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设施设备维保及时性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办公区配电室正常运转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7"/>
        <w:gridCol w:w="765"/>
        <w:gridCol w:w="1494"/>
        <w:gridCol w:w="705"/>
        <w:gridCol w:w="705"/>
        <w:gridCol w:w="1295"/>
        <w:gridCol w:w="1040"/>
        <w:gridCol w:w="574"/>
        <w:gridCol w:w="574"/>
        <w:gridCol w:w="516"/>
        <w:gridCol w:w="811"/>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水电暖费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为及时支付水电暖费用，保障机关办公区正常运转。</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及时支付水电暖费用，保障机关办公区正常运转。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66.86万元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≤1000000度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600000度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供电稳定性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供电及时性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保障机关办公区正常运转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机关办公区干部职工满意度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6"/>
        <w:gridCol w:w="862"/>
        <w:gridCol w:w="1680"/>
        <w:gridCol w:w="574"/>
        <w:gridCol w:w="574"/>
        <w:gridCol w:w="1412"/>
        <w:gridCol w:w="1087"/>
        <w:gridCol w:w="621"/>
        <w:gridCol w:w="621"/>
        <w:gridCol w:w="541"/>
        <w:gridCol w:w="826"/>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公共设施维护费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负责机关办公区和调干楼生活区房屋及水、电、暖、中央空调等公共基础设施的维护管理工作。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保障机关办公区和调干楼生活区房屋及水、电、暖、中央空调等公共基础设施的维护管理工作。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公共设施维修维护总成本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116.05万元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调干楼生活区生活用房管理数量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机关办公区办公楼管理数量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公共设施设备完好率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一般故障处理时效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紧急故障处理时效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对办公区公共设施改善程度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766"/>
        <w:gridCol w:w="1487"/>
        <w:gridCol w:w="407"/>
        <w:gridCol w:w="366"/>
        <w:gridCol w:w="1634"/>
        <w:gridCol w:w="1333"/>
        <w:gridCol w:w="679"/>
        <w:gridCol w:w="870"/>
        <w:gridCol w:w="571"/>
        <w:gridCol w:w="939"/>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水电暖费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495.44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495.44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419.56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495.44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495.44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办公区及调干楼供电、供水及供暖正常进行。为避免各单位重复设立预算项目，节约财政资金，完成年度节能减排目标，进一步提高后勤服务水平，由我单位统一提供用电、用水、暖气、天然气等后勤管理服务，为工作人员营造良好、舒心的办公环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机关办公区及调干楼供电、供水及供暖正常进行。为避免各单位重复设立预算项目，节约财政资金，完成年度节能减排目标，进一步提高后勤服务水平，由我单位统一提供用电、用水、暖气、天然气等后勤管理服务，为工作人员营造良好、舒心的办公环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水费成本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电费成本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≤335.44万元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蒸汽、天然气成本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63.28万元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机关办公区全年用水量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≤60000吨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56400吨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机关办公区全年用电量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≤5200000度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5200000度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机关办公区供暖面积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≤67768平方米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67768平方米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电、水、暖使用安全事故发生次数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设施设备损坏率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水、电、暖供应及时性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机关办公区水、电、暖正常运转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机关大院干部职工满意度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929"/>
        <w:gridCol w:w="1812"/>
        <w:gridCol w:w="370"/>
        <w:gridCol w:w="370"/>
        <w:gridCol w:w="1193"/>
        <w:gridCol w:w="996"/>
        <w:gridCol w:w="675"/>
        <w:gridCol w:w="864"/>
        <w:gridCol w:w="582"/>
        <w:gridCol w:w="963"/>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1、2号楼办公用房局部整修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为满足机关办公区1号楼、2号楼办公用房的正常使用，需对8间办公室进行局部整修，整修主要内容为房屋室内墙漆粉刷、更换18扇木门。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满足机关办公区1号楼、2号楼办公用房的正常使用，需对8间办公室进行局部整修，整修主要内容为房屋室内墙漆粉刷、更换18扇木门。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办公用房局部整修费用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整修办公室数量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更换木门数量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工程验收质量达标率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资金支付及时性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满足办公用房正常使用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有效满足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机关办公人员满意度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r>
              <w:rPr>
                <w:rFonts w:hint="eastAsia" w:ascii="宋体" w:hAnsi="宋体" w:cs="宋体"/>
                <w:i w:val="0"/>
                <w:iCs w:val="0"/>
                <w:color w:val="000000"/>
                <w:kern w:val="0"/>
                <w:sz w:val="18"/>
                <w:szCs w:val="18"/>
                <w:u w:val="none"/>
                <w:lang w:val="en-US" w:eastAsia="zh-CN" w:bidi="en-AU"/>
              </w:rPr>
              <w:t>9</w:t>
            </w:r>
            <w:r>
              <w:rPr>
                <w:rFonts w:ascii="宋体" w:hAnsi="宋体" w:eastAsia="宋体" w:cs="宋体"/>
                <w:i w:val="0"/>
                <w:iCs w:val="0"/>
                <w:color w:val="000000"/>
                <w:kern w:val="0"/>
                <w:sz w:val="18"/>
                <w:szCs w:val="18"/>
                <w:u w:val="none"/>
                <w:lang w:val="en-US" w:eastAsia="zh-CN" w:bidi="en-AU"/>
              </w:rPr>
              <w:t>.96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877"/>
        <w:gridCol w:w="1714"/>
        <w:gridCol w:w="750"/>
        <w:gridCol w:w="750"/>
        <w:gridCol w:w="1127"/>
        <w:gridCol w:w="914"/>
        <w:gridCol w:w="573"/>
        <w:gridCol w:w="573"/>
        <w:gridCol w:w="511"/>
        <w:gridCol w:w="797"/>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三号楼一楼大会议室提升改造质保金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及时支付质保金，提升会议服务水平，保障会务服务工作正常开展。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及时支付质保金，提升会议服务水平，保障会务服务工作正常开展。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待支付质保金金额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≤4.63万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4.63万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合同总金额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≤92.49万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92.49万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质保视频电视电话会议系统设备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质保桌椅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510张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510张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质保期内设施设备故障发生率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质保期限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故障响应时间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设施设备正常运行率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1"/>
        <w:gridCol w:w="938"/>
        <w:gridCol w:w="1832"/>
        <w:gridCol w:w="490"/>
        <w:gridCol w:w="490"/>
        <w:gridCol w:w="1261"/>
        <w:gridCol w:w="975"/>
        <w:gridCol w:w="614"/>
        <w:gridCol w:w="614"/>
        <w:gridCol w:w="545"/>
        <w:gridCol w:w="844"/>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2号楼接待室、会议室木地板、灯具及墙漆粉刷项目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许昌市机关事务中心后勤一处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对2号楼接待室、会议室进行整修，改善办公环境，使与会人员满意度达到90%以上。</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对2号楼接待室、会议室进行整修，改善办公环境，使与会人员满意度达到90%以上。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木地板费用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墙漆粉刷费用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灯具更换费用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木地板面积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墙漆粉刷面积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灯具更换个数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维修改造质量合格率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施工工期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办公环境改善情况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与会人员满意度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5" w:type="dxa"/>
          <w:bottom w:w="0" w:type="dxa"/>
          <w:right w:w="15" w:type="dxa"/>
        </w:tblCellMar>
      </w:tblPr>
      <w:tblGrid>
        <w:gridCol w:w="728"/>
        <w:gridCol w:w="916"/>
        <w:gridCol w:w="2029"/>
        <w:gridCol w:w="676"/>
        <w:gridCol w:w="676"/>
        <w:gridCol w:w="1058"/>
        <w:gridCol w:w="864"/>
        <w:gridCol w:w="480"/>
        <w:gridCol w:w="479"/>
        <w:gridCol w:w="378"/>
        <w:gridCol w:w="732"/>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trPr>
        <w:tc>
          <w:tcPr>
            <w:tcW w:w="0" w:type="auto"/>
            <w:gridSpan w:val="12"/>
            <w:shd w:val="clear" w:color="auto" w:fill="auto"/>
            <w:noWrap w:val="0"/>
            <w:vAlign w:val="center"/>
          </w:tcPr>
          <w:p>
            <w:pPr>
              <w:pStyle w:val="10"/>
              <w:kinsoku/>
              <w:autoSpaceDE/>
              <w:autoSpaceDN w:val="0"/>
              <w:jc w:val="center"/>
              <w:textAlignment w:val="center"/>
              <w:rPr>
                <w:rFonts w:hint="default" w:ascii="宋体" w:hAnsi="宋体" w:eastAsia="宋体"/>
                <w:b/>
                <w:i w:val="0"/>
                <w:snapToGrid/>
                <w:color w:val="000000"/>
                <w:sz w:val="38"/>
                <w:u w:val="none"/>
                <w:lang w:eastAsia="zh-CN"/>
              </w:rPr>
            </w:pPr>
            <w:r>
              <w:rPr>
                <w:rFonts w:hint="default" w:ascii="宋体" w:hAnsi="宋体" w:eastAsia="宋体"/>
                <w:b/>
                <w:i w:val="0"/>
                <w:snapToGrid/>
                <w:color w:val="000000"/>
                <w:sz w:val="38"/>
                <w:u w:val="none"/>
                <w:lang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司机出车补助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许昌市机关公务用车服务中心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40.69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40.69</w:t>
            </w:r>
          </w:p>
        </w:tc>
        <w:tc>
          <w:tcPr>
            <w:tcW w:w="0" w:type="auto"/>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40.69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保障驾驶员出车，市直机关跨区域出行、跨部门综合执法等公务用车出行。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保障驾驶员出车，市直机关跨区域出行、跨部门综合执法等公务用车出行。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司机补助标准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50元/天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50元/天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劳务派遣人员出车补助人数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出车补助发放准确率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出车补助发放及时性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司机服务积极性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司机满意度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bl>
    <w:p>
      <w:pPr>
        <w:pStyle w:val="10"/>
      </w:pPr>
    </w:p>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5" w:type="dxa"/>
          <w:bottom w:w="0" w:type="dxa"/>
          <w:right w:w="15" w:type="dxa"/>
        </w:tblCellMar>
      </w:tblPr>
      <w:tblGrid>
        <w:gridCol w:w="548"/>
        <w:gridCol w:w="916"/>
        <w:gridCol w:w="2052"/>
        <w:gridCol w:w="580"/>
        <w:gridCol w:w="580"/>
        <w:gridCol w:w="1126"/>
        <w:gridCol w:w="941"/>
        <w:gridCol w:w="540"/>
        <w:gridCol w:w="540"/>
        <w:gridCol w:w="418"/>
        <w:gridCol w:w="792"/>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0" w:type="auto"/>
            <w:gridSpan w:val="12"/>
            <w:shd w:val="clear" w:color="auto" w:fill="auto"/>
            <w:noWrap w:val="0"/>
            <w:vAlign w:val="center"/>
          </w:tcPr>
          <w:p>
            <w:pPr>
              <w:pStyle w:val="10"/>
              <w:kinsoku/>
              <w:autoSpaceDE/>
              <w:autoSpaceDN w:val="0"/>
              <w:jc w:val="center"/>
              <w:textAlignment w:val="center"/>
              <w:rPr>
                <w:rFonts w:hint="default" w:ascii="宋体" w:hAnsi="宋体" w:eastAsia="宋体"/>
                <w:b/>
                <w:i w:val="0"/>
                <w:snapToGrid/>
                <w:color w:val="000000"/>
                <w:sz w:val="38"/>
                <w:u w:val="none"/>
                <w:lang w:eastAsia="zh-CN"/>
              </w:rPr>
            </w:pPr>
            <w:r>
              <w:rPr>
                <w:rFonts w:hint="default" w:ascii="宋体" w:hAnsi="宋体" w:eastAsia="宋体"/>
                <w:b/>
                <w:i w:val="0"/>
                <w:snapToGrid/>
                <w:color w:val="000000"/>
                <w:sz w:val="38"/>
                <w:u w:val="none"/>
                <w:lang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市直机关保留公车北斗导航信息量费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许昌市机关公务用车服务中心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44.21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44.21</w:t>
            </w:r>
          </w:p>
        </w:tc>
        <w:tc>
          <w:tcPr>
            <w:tcW w:w="0" w:type="auto"/>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44.21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党政机关、事业单位保留车辆全部纳入全省一张网北斗信息管理平台，实现统一调度、有效监督、科学管理。</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党政机关、事业单位保留车辆全部纳入全省一张网北斗信息管理平台，实现统一调度、有效监督、科学管理。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信息使用费每辆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720元/年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720元/年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车辆卫星定位终端设备维护数量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614辆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614辆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卫星定位终端设备定位准确率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卫星定位终端设备维护及时性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卫星定位终端安装按期完成率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公务用车管理水平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安装卫星定位终端设备单位满意度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bl>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5" w:type="dxa"/>
          <w:bottom w:w="0" w:type="dxa"/>
          <w:right w:w="15" w:type="dxa"/>
        </w:tblCellMar>
      </w:tblPr>
      <w:tblGrid>
        <w:gridCol w:w="707"/>
        <w:gridCol w:w="792"/>
        <w:gridCol w:w="1007"/>
        <w:gridCol w:w="539"/>
        <w:gridCol w:w="870"/>
        <w:gridCol w:w="842"/>
        <w:gridCol w:w="397"/>
        <w:gridCol w:w="436"/>
        <w:gridCol w:w="408"/>
        <w:gridCol w:w="373"/>
        <w:gridCol w:w="256"/>
        <w:gridCol w:w="256"/>
        <w:gridCol w:w="256"/>
        <w:gridCol w:w="232"/>
        <w:gridCol w:w="210"/>
        <w:gridCol w:w="235"/>
        <w:gridCol w:w="227"/>
        <w:gridCol w:w="188"/>
        <w:gridCol w:w="335"/>
        <w:gridCol w:w="657"/>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0" w:type="auto"/>
            <w:gridSpan w:val="21"/>
            <w:shd w:val="clear" w:color="auto" w:fill="auto"/>
            <w:noWrap w:val="0"/>
            <w:vAlign w:val="center"/>
          </w:tcPr>
          <w:p>
            <w:pPr>
              <w:pStyle w:val="10"/>
              <w:kinsoku/>
              <w:autoSpaceDE/>
              <w:autoSpaceDN w:val="0"/>
              <w:jc w:val="center"/>
              <w:textAlignment w:val="center"/>
              <w:rPr>
                <w:rFonts w:hint="default" w:ascii="宋体" w:hAnsi="宋体" w:eastAsia="宋体"/>
                <w:b/>
                <w:i w:val="0"/>
                <w:snapToGrid/>
                <w:color w:val="000000"/>
                <w:sz w:val="38"/>
                <w:u w:val="none"/>
                <w:lang w:eastAsia="zh-CN"/>
              </w:rPr>
            </w:pPr>
            <w:r>
              <w:rPr>
                <w:rFonts w:hint="default" w:ascii="宋体" w:hAnsi="宋体" w:eastAsia="宋体"/>
                <w:b/>
                <w:i w:val="0"/>
                <w:snapToGrid/>
                <w:color w:val="000000"/>
                <w:sz w:val="38"/>
                <w:u w:val="none"/>
                <w:lang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项目名称</w:t>
            </w:r>
          </w:p>
        </w:tc>
        <w:tc>
          <w:tcPr>
            <w:tcW w:w="0" w:type="auto"/>
            <w:gridSpan w:val="1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公车运行费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主管部门</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许昌市机关事务中心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实施单位</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许昌市机关公务用车服务中心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项目资金（万元）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年初预算数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全年预算数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年度资金总额（万元）：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w:t>
            </w:r>
          </w:p>
        </w:tc>
        <w:tc>
          <w:tcPr>
            <w:tcW w:w="0" w:type="auto"/>
            <w:gridSpan w:val="2"/>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政府性预算资金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财政专户管理资金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单位资金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资金管理情况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情况说明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安排科学性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科学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拨付合规性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合规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使用规范性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规范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预算绩效管理情况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良好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年度总体目标</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预期目标</w:t>
            </w:r>
          </w:p>
        </w:tc>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保障市直机关跨区域出行、跨部门综合执法等公务用车出行需要。</w:t>
            </w:r>
          </w:p>
        </w:tc>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保障市直机关跨区域出行、跨部门综合执法等公务用车出行需要。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二级指标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年度指标值</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经济成本指标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公车运行费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社会成本指标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生态环境成本指标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数量指标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办理保险车辆数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公务用车运行数量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质量指标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公务用车正常运行率（可以正常运行车辆/总车辆）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时效指标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车辆购买保险、维修及时性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派遣公务用车及时性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经济效益指标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社会效益指标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跨区公务用车出行需求</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生态效益指标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服务对象满意度指标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用车单位及乘坐人员满意度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trPr>
        <w:tc>
          <w:tcPr>
            <w:tcW w:w="0" w:type="auto"/>
            <w:gridSpan w:val="21"/>
            <w:shd w:val="clear" w:color="auto" w:fill="auto"/>
            <w:noWrap w:val="0"/>
            <w:vAlign w:val="center"/>
          </w:tcPr>
          <w:p>
            <w:pPr>
              <w:pStyle w:val="10"/>
            </w:pPr>
          </w:p>
          <w:p>
            <w:pPr>
              <w:pStyle w:val="10"/>
            </w:pPr>
          </w:p>
          <w:p>
            <w:pPr>
              <w:pStyle w:val="10"/>
              <w:kinsoku/>
              <w:autoSpaceDE/>
              <w:autoSpaceDN w:val="0"/>
              <w:jc w:val="center"/>
              <w:textAlignment w:val="center"/>
              <w:rPr>
                <w:rFonts w:hint="default" w:ascii="宋体" w:hAnsi="宋体" w:eastAsia="宋体"/>
                <w:b/>
                <w:i w:val="0"/>
                <w:snapToGrid/>
                <w:color w:val="000000"/>
                <w:sz w:val="38"/>
                <w:u w:val="none"/>
                <w:lang w:eastAsia="zh-CN"/>
              </w:rPr>
            </w:pPr>
            <w:r>
              <w:rPr>
                <w:rFonts w:hint="default" w:ascii="宋体" w:hAnsi="宋体" w:eastAsia="宋体"/>
                <w:b/>
                <w:i w:val="0"/>
                <w:snapToGrid/>
                <w:color w:val="000000"/>
                <w:sz w:val="38"/>
                <w:u w:val="none"/>
                <w:lang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项目名称</w:t>
            </w:r>
          </w:p>
        </w:tc>
        <w:tc>
          <w:tcPr>
            <w:tcW w:w="0" w:type="auto"/>
            <w:gridSpan w:val="1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市环委办车辆租赁费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主管部门</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许昌市机关事务中心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实施单位</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许昌市机关公务用车服务中心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项目资金（万元）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年初预算数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全年预算数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年度资金总额（万元）：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37.67</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37.67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37.67</w:t>
            </w:r>
          </w:p>
        </w:tc>
        <w:tc>
          <w:tcPr>
            <w:tcW w:w="0" w:type="auto"/>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政府性预算资金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37.67</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37.67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财政专户管理资金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单位资金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情况说明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安排科学性</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科学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拨付合规性</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合规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使用规范性</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规范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预算绩效管理情况</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良好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预期目标</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保障市环委办跨区域出行、跨部门综合督查等公务用车出行需要。</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保障市环委办跨区域出行、跨部门综合督查等公务用车出行需要。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二级指标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年度指标值</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经济成本指标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车辆租赁费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75万元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75万元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社会成本指标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生态环境成本指标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数量指标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公务用车运行数量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办理保险车辆数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质量指标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车辆正常运行率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车辆故障修复率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时效指标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购买保险、维修及时性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车辆租赁协议签订时效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经济效益指标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社会效益指标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有效减少碳排放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明显</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生态效益指标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服务对象满意度指标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用车单位及乘坐人员满意度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5" w:type="dxa"/>
          <w:bottom w:w="0" w:type="dxa"/>
          <w:right w:w="15" w:type="dxa"/>
        </w:tblCellMar>
      </w:tblPr>
      <w:tblGrid>
        <w:gridCol w:w="702"/>
        <w:gridCol w:w="786"/>
        <w:gridCol w:w="1751"/>
        <w:gridCol w:w="1219"/>
        <w:gridCol w:w="1199"/>
        <w:gridCol w:w="937"/>
        <w:gridCol w:w="766"/>
        <w:gridCol w:w="438"/>
        <w:gridCol w:w="438"/>
        <w:gridCol w:w="343"/>
        <w:gridCol w:w="655"/>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0" w:type="auto"/>
            <w:gridSpan w:val="12"/>
            <w:shd w:val="clear" w:color="auto" w:fill="auto"/>
            <w:noWrap w:val="0"/>
            <w:vAlign w:val="center"/>
          </w:tcPr>
          <w:p>
            <w:pPr>
              <w:pStyle w:val="10"/>
              <w:kinsoku/>
              <w:autoSpaceDE/>
              <w:autoSpaceDN w:val="0"/>
              <w:jc w:val="center"/>
              <w:textAlignment w:val="center"/>
              <w:rPr>
                <w:rFonts w:hint="default" w:ascii="宋体" w:hAnsi="宋体" w:eastAsia="宋体"/>
                <w:b/>
                <w:i w:val="0"/>
                <w:snapToGrid/>
                <w:color w:val="000000"/>
                <w:sz w:val="38"/>
                <w:u w:val="none"/>
                <w:lang w:eastAsia="zh-CN"/>
              </w:rPr>
            </w:pPr>
            <w:r>
              <w:rPr>
                <w:rFonts w:hint="default" w:ascii="宋体" w:hAnsi="宋体" w:eastAsia="宋体"/>
                <w:b/>
                <w:i w:val="0"/>
                <w:snapToGrid/>
                <w:color w:val="000000"/>
                <w:sz w:val="38"/>
                <w:u w:val="none"/>
                <w:lang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公车运行费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许昌市机关公务用车服务中心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6.9</w:t>
            </w:r>
          </w:p>
        </w:tc>
        <w:tc>
          <w:tcPr>
            <w:tcW w:w="0" w:type="auto"/>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保障市直机关跨区域出行、跨部门综合执法等公务用车出行需要。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保障市直机关跨区域出行、跨部门综合执法等公务用车出行需要。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公车运行费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公务用车运行数量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办理保险车辆数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车辆故障修复率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公务用车正常运行率（可以正常运行车辆/总车辆）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跨区公务用车出行需求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用车单位及乘坐人员满意度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bl>
    <w:p>
      <w:pPr>
        <w:pStyle w:val="10"/>
        <w:rPr>
          <w:rFonts w:hint="eastAsia"/>
          <w:lang w:eastAsia="zh-CN"/>
        </w:rPr>
        <w:sectPr>
          <w:pgSz w:w="11906" w:h="16838"/>
          <w:pgMar w:top="720" w:right="720" w:bottom="720" w:left="72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86"/>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rhbXy+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CDF00"/>
    <w:multiLevelType w:val="multilevel"/>
    <w:tmpl w:val="FEFCDF0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2FFF2A82"/>
    <w:rsid w:val="35E98F0D"/>
    <w:rsid w:val="36BCC73D"/>
    <w:rsid w:val="37FAA948"/>
    <w:rsid w:val="472D6639"/>
    <w:rsid w:val="472F6B03"/>
    <w:rsid w:val="4DD74BF1"/>
    <w:rsid w:val="56DE4BA5"/>
    <w:rsid w:val="59DFE454"/>
    <w:rsid w:val="6FFE542E"/>
    <w:rsid w:val="76B95E63"/>
    <w:rsid w:val="77D7AC06"/>
    <w:rsid w:val="77DE0560"/>
    <w:rsid w:val="7B9DBDF0"/>
    <w:rsid w:val="7BEFB4F3"/>
    <w:rsid w:val="9DF3CEB4"/>
    <w:rsid w:val="BBFFD1D7"/>
    <w:rsid w:val="DDB503E8"/>
    <w:rsid w:val="EEFF6AFF"/>
    <w:rsid w:val="EFFB2E8C"/>
    <w:rsid w:val="F8FFAE8E"/>
    <w:rsid w:val="FEFFE29A"/>
    <w:rsid w:val="FFD75768"/>
    <w:rsid w:val="FFFB321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e9f33e83-2bc6-41fb-896f-6b294722cc06"/>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10</TotalTime>
  <ScaleCrop>false</ScaleCrop>
  <LinksUpToDate>false</LinksUpToDate>
  <CharactersWithSpaces>19464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2023-05-05T02:54:00Z</dcterms:created>
  <dc:creator>HSX</dc:creator>
  <cp:lastModifiedBy>huanghe</cp:lastModifiedBy>
  <dcterms:modified xsi:type="dcterms:W3CDTF">2024-10-08T11:27:34Z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