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许昌市文化市场综合行政执法支队</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许昌市文化市场综合行政执法支队</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许昌市文化市场综合行政执法支队概况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国家有关法律法规规章，以市文化广电和旅游局名义统一行使文化、文物、出版、广播电视、电影、旅游市场“六大”市场领域（以下简称“六大”市场领域）的行政执法职责，具体承担城区（含魏都区、建安区、东城区、经济技术开发区、市城乡一体化示范区）文化市场综合行政执法工作；</w:t>
        <w:br/>
        <w:t xml:space="preserve">    （二）组织、协调、指导各县（市）综合行政执法、大案要案督办、跨区域重大案件查处等；</w:t>
        <w:br/>
        <w:t xml:space="preserve">    （三）承担上级督办、交办、同级转办的案件；</w:t>
        <w:br/>
        <w:t xml:space="preserve">    （四）受理“六大”市场领域的各类举报；</w:t>
        <w:br/>
        <w:t xml:space="preserve">    （五） 指导和加强全市文化市场综合行政执法队伍规范化 建设和行风建设；</w:t>
        <w:br/>
        <w:t xml:space="preserve">    （六）负责开展文化市场综合行政执法法治普法宣传，加强法治化建设，制定工作制度和行为规范，实行行政执法 事项清单管理制度，并依法及时动态调整；</w:t>
        <w:br/>
        <w:t xml:space="preserve">    （七）负责全市文化市场综合行政执法人员业务培训，组织开展岗位练兵、技能竞赛活动；</w:t>
        <w:br/>
        <w:t xml:space="preserve">    （八）承担“扫黄打非"有关工作任务；</w:t>
        <w:br/>
        <w:t xml:space="preserve">    （九）坚持和加强党对文化市场综合行政执法工作的全面领导；</w:t>
        <w:br/>
        <w:t xml:space="preserve">    （十）依法履行法律、法规、规章赋予的其他职责，完成市文化广电和旅游局交办的其他任务。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许昌市文化市场综合行政执法支队</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办公室、党建人事科、法制科、机动大队、举报受理和数据信息大队、东城区大队、经济技术开发区大队、城乡一体化示范区大队、魏都大队、建安大队</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许昌市文化市场综合行政执法支队</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许昌市文化市场综合行政执法支队</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1,492.80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57.11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1,152.77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149.37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69.75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0.90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62.89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1,492.80</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1,492.80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1,492.80</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1,492.80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1,492.80</w:t>
            </w:r>
          </w:p>
        </w:tc>
        <w:tc>
          <w:tcPr>
            <w:tcW w:w="1440" w:type="dxa"/>
            <w:tcBorders/>
            <w:vAlign w:val="center"/>
          </w:tcPr>
          <w:p>
            <w:pPr>
              <w:jc w:val="right"/>
            </w:pPr>
            <w:r>
              <w:rPr>
                <w:rFonts w:ascii="宋体" w:eastAsia="宋体" w:hAnsi="宋体" w:cs="宋体"/>
                <w:b/>
                <w:i w:val="0"/>
                <w:color w:val="000000"/>
                <w:sz w:val="17"/>
              </w:rPr>
              <w:t xml:space="preserve">1,492.80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57.11</w:t>
            </w:r>
          </w:p>
        </w:tc>
        <w:tc>
          <w:tcPr>
            <w:tcW w:w="1440" w:type="dxa"/>
            <w:tcBorders/>
            <w:vAlign w:val="center"/>
          </w:tcPr>
          <w:p>
            <w:pPr>
              <w:jc w:val="right"/>
            </w:pPr>
            <w:r>
              <w:rPr>
                <w:rFonts w:ascii="宋体" w:eastAsia="宋体" w:hAnsi="宋体" w:cs="宋体"/>
                <w:b w:val="0"/>
                <w:i w:val="0"/>
                <w:color w:val="000000"/>
                <w:sz w:val="17"/>
              </w:rPr>
              <w:t xml:space="preserve">57.11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5.77</w:t>
            </w:r>
          </w:p>
        </w:tc>
        <w:tc>
          <w:tcPr>
            <w:tcW w:w="1440" w:type="dxa"/>
            <w:tcBorders/>
            <w:vAlign w:val="center"/>
          </w:tcPr>
          <w:p>
            <w:pPr>
              <w:jc w:val="right"/>
            </w:pPr>
            <w:r>
              <w:rPr>
                <w:rFonts w:ascii="宋体" w:eastAsia="宋体" w:hAnsi="宋体" w:cs="宋体"/>
                <w:b w:val="0"/>
                <w:i w:val="0"/>
                <w:color w:val="000000"/>
                <w:sz w:val="17"/>
              </w:rPr>
              <w:t xml:space="preserve">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5.77</w:t>
            </w:r>
          </w:p>
        </w:tc>
        <w:tc>
          <w:tcPr>
            <w:tcW w:w="1440" w:type="dxa"/>
            <w:tcBorders/>
            <w:vAlign w:val="center"/>
          </w:tcPr>
          <w:p>
            <w:pPr>
              <w:jc w:val="right"/>
            </w:pPr>
            <w:r>
              <w:rPr>
                <w:rFonts w:ascii="宋体" w:eastAsia="宋体" w:hAnsi="宋体" w:cs="宋体"/>
                <w:b w:val="0"/>
                <w:i w:val="0"/>
                <w:color w:val="000000"/>
                <w:sz w:val="17"/>
              </w:rPr>
              <w:t xml:space="preserve">5.77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51.34</w:t>
            </w:r>
          </w:p>
        </w:tc>
        <w:tc>
          <w:tcPr>
            <w:tcW w:w="1440" w:type="dxa"/>
            <w:tcBorders/>
            <w:vAlign w:val="center"/>
          </w:tcPr>
          <w:p>
            <w:pPr>
              <w:jc w:val="right"/>
            </w:pPr>
            <w:r>
              <w:rPr>
                <w:rFonts w:ascii="宋体" w:eastAsia="宋体" w:hAnsi="宋体" w:cs="宋体"/>
                <w:b w:val="0"/>
                <w:i w:val="0"/>
                <w:color w:val="000000"/>
                <w:sz w:val="17"/>
              </w:rPr>
              <w:t xml:space="preserve">51.34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51.34</w:t>
            </w:r>
          </w:p>
        </w:tc>
        <w:tc>
          <w:tcPr>
            <w:tcW w:w="1440" w:type="dxa"/>
            <w:tcBorders/>
            <w:vAlign w:val="center"/>
          </w:tcPr>
          <w:p>
            <w:pPr>
              <w:jc w:val="right"/>
            </w:pPr>
            <w:r>
              <w:rPr>
                <w:rFonts w:ascii="宋体" w:eastAsia="宋体" w:hAnsi="宋体" w:cs="宋体"/>
                <w:b w:val="0"/>
                <w:i w:val="0"/>
                <w:color w:val="000000"/>
                <w:sz w:val="17"/>
              </w:rPr>
              <w:t xml:space="preserve">51.34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1,152.77</w:t>
            </w:r>
          </w:p>
        </w:tc>
        <w:tc>
          <w:tcPr>
            <w:tcW w:w="1440" w:type="dxa"/>
            <w:tcBorders/>
            <w:vAlign w:val="center"/>
          </w:tcPr>
          <w:p>
            <w:pPr>
              <w:jc w:val="right"/>
            </w:pPr>
            <w:r>
              <w:rPr>
                <w:rFonts w:ascii="宋体" w:eastAsia="宋体" w:hAnsi="宋体" w:cs="宋体"/>
                <w:b w:val="0"/>
                <w:i w:val="0"/>
                <w:color w:val="000000"/>
                <w:sz w:val="17"/>
              </w:rPr>
              <w:t xml:space="preserve">1,152.77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1,152.77</w:t>
            </w:r>
          </w:p>
        </w:tc>
        <w:tc>
          <w:tcPr>
            <w:tcW w:w="1440" w:type="dxa"/>
            <w:tcBorders/>
            <w:vAlign w:val="center"/>
          </w:tcPr>
          <w:p>
            <w:pPr>
              <w:jc w:val="right"/>
            </w:pPr>
            <w:r>
              <w:rPr>
                <w:rFonts w:ascii="宋体" w:eastAsia="宋体" w:hAnsi="宋体" w:cs="宋体"/>
                <w:b w:val="0"/>
                <w:i w:val="0"/>
                <w:color w:val="000000"/>
                <w:sz w:val="17"/>
              </w:rPr>
              <w:t xml:space="preserve">1,152.77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文化和旅游市场管理</w:t>
            </w:r>
          </w:p>
        </w:tc>
        <w:tc>
          <w:tcPr>
            <w:tcW w:w="1440" w:type="dxa"/>
            <w:tcBorders/>
            <w:vAlign w:val="center"/>
          </w:tcPr>
          <w:p>
            <w:pPr>
              <w:jc w:val="right"/>
            </w:pPr>
            <w:r>
              <w:rPr>
                <w:rFonts w:ascii="宋体" w:eastAsia="宋体" w:hAnsi="宋体" w:cs="宋体"/>
                <w:b w:val="0"/>
                <w:i w:val="0"/>
                <w:color w:val="000000"/>
                <w:sz w:val="17"/>
              </w:rPr>
              <w:t xml:space="preserve">1,152.77</w:t>
            </w:r>
          </w:p>
        </w:tc>
        <w:tc>
          <w:tcPr>
            <w:tcW w:w="1440" w:type="dxa"/>
            <w:tcBorders/>
            <w:vAlign w:val="center"/>
          </w:tcPr>
          <w:p>
            <w:pPr>
              <w:jc w:val="right"/>
            </w:pPr>
            <w:r>
              <w:rPr>
                <w:rFonts w:ascii="宋体" w:eastAsia="宋体" w:hAnsi="宋体" w:cs="宋体"/>
                <w:b w:val="0"/>
                <w:i w:val="0"/>
                <w:color w:val="000000"/>
                <w:sz w:val="17"/>
              </w:rPr>
              <w:t xml:space="preserve">1,152.77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149.37</w:t>
            </w:r>
          </w:p>
        </w:tc>
        <w:tc>
          <w:tcPr>
            <w:tcW w:w="1440" w:type="dxa"/>
            <w:tcBorders/>
            <w:vAlign w:val="center"/>
          </w:tcPr>
          <w:p>
            <w:pPr>
              <w:jc w:val="right"/>
            </w:pPr>
            <w:r>
              <w:rPr>
                <w:rFonts w:ascii="宋体" w:eastAsia="宋体" w:hAnsi="宋体" w:cs="宋体"/>
                <w:b w:val="0"/>
                <w:i w:val="0"/>
                <w:color w:val="000000"/>
                <w:sz w:val="17"/>
              </w:rPr>
              <w:t xml:space="preserve">149.37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149.37</w:t>
            </w:r>
          </w:p>
        </w:tc>
        <w:tc>
          <w:tcPr>
            <w:tcW w:w="1440" w:type="dxa"/>
            <w:tcBorders/>
            <w:vAlign w:val="center"/>
          </w:tcPr>
          <w:p>
            <w:pPr>
              <w:jc w:val="right"/>
            </w:pPr>
            <w:r>
              <w:rPr>
                <w:rFonts w:ascii="宋体" w:eastAsia="宋体" w:hAnsi="宋体" w:cs="宋体"/>
                <w:b w:val="0"/>
                <w:i w:val="0"/>
                <w:color w:val="000000"/>
                <w:sz w:val="17"/>
              </w:rPr>
              <w:t xml:space="preserve">149.37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81.52</w:t>
            </w:r>
          </w:p>
        </w:tc>
        <w:tc>
          <w:tcPr>
            <w:tcW w:w="1440" w:type="dxa"/>
            <w:tcBorders/>
            <w:vAlign w:val="center"/>
          </w:tcPr>
          <w:p>
            <w:pPr>
              <w:jc w:val="right"/>
            </w:pPr>
            <w:r>
              <w:rPr>
                <w:rFonts w:ascii="宋体" w:eastAsia="宋体" w:hAnsi="宋体" w:cs="宋体"/>
                <w:b w:val="0"/>
                <w:i w:val="0"/>
                <w:color w:val="000000"/>
                <w:sz w:val="17"/>
              </w:rPr>
              <w:t xml:space="preserve">81.52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67.85</w:t>
            </w:r>
          </w:p>
        </w:tc>
        <w:tc>
          <w:tcPr>
            <w:tcW w:w="1440" w:type="dxa"/>
            <w:tcBorders/>
            <w:vAlign w:val="center"/>
          </w:tcPr>
          <w:p>
            <w:pPr>
              <w:jc w:val="right"/>
            </w:pPr>
            <w:r>
              <w:rPr>
                <w:rFonts w:ascii="宋体" w:eastAsia="宋体" w:hAnsi="宋体" w:cs="宋体"/>
                <w:b w:val="0"/>
                <w:i w:val="0"/>
                <w:color w:val="000000"/>
                <w:sz w:val="17"/>
              </w:rPr>
              <w:t xml:space="preserve">67.85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69.75</w:t>
            </w:r>
          </w:p>
        </w:tc>
        <w:tc>
          <w:tcPr>
            <w:tcW w:w="1440" w:type="dxa"/>
            <w:tcBorders/>
            <w:vAlign w:val="center"/>
          </w:tcPr>
          <w:p>
            <w:pPr>
              <w:jc w:val="right"/>
            </w:pPr>
            <w:r>
              <w:rPr>
                <w:rFonts w:ascii="宋体" w:eastAsia="宋体" w:hAnsi="宋体" w:cs="宋体"/>
                <w:b w:val="0"/>
                <w:i w:val="0"/>
                <w:color w:val="000000"/>
                <w:sz w:val="17"/>
              </w:rPr>
              <w:t xml:space="preserve">69.75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69.75</w:t>
            </w:r>
          </w:p>
        </w:tc>
        <w:tc>
          <w:tcPr>
            <w:tcW w:w="1440" w:type="dxa"/>
            <w:tcBorders/>
            <w:vAlign w:val="center"/>
          </w:tcPr>
          <w:p>
            <w:pPr>
              <w:jc w:val="right"/>
            </w:pPr>
            <w:r>
              <w:rPr>
                <w:rFonts w:ascii="宋体" w:eastAsia="宋体" w:hAnsi="宋体" w:cs="宋体"/>
                <w:b w:val="0"/>
                <w:i w:val="0"/>
                <w:color w:val="000000"/>
                <w:sz w:val="17"/>
              </w:rPr>
              <w:t xml:space="preserve">69.75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33.72</w:t>
            </w:r>
          </w:p>
        </w:tc>
        <w:tc>
          <w:tcPr>
            <w:tcW w:w="1440" w:type="dxa"/>
            <w:tcBorders/>
            <w:vAlign w:val="center"/>
          </w:tcPr>
          <w:p>
            <w:pPr>
              <w:jc w:val="right"/>
            </w:pPr>
            <w:r>
              <w:rPr>
                <w:rFonts w:ascii="宋体" w:eastAsia="宋体" w:hAnsi="宋体" w:cs="宋体"/>
                <w:b w:val="0"/>
                <w:i w:val="0"/>
                <w:color w:val="000000"/>
                <w:sz w:val="17"/>
              </w:rPr>
              <w:t xml:space="preserve">33.72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36.03</w:t>
            </w:r>
          </w:p>
        </w:tc>
        <w:tc>
          <w:tcPr>
            <w:tcW w:w="1440" w:type="dxa"/>
            <w:tcBorders/>
            <w:vAlign w:val="center"/>
          </w:tcPr>
          <w:p>
            <w:pPr>
              <w:jc w:val="right"/>
            </w:pPr>
            <w:r>
              <w:rPr>
                <w:rFonts w:ascii="宋体" w:eastAsia="宋体" w:hAnsi="宋体" w:cs="宋体"/>
                <w:b w:val="0"/>
                <w:i w:val="0"/>
                <w:color w:val="000000"/>
                <w:sz w:val="17"/>
              </w:rPr>
              <w:t xml:space="preserve">36.03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62.89</w:t>
            </w:r>
          </w:p>
        </w:tc>
        <w:tc>
          <w:tcPr>
            <w:tcW w:w="1440" w:type="dxa"/>
            <w:tcBorders/>
            <w:vAlign w:val="center"/>
          </w:tcPr>
          <w:p>
            <w:pPr>
              <w:jc w:val="right"/>
            </w:pPr>
            <w:r>
              <w:rPr>
                <w:rFonts w:ascii="宋体" w:eastAsia="宋体" w:hAnsi="宋体" w:cs="宋体"/>
                <w:b w:val="0"/>
                <w:i w:val="0"/>
                <w:color w:val="000000"/>
                <w:sz w:val="17"/>
              </w:rPr>
              <w:t xml:space="preserve">62.89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62.89</w:t>
            </w:r>
          </w:p>
        </w:tc>
        <w:tc>
          <w:tcPr>
            <w:tcW w:w="1440" w:type="dxa"/>
            <w:tcBorders/>
            <w:vAlign w:val="center"/>
          </w:tcPr>
          <w:p>
            <w:pPr>
              <w:jc w:val="right"/>
            </w:pPr>
            <w:r>
              <w:rPr>
                <w:rFonts w:ascii="宋体" w:eastAsia="宋体" w:hAnsi="宋体" w:cs="宋体"/>
                <w:b w:val="0"/>
                <w:i w:val="0"/>
                <w:color w:val="000000"/>
                <w:sz w:val="17"/>
              </w:rPr>
              <w:t xml:space="preserve">62.89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62.89</w:t>
            </w:r>
          </w:p>
        </w:tc>
        <w:tc>
          <w:tcPr>
            <w:tcW w:w="1440" w:type="dxa"/>
            <w:tcBorders/>
            <w:vAlign w:val="center"/>
          </w:tcPr>
          <w:p>
            <w:pPr>
              <w:jc w:val="right"/>
            </w:pPr>
            <w:r>
              <w:rPr>
                <w:rFonts w:ascii="宋体" w:eastAsia="宋体" w:hAnsi="宋体" w:cs="宋体"/>
                <w:b w:val="0"/>
                <w:i w:val="0"/>
                <w:color w:val="000000"/>
                <w:sz w:val="17"/>
              </w:rPr>
              <w:t xml:space="preserve">62.89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1,492.80</w:t>
            </w:r>
          </w:p>
        </w:tc>
        <w:tc>
          <w:tcPr>
            <w:tcW w:w="1600" w:type="dxa"/>
            <w:tcBorders/>
            <w:vAlign w:val="center"/>
          </w:tcPr>
          <w:p>
            <w:pPr>
              <w:jc w:val="right"/>
            </w:pPr>
            <w:r>
              <w:rPr>
                <w:rFonts w:ascii="宋体" w:eastAsia="宋体" w:hAnsi="宋体" w:cs="宋体"/>
                <w:b/>
                <w:i w:val="0"/>
                <w:color w:val="000000"/>
                <w:sz w:val="19"/>
              </w:rPr>
              <w:t xml:space="preserve">1,491.90</w:t>
            </w:r>
          </w:p>
        </w:tc>
        <w:tc>
          <w:tcPr>
            <w:tcW w:w="1600" w:type="dxa"/>
            <w:tcBorders/>
            <w:vAlign w:val="center"/>
          </w:tcPr>
          <w:p>
            <w:pPr>
              <w:jc w:val="right"/>
            </w:pPr>
            <w:r>
              <w:rPr>
                <w:rFonts w:ascii="宋体" w:eastAsia="宋体" w:hAnsi="宋体" w:cs="宋体"/>
                <w:b/>
                <w:i w:val="0"/>
                <w:color w:val="000000"/>
                <w:sz w:val="19"/>
              </w:rPr>
              <w:t xml:space="preserve">0.90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57.11</w:t>
            </w:r>
          </w:p>
        </w:tc>
        <w:tc>
          <w:tcPr>
            <w:tcW w:w="1600" w:type="dxa"/>
            <w:tcBorders/>
            <w:vAlign w:val="center"/>
          </w:tcPr>
          <w:p>
            <w:pPr>
              <w:jc w:val="right"/>
            </w:pPr>
            <w:r>
              <w:rPr>
                <w:rFonts w:ascii="宋体" w:eastAsia="宋体" w:hAnsi="宋体" w:cs="宋体"/>
                <w:b w:val="0"/>
                <w:i w:val="0"/>
                <w:color w:val="000000"/>
                <w:sz w:val="19"/>
              </w:rPr>
              <w:t xml:space="preserve">57.11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5.77</w:t>
            </w:r>
          </w:p>
        </w:tc>
        <w:tc>
          <w:tcPr>
            <w:tcW w:w="1600" w:type="dxa"/>
            <w:tcBorders/>
            <w:vAlign w:val="center"/>
          </w:tcPr>
          <w:p>
            <w:pPr>
              <w:jc w:val="right"/>
            </w:pPr>
            <w:r>
              <w:rPr>
                <w:rFonts w:ascii="宋体" w:eastAsia="宋体" w:hAnsi="宋体" w:cs="宋体"/>
                <w:b w:val="0"/>
                <w:i w:val="0"/>
                <w:color w:val="000000"/>
                <w:sz w:val="19"/>
              </w:rPr>
              <w:t xml:space="preserve">5.77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5.77</w:t>
            </w:r>
          </w:p>
        </w:tc>
        <w:tc>
          <w:tcPr>
            <w:tcW w:w="1600" w:type="dxa"/>
            <w:tcBorders/>
            <w:vAlign w:val="center"/>
          </w:tcPr>
          <w:p>
            <w:pPr>
              <w:jc w:val="right"/>
            </w:pPr>
            <w:r>
              <w:rPr>
                <w:rFonts w:ascii="宋体" w:eastAsia="宋体" w:hAnsi="宋体" w:cs="宋体"/>
                <w:b w:val="0"/>
                <w:i w:val="0"/>
                <w:color w:val="000000"/>
                <w:sz w:val="19"/>
              </w:rPr>
              <w:t xml:space="preserve">5.77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51.34</w:t>
            </w:r>
          </w:p>
        </w:tc>
        <w:tc>
          <w:tcPr>
            <w:tcW w:w="1600" w:type="dxa"/>
            <w:tcBorders/>
            <w:vAlign w:val="center"/>
          </w:tcPr>
          <w:p>
            <w:pPr>
              <w:jc w:val="right"/>
            </w:pPr>
            <w:r>
              <w:rPr>
                <w:rFonts w:ascii="宋体" w:eastAsia="宋体" w:hAnsi="宋体" w:cs="宋体"/>
                <w:b w:val="0"/>
                <w:i w:val="0"/>
                <w:color w:val="000000"/>
                <w:sz w:val="19"/>
              </w:rPr>
              <w:t xml:space="preserve">51.34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51.34</w:t>
            </w:r>
          </w:p>
        </w:tc>
        <w:tc>
          <w:tcPr>
            <w:tcW w:w="1600" w:type="dxa"/>
            <w:tcBorders/>
            <w:vAlign w:val="center"/>
          </w:tcPr>
          <w:p>
            <w:pPr>
              <w:jc w:val="right"/>
            </w:pPr>
            <w:r>
              <w:rPr>
                <w:rFonts w:ascii="宋体" w:eastAsia="宋体" w:hAnsi="宋体" w:cs="宋体"/>
                <w:b w:val="0"/>
                <w:i w:val="0"/>
                <w:color w:val="000000"/>
                <w:sz w:val="19"/>
              </w:rPr>
              <w:t xml:space="preserve">51.34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1,152.77</w:t>
            </w:r>
          </w:p>
        </w:tc>
        <w:tc>
          <w:tcPr>
            <w:tcW w:w="1600" w:type="dxa"/>
            <w:tcBorders/>
            <w:vAlign w:val="center"/>
          </w:tcPr>
          <w:p>
            <w:pPr>
              <w:jc w:val="right"/>
            </w:pPr>
            <w:r>
              <w:rPr>
                <w:rFonts w:ascii="宋体" w:eastAsia="宋体" w:hAnsi="宋体" w:cs="宋体"/>
                <w:b w:val="0"/>
                <w:i w:val="0"/>
                <w:color w:val="000000"/>
                <w:sz w:val="19"/>
              </w:rPr>
              <w:t xml:space="preserve">1,152.77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1,152.77</w:t>
            </w:r>
          </w:p>
        </w:tc>
        <w:tc>
          <w:tcPr>
            <w:tcW w:w="1600" w:type="dxa"/>
            <w:tcBorders/>
            <w:vAlign w:val="center"/>
          </w:tcPr>
          <w:p>
            <w:pPr>
              <w:jc w:val="right"/>
            </w:pPr>
            <w:r>
              <w:rPr>
                <w:rFonts w:ascii="宋体" w:eastAsia="宋体" w:hAnsi="宋体" w:cs="宋体"/>
                <w:b w:val="0"/>
                <w:i w:val="0"/>
                <w:color w:val="000000"/>
                <w:sz w:val="19"/>
              </w:rPr>
              <w:t xml:space="preserve">1,152.77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文化和旅游市场管理</w:t>
            </w:r>
          </w:p>
        </w:tc>
        <w:tc>
          <w:tcPr>
            <w:tcW w:w="1600" w:type="dxa"/>
            <w:tcBorders/>
            <w:vAlign w:val="center"/>
          </w:tcPr>
          <w:p>
            <w:pPr>
              <w:jc w:val="right"/>
            </w:pPr>
            <w:r>
              <w:rPr>
                <w:rFonts w:ascii="宋体" w:eastAsia="宋体" w:hAnsi="宋体" w:cs="宋体"/>
                <w:b w:val="0"/>
                <w:i w:val="0"/>
                <w:color w:val="000000"/>
                <w:sz w:val="19"/>
              </w:rPr>
              <w:t xml:space="preserve">1,152.77</w:t>
            </w:r>
          </w:p>
        </w:tc>
        <w:tc>
          <w:tcPr>
            <w:tcW w:w="1600" w:type="dxa"/>
            <w:tcBorders/>
            <w:vAlign w:val="center"/>
          </w:tcPr>
          <w:p>
            <w:pPr>
              <w:jc w:val="right"/>
            </w:pPr>
            <w:r>
              <w:rPr>
                <w:rFonts w:ascii="宋体" w:eastAsia="宋体" w:hAnsi="宋体" w:cs="宋体"/>
                <w:b w:val="0"/>
                <w:i w:val="0"/>
                <w:color w:val="000000"/>
                <w:sz w:val="19"/>
              </w:rPr>
              <w:t xml:space="preserve">1,152.77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149.37</w:t>
            </w:r>
          </w:p>
        </w:tc>
        <w:tc>
          <w:tcPr>
            <w:tcW w:w="1600" w:type="dxa"/>
            <w:tcBorders/>
            <w:vAlign w:val="center"/>
          </w:tcPr>
          <w:p>
            <w:pPr>
              <w:jc w:val="right"/>
            </w:pPr>
            <w:r>
              <w:rPr>
                <w:rFonts w:ascii="宋体" w:eastAsia="宋体" w:hAnsi="宋体" w:cs="宋体"/>
                <w:b w:val="0"/>
                <w:i w:val="0"/>
                <w:color w:val="000000"/>
                <w:sz w:val="19"/>
              </w:rPr>
              <w:t xml:space="preserve">149.37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149.37</w:t>
            </w:r>
          </w:p>
        </w:tc>
        <w:tc>
          <w:tcPr>
            <w:tcW w:w="1600" w:type="dxa"/>
            <w:tcBorders/>
            <w:vAlign w:val="center"/>
          </w:tcPr>
          <w:p>
            <w:pPr>
              <w:jc w:val="right"/>
            </w:pPr>
            <w:r>
              <w:rPr>
                <w:rFonts w:ascii="宋体" w:eastAsia="宋体" w:hAnsi="宋体" w:cs="宋体"/>
                <w:b w:val="0"/>
                <w:i w:val="0"/>
                <w:color w:val="000000"/>
                <w:sz w:val="19"/>
              </w:rPr>
              <w:t xml:space="preserve">149.37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81.52</w:t>
            </w:r>
          </w:p>
        </w:tc>
        <w:tc>
          <w:tcPr>
            <w:tcW w:w="1600" w:type="dxa"/>
            <w:tcBorders/>
            <w:vAlign w:val="center"/>
          </w:tcPr>
          <w:p>
            <w:pPr>
              <w:jc w:val="right"/>
            </w:pPr>
            <w:r>
              <w:rPr>
                <w:rFonts w:ascii="宋体" w:eastAsia="宋体" w:hAnsi="宋体" w:cs="宋体"/>
                <w:b w:val="0"/>
                <w:i w:val="0"/>
                <w:color w:val="000000"/>
                <w:sz w:val="19"/>
              </w:rPr>
              <w:t xml:space="preserve">81.52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67.85</w:t>
            </w:r>
          </w:p>
        </w:tc>
        <w:tc>
          <w:tcPr>
            <w:tcW w:w="1600" w:type="dxa"/>
            <w:tcBorders/>
            <w:vAlign w:val="center"/>
          </w:tcPr>
          <w:p>
            <w:pPr>
              <w:jc w:val="right"/>
            </w:pPr>
            <w:r>
              <w:rPr>
                <w:rFonts w:ascii="宋体" w:eastAsia="宋体" w:hAnsi="宋体" w:cs="宋体"/>
                <w:b w:val="0"/>
                <w:i w:val="0"/>
                <w:color w:val="000000"/>
                <w:sz w:val="19"/>
              </w:rPr>
              <w:t xml:space="preserve">67.85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69.75</w:t>
            </w:r>
          </w:p>
        </w:tc>
        <w:tc>
          <w:tcPr>
            <w:tcW w:w="1600" w:type="dxa"/>
            <w:tcBorders/>
            <w:vAlign w:val="center"/>
          </w:tcPr>
          <w:p>
            <w:pPr>
              <w:jc w:val="right"/>
            </w:pPr>
            <w:r>
              <w:rPr>
                <w:rFonts w:ascii="宋体" w:eastAsia="宋体" w:hAnsi="宋体" w:cs="宋体"/>
                <w:b w:val="0"/>
                <w:i w:val="0"/>
                <w:color w:val="000000"/>
                <w:sz w:val="19"/>
              </w:rPr>
              <w:t xml:space="preserve">69.75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69.75</w:t>
            </w:r>
          </w:p>
        </w:tc>
        <w:tc>
          <w:tcPr>
            <w:tcW w:w="1600" w:type="dxa"/>
            <w:tcBorders/>
            <w:vAlign w:val="center"/>
          </w:tcPr>
          <w:p>
            <w:pPr>
              <w:jc w:val="right"/>
            </w:pPr>
            <w:r>
              <w:rPr>
                <w:rFonts w:ascii="宋体" w:eastAsia="宋体" w:hAnsi="宋体" w:cs="宋体"/>
                <w:b w:val="0"/>
                <w:i w:val="0"/>
                <w:color w:val="000000"/>
                <w:sz w:val="19"/>
              </w:rPr>
              <w:t xml:space="preserve">69.75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33.72</w:t>
            </w:r>
          </w:p>
        </w:tc>
        <w:tc>
          <w:tcPr>
            <w:tcW w:w="1600" w:type="dxa"/>
            <w:tcBorders/>
            <w:vAlign w:val="center"/>
          </w:tcPr>
          <w:p>
            <w:pPr>
              <w:jc w:val="right"/>
            </w:pPr>
            <w:r>
              <w:rPr>
                <w:rFonts w:ascii="宋体" w:eastAsia="宋体" w:hAnsi="宋体" w:cs="宋体"/>
                <w:b w:val="0"/>
                <w:i w:val="0"/>
                <w:color w:val="000000"/>
                <w:sz w:val="19"/>
              </w:rPr>
              <w:t xml:space="preserve">33.72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36.03</w:t>
            </w:r>
          </w:p>
        </w:tc>
        <w:tc>
          <w:tcPr>
            <w:tcW w:w="1600" w:type="dxa"/>
            <w:tcBorders/>
            <w:vAlign w:val="center"/>
          </w:tcPr>
          <w:p>
            <w:pPr>
              <w:jc w:val="right"/>
            </w:pPr>
            <w:r>
              <w:rPr>
                <w:rFonts w:ascii="宋体" w:eastAsia="宋体" w:hAnsi="宋体" w:cs="宋体"/>
                <w:b w:val="0"/>
                <w:i w:val="0"/>
                <w:color w:val="000000"/>
                <w:sz w:val="19"/>
              </w:rPr>
              <w:t xml:space="preserve">36.03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62.89</w:t>
            </w:r>
          </w:p>
        </w:tc>
        <w:tc>
          <w:tcPr>
            <w:tcW w:w="1600" w:type="dxa"/>
            <w:tcBorders/>
            <w:vAlign w:val="center"/>
          </w:tcPr>
          <w:p>
            <w:pPr>
              <w:jc w:val="right"/>
            </w:pPr>
            <w:r>
              <w:rPr>
                <w:rFonts w:ascii="宋体" w:eastAsia="宋体" w:hAnsi="宋体" w:cs="宋体"/>
                <w:b w:val="0"/>
                <w:i w:val="0"/>
                <w:color w:val="000000"/>
                <w:sz w:val="19"/>
              </w:rPr>
              <w:t xml:space="preserve">62.89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62.89</w:t>
            </w:r>
          </w:p>
        </w:tc>
        <w:tc>
          <w:tcPr>
            <w:tcW w:w="1600" w:type="dxa"/>
            <w:tcBorders/>
            <w:vAlign w:val="center"/>
          </w:tcPr>
          <w:p>
            <w:pPr>
              <w:jc w:val="right"/>
            </w:pPr>
            <w:r>
              <w:rPr>
                <w:rFonts w:ascii="宋体" w:eastAsia="宋体" w:hAnsi="宋体" w:cs="宋体"/>
                <w:b w:val="0"/>
                <w:i w:val="0"/>
                <w:color w:val="000000"/>
                <w:sz w:val="19"/>
              </w:rPr>
              <w:t xml:space="preserve">62.89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62.89</w:t>
            </w:r>
          </w:p>
        </w:tc>
        <w:tc>
          <w:tcPr>
            <w:tcW w:w="1600" w:type="dxa"/>
            <w:tcBorders/>
            <w:vAlign w:val="center"/>
          </w:tcPr>
          <w:p>
            <w:pPr>
              <w:jc w:val="right"/>
            </w:pPr>
            <w:r>
              <w:rPr>
                <w:rFonts w:ascii="宋体" w:eastAsia="宋体" w:hAnsi="宋体" w:cs="宋体"/>
                <w:b w:val="0"/>
                <w:i w:val="0"/>
                <w:color w:val="000000"/>
                <w:sz w:val="19"/>
              </w:rPr>
              <w:t xml:space="preserve">62.89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57.11</w:t>
            </w:r>
          </w:p>
        </w:tc>
        <w:tc>
          <w:tcPr>
            <w:tcW w:w="1420" w:type="dxa"/>
            <w:tcBorders/>
            <w:vAlign w:val="center"/>
          </w:tcPr>
          <w:p>
            <w:pPr>
              <w:jc w:val="right"/>
            </w:pPr>
            <w:r>
              <w:rPr>
                <w:rFonts w:ascii="宋体" w:eastAsia="宋体" w:hAnsi="宋体" w:cs="宋体"/>
                <w:b w:val="0"/>
                <w:i w:val="0"/>
                <w:color w:val="000000"/>
                <w:sz w:val="18"/>
              </w:rPr>
              <w:t xml:space="preserve">57.11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1,152.77</w:t>
            </w:r>
          </w:p>
        </w:tc>
        <w:tc>
          <w:tcPr>
            <w:tcW w:w="1420" w:type="dxa"/>
            <w:tcBorders/>
            <w:vAlign w:val="center"/>
          </w:tcPr>
          <w:p>
            <w:pPr>
              <w:jc w:val="right"/>
            </w:pPr>
            <w:r>
              <w:rPr>
                <w:rFonts w:ascii="宋体" w:eastAsia="宋体" w:hAnsi="宋体" w:cs="宋体"/>
                <w:b w:val="0"/>
                <w:i w:val="0"/>
                <w:color w:val="000000"/>
                <w:sz w:val="18"/>
              </w:rPr>
              <w:t xml:space="preserve">1,152.77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149.37</w:t>
            </w:r>
          </w:p>
        </w:tc>
        <w:tc>
          <w:tcPr>
            <w:tcW w:w="1420" w:type="dxa"/>
            <w:tcBorders/>
            <w:vAlign w:val="center"/>
          </w:tcPr>
          <w:p>
            <w:pPr>
              <w:jc w:val="right"/>
            </w:pPr>
            <w:r>
              <w:rPr>
                <w:rFonts w:ascii="宋体" w:eastAsia="宋体" w:hAnsi="宋体" w:cs="宋体"/>
                <w:b w:val="0"/>
                <w:i w:val="0"/>
                <w:color w:val="000000"/>
                <w:sz w:val="18"/>
              </w:rPr>
              <w:t xml:space="preserve">149.37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69.75</w:t>
            </w:r>
          </w:p>
        </w:tc>
        <w:tc>
          <w:tcPr>
            <w:tcW w:w="1420" w:type="dxa"/>
            <w:tcBorders/>
            <w:vAlign w:val="center"/>
          </w:tcPr>
          <w:p>
            <w:pPr>
              <w:jc w:val="right"/>
            </w:pPr>
            <w:r>
              <w:rPr>
                <w:rFonts w:ascii="宋体" w:eastAsia="宋体" w:hAnsi="宋体" w:cs="宋体"/>
                <w:b w:val="0"/>
                <w:i w:val="0"/>
                <w:color w:val="000000"/>
                <w:sz w:val="18"/>
              </w:rPr>
              <w:t xml:space="preserve">69.75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0.90</w:t>
            </w:r>
          </w:p>
        </w:tc>
        <w:tc>
          <w:tcPr>
            <w:tcW w:w="1420" w:type="dxa"/>
            <w:tcBorders/>
            <w:vAlign w:val="center"/>
          </w:tcPr>
          <w:p>
            <w:pPr>
              <w:jc w:val="right"/>
            </w:pPr>
            <w:r>
              <w:rPr>
                <w:rFonts w:ascii="宋体" w:eastAsia="宋体" w:hAnsi="宋体" w:cs="宋体"/>
                <w:b w:val="0"/>
                <w:i w:val="0"/>
                <w:color w:val="000000"/>
                <w:sz w:val="18"/>
              </w:rPr>
              <w:t xml:space="preserve">0.90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62.89</w:t>
            </w:r>
          </w:p>
        </w:tc>
        <w:tc>
          <w:tcPr>
            <w:tcW w:w="1420" w:type="dxa"/>
            <w:tcBorders/>
            <w:vAlign w:val="center"/>
          </w:tcPr>
          <w:p>
            <w:pPr>
              <w:jc w:val="right"/>
            </w:pPr>
            <w:r>
              <w:rPr>
                <w:rFonts w:ascii="宋体" w:eastAsia="宋体" w:hAnsi="宋体" w:cs="宋体"/>
                <w:b w:val="0"/>
                <w:i w:val="0"/>
                <w:color w:val="000000"/>
                <w:sz w:val="18"/>
              </w:rPr>
              <w:t xml:space="preserve">62.89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1420" w:type="dxa"/>
            <w:tcBorders/>
            <w:vAlign w:val="center"/>
          </w:tcPr>
          <w:p>
            <w:pPr>
              <w:jc w:val="right"/>
            </w:pPr>
            <w:r>
              <w:rPr>
                <w:rFonts w:ascii="宋体" w:eastAsia="宋体" w:hAnsi="宋体" w:cs="宋体"/>
                <w:b w:val="0"/>
                <w:i w:val="0"/>
                <w:color w:val="000000"/>
                <w:sz w:val="18"/>
              </w:rPr>
              <w:t xml:space="preserve">1,492.80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1,492.80</w:t>
            </w:r>
          </w:p>
        </w:tc>
        <w:tc>
          <w:tcPr>
            <w:tcW w:w="2700" w:type="dxa"/>
            <w:tcBorders/>
            <w:vAlign w:val="center"/>
          </w:tcPr>
          <w:p>
            <w:pPr>
              <w:jc w:val="right"/>
            </w:pPr>
            <w:r>
              <w:rPr>
                <w:rFonts w:ascii="宋体" w:eastAsia="宋体" w:hAnsi="宋体" w:cs="宋体"/>
                <w:b/>
                <w:i w:val="0"/>
                <w:color w:val="000000"/>
                <w:sz w:val="25"/>
              </w:rPr>
              <w:t xml:space="preserve">1,491.90</w:t>
            </w:r>
          </w:p>
        </w:tc>
        <w:tc>
          <w:tcPr>
            <w:tcW w:w="2658" w:type="dxa"/>
            <w:tcBorders/>
            <w:vAlign w:val="center"/>
          </w:tcPr>
          <w:p>
            <w:pPr>
              <w:jc w:val="right"/>
            </w:pPr>
            <w:r>
              <w:rPr>
                <w:rFonts w:ascii="宋体" w:eastAsia="宋体" w:hAnsi="宋体" w:cs="宋体"/>
                <w:b/>
                <w:i w:val="0"/>
                <w:color w:val="000000"/>
                <w:sz w:val="25"/>
              </w:rPr>
              <w:t xml:space="preserve">0.90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57.11</w:t>
            </w:r>
          </w:p>
        </w:tc>
        <w:tc>
          <w:tcPr>
            <w:tcW w:w="2700" w:type="dxa"/>
            <w:tcBorders/>
            <w:vAlign w:val="center"/>
          </w:tcPr>
          <w:p>
            <w:pPr>
              <w:jc w:val="right"/>
            </w:pPr>
            <w:r>
              <w:rPr>
                <w:rFonts w:ascii="宋体" w:eastAsia="宋体" w:hAnsi="宋体" w:cs="宋体"/>
                <w:b w:val="0"/>
                <w:i w:val="0"/>
                <w:color w:val="000000"/>
                <w:sz w:val="25"/>
              </w:rPr>
              <w:t xml:space="preserve">57.11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5.77</w:t>
            </w:r>
          </w:p>
        </w:tc>
        <w:tc>
          <w:tcPr>
            <w:tcW w:w="2700" w:type="dxa"/>
            <w:tcBorders/>
            <w:vAlign w:val="center"/>
          </w:tcPr>
          <w:p>
            <w:pPr>
              <w:jc w:val="right"/>
            </w:pPr>
            <w:r>
              <w:rPr>
                <w:rFonts w:ascii="宋体" w:eastAsia="宋体" w:hAnsi="宋体" w:cs="宋体"/>
                <w:b w:val="0"/>
                <w:i w:val="0"/>
                <w:color w:val="000000"/>
                <w:sz w:val="25"/>
              </w:rPr>
              <w:t xml:space="preserve">5.77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5.77</w:t>
            </w:r>
          </w:p>
        </w:tc>
        <w:tc>
          <w:tcPr>
            <w:tcW w:w="2700" w:type="dxa"/>
            <w:tcBorders/>
            <w:vAlign w:val="center"/>
          </w:tcPr>
          <w:p>
            <w:pPr>
              <w:jc w:val="right"/>
            </w:pPr>
            <w:r>
              <w:rPr>
                <w:rFonts w:ascii="宋体" w:eastAsia="宋体" w:hAnsi="宋体" w:cs="宋体"/>
                <w:b w:val="0"/>
                <w:i w:val="0"/>
                <w:color w:val="000000"/>
                <w:sz w:val="25"/>
              </w:rPr>
              <w:t xml:space="preserve">5.77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51.34</w:t>
            </w:r>
          </w:p>
        </w:tc>
        <w:tc>
          <w:tcPr>
            <w:tcW w:w="2700" w:type="dxa"/>
            <w:tcBorders/>
            <w:vAlign w:val="center"/>
          </w:tcPr>
          <w:p>
            <w:pPr>
              <w:jc w:val="right"/>
            </w:pPr>
            <w:r>
              <w:rPr>
                <w:rFonts w:ascii="宋体" w:eastAsia="宋体" w:hAnsi="宋体" w:cs="宋体"/>
                <w:b w:val="0"/>
                <w:i w:val="0"/>
                <w:color w:val="000000"/>
                <w:sz w:val="25"/>
              </w:rPr>
              <w:t xml:space="preserve">51.34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51.34</w:t>
            </w:r>
          </w:p>
        </w:tc>
        <w:tc>
          <w:tcPr>
            <w:tcW w:w="2700" w:type="dxa"/>
            <w:tcBorders/>
            <w:vAlign w:val="center"/>
          </w:tcPr>
          <w:p>
            <w:pPr>
              <w:jc w:val="right"/>
            </w:pPr>
            <w:r>
              <w:rPr>
                <w:rFonts w:ascii="宋体" w:eastAsia="宋体" w:hAnsi="宋体" w:cs="宋体"/>
                <w:b w:val="0"/>
                <w:i w:val="0"/>
                <w:color w:val="000000"/>
                <w:sz w:val="25"/>
              </w:rPr>
              <w:t xml:space="preserve">51.34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1,152.77</w:t>
            </w:r>
          </w:p>
        </w:tc>
        <w:tc>
          <w:tcPr>
            <w:tcW w:w="2700" w:type="dxa"/>
            <w:tcBorders/>
            <w:vAlign w:val="center"/>
          </w:tcPr>
          <w:p>
            <w:pPr>
              <w:jc w:val="right"/>
            </w:pPr>
            <w:r>
              <w:rPr>
                <w:rFonts w:ascii="宋体" w:eastAsia="宋体" w:hAnsi="宋体" w:cs="宋体"/>
                <w:b w:val="0"/>
                <w:i w:val="0"/>
                <w:color w:val="000000"/>
                <w:sz w:val="25"/>
              </w:rPr>
              <w:t xml:space="preserve">1,152.77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1,152.77</w:t>
            </w:r>
          </w:p>
        </w:tc>
        <w:tc>
          <w:tcPr>
            <w:tcW w:w="2700" w:type="dxa"/>
            <w:tcBorders/>
            <w:vAlign w:val="center"/>
          </w:tcPr>
          <w:p>
            <w:pPr>
              <w:jc w:val="right"/>
            </w:pPr>
            <w:r>
              <w:rPr>
                <w:rFonts w:ascii="宋体" w:eastAsia="宋体" w:hAnsi="宋体" w:cs="宋体"/>
                <w:b w:val="0"/>
                <w:i w:val="0"/>
                <w:color w:val="000000"/>
                <w:sz w:val="25"/>
              </w:rPr>
              <w:t xml:space="preserve">1,152.77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文化和旅游市场管理</w:t>
            </w:r>
          </w:p>
        </w:tc>
        <w:tc>
          <w:tcPr>
            <w:tcW w:w="2700" w:type="dxa"/>
            <w:tcBorders/>
            <w:vAlign w:val="center"/>
          </w:tcPr>
          <w:p>
            <w:pPr>
              <w:jc w:val="right"/>
            </w:pPr>
            <w:r>
              <w:rPr>
                <w:rFonts w:ascii="宋体" w:eastAsia="宋体" w:hAnsi="宋体" w:cs="宋体"/>
                <w:b w:val="0"/>
                <w:i w:val="0"/>
                <w:color w:val="000000"/>
                <w:sz w:val="25"/>
              </w:rPr>
              <w:t xml:space="preserve">1,152.77</w:t>
            </w:r>
          </w:p>
        </w:tc>
        <w:tc>
          <w:tcPr>
            <w:tcW w:w="2700" w:type="dxa"/>
            <w:tcBorders/>
            <w:vAlign w:val="center"/>
          </w:tcPr>
          <w:p>
            <w:pPr>
              <w:jc w:val="right"/>
            </w:pPr>
            <w:r>
              <w:rPr>
                <w:rFonts w:ascii="宋体" w:eastAsia="宋体" w:hAnsi="宋体" w:cs="宋体"/>
                <w:b w:val="0"/>
                <w:i w:val="0"/>
                <w:color w:val="000000"/>
                <w:sz w:val="25"/>
              </w:rPr>
              <w:t xml:space="preserve">1,152.77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149.37</w:t>
            </w:r>
          </w:p>
        </w:tc>
        <w:tc>
          <w:tcPr>
            <w:tcW w:w="2700" w:type="dxa"/>
            <w:tcBorders/>
            <w:vAlign w:val="center"/>
          </w:tcPr>
          <w:p>
            <w:pPr>
              <w:jc w:val="right"/>
            </w:pPr>
            <w:r>
              <w:rPr>
                <w:rFonts w:ascii="宋体" w:eastAsia="宋体" w:hAnsi="宋体" w:cs="宋体"/>
                <w:b w:val="0"/>
                <w:i w:val="0"/>
                <w:color w:val="000000"/>
                <w:sz w:val="25"/>
              </w:rPr>
              <w:t xml:space="preserve">149.37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149.37</w:t>
            </w:r>
          </w:p>
        </w:tc>
        <w:tc>
          <w:tcPr>
            <w:tcW w:w="2700" w:type="dxa"/>
            <w:tcBorders/>
            <w:vAlign w:val="center"/>
          </w:tcPr>
          <w:p>
            <w:pPr>
              <w:jc w:val="right"/>
            </w:pPr>
            <w:r>
              <w:rPr>
                <w:rFonts w:ascii="宋体" w:eastAsia="宋体" w:hAnsi="宋体" w:cs="宋体"/>
                <w:b w:val="0"/>
                <w:i w:val="0"/>
                <w:color w:val="000000"/>
                <w:sz w:val="25"/>
              </w:rPr>
              <w:t xml:space="preserve">149.37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81.52</w:t>
            </w:r>
          </w:p>
        </w:tc>
        <w:tc>
          <w:tcPr>
            <w:tcW w:w="2700" w:type="dxa"/>
            <w:tcBorders/>
            <w:vAlign w:val="center"/>
          </w:tcPr>
          <w:p>
            <w:pPr>
              <w:jc w:val="right"/>
            </w:pPr>
            <w:r>
              <w:rPr>
                <w:rFonts w:ascii="宋体" w:eastAsia="宋体" w:hAnsi="宋体" w:cs="宋体"/>
                <w:b w:val="0"/>
                <w:i w:val="0"/>
                <w:color w:val="000000"/>
                <w:sz w:val="25"/>
              </w:rPr>
              <w:t xml:space="preserve">81.52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67.85</w:t>
            </w:r>
          </w:p>
        </w:tc>
        <w:tc>
          <w:tcPr>
            <w:tcW w:w="2700" w:type="dxa"/>
            <w:tcBorders/>
            <w:vAlign w:val="center"/>
          </w:tcPr>
          <w:p>
            <w:pPr>
              <w:jc w:val="right"/>
            </w:pPr>
            <w:r>
              <w:rPr>
                <w:rFonts w:ascii="宋体" w:eastAsia="宋体" w:hAnsi="宋体" w:cs="宋体"/>
                <w:b w:val="0"/>
                <w:i w:val="0"/>
                <w:color w:val="000000"/>
                <w:sz w:val="25"/>
              </w:rPr>
              <w:t xml:space="preserve">67.85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69.75</w:t>
            </w:r>
          </w:p>
        </w:tc>
        <w:tc>
          <w:tcPr>
            <w:tcW w:w="2700" w:type="dxa"/>
            <w:tcBorders/>
            <w:vAlign w:val="center"/>
          </w:tcPr>
          <w:p>
            <w:pPr>
              <w:jc w:val="right"/>
            </w:pPr>
            <w:r>
              <w:rPr>
                <w:rFonts w:ascii="宋体" w:eastAsia="宋体" w:hAnsi="宋体" w:cs="宋体"/>
                <w:b w:val="0"/>
                <w:i w:val="0"/>
                <w:color w:val="000000"/>
                <w:sz w:val="25"/>
              </w:rPr>
              <w:t xml:space="preserve">69.75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69.75</w:t>
            </w:r>
          </w:p>
        </w:tc>
        <w:tc>
          <w:tcPr>
            <w:tcW w:w="2700" w:type="dxa"/>
            <w:tcBorders/>
            <w:vAlign w:val="center"/>
          </w:tcPr>
          <w:p>
            <w:pPr>
              <w:jc w:val="right"/>
            </w:pPr>
            <w:r>
              <w:rPr>
                <w:rFonts w:ascii="宋体" w:eastAsia="宋体" w:hAnsi="宋体" w:cs="宋体"/>
                <w:b w:val="0"/>
                <w:i w:val="0"/>
                <w:color w:val="000000"/>
                <w:sz w:val="25"/>
              </w:rPr>
              <w:t xml:space="preserve">69.75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33.72</w:t>
            </w:r>
          </w:p>
        </w:tc>
        <w:tc>
          <w:tcPr>
            <w:tcW w:w="2700" w:type="dxa"/>
            <w:tcBorders/>
            <w:vAlign w:val="center"/>
          </w:tcPr>
          <w:p>
            <w:pPr>
              <w:jc w:val="right"/>
            </w:pPr>
            <w:r>
              <w:rPr>
                <w:rFonts w:ascii="宋体" w:eastAsia="宋体" w:hAnsi="宋体" w:cs="宋体"/>
                <w:b w:val="0"/>
                <w:i w:val="0"/>
                <w:color w:val="000000"/>
                <w:sz w:val="25"/>
              </w:rPr>
              <w:t xml:space="preserve">33.72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36.03</w:t>
            </w:r>
          </w:p>
        </w:tc>
        <w:tc>
          <w:tcPr>
            <w:tcW w:w="2700" w:type="dxa"/>
            <w:tcBorders/>
            <w:vAlign w:val="center"/>
          </w:tcPr>
          <w:p>
            <w:pPr>
              <w:jc w:val="right"/>
            </w:pPr>
            <w:r>
              <w:rPr>
                <w:rFonts w:ascii="宋体" w:eastAsia="宋体" w:hAnsi="宋体" w:cs="宋体"/>
                <w:b w:val="0"/>
                <w:i w:val="0"/>
                <w:color w:val="000000"/>
                <w:sz w:val="25"/>
              </w:rPr>
              <w:t xml:space="preserve">36.03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0.90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62.89</w:t>
            </w:r>
          </w:p>
        </w:tc>
        <w:tc>
          <w:tcPr>
            <w:tcW w:w="2700" w:type="dxa"/>
            <w:tcBorders/>
            <w:vAlign w:val="center"/>
          </w:tcPr>
          <w:p>
            <w:pPr>
              <w:jc w:val="right"/>
            </w:pPr>
            <w:r>
              <w:rPr>
                <w:rFonts w:ascii="宋体" w:eastAsia="宋体" w:hAnsi="宋体" w:cs="宋体"/>
                <w:b w:val="0"/>
                <w:i w:val="0"/>
                <w:color w:val="000000"/>
                <w:sz w:val="25"/>
              </w:rPr>
              <w:t xml:space="preserve">62.89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62.89</w:t>
            </w:r>
          </w:p>
        </w:tc>
        <w:tc>
          <w:tcPr>
            <w:tcW w:w="2700" w:type="dxa"/>
            <w:tcBorders/>
            <w:vAlign w:val="center"/>
          </w:tcPr>
          <w:p>
            <w:pPr>
              <w:jc w:val="right"/>
            </w:pPr>
            <w:r>
              <w:rPr>
                <w:rFonts w:ascii="宋体" w:eastAsia="宋体" w:hAnsi="宋体" w:cs="宋体"/>
                <w:b w:val="0"/>
                <w:i w:val="0"/>
                <w:color w:val="000000"/>
                <w:sz w:val="25"/>
              </w:rPr>
              <w:t xml:space="preserve">62.89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62.89</w:t>
            </w:r>
          </w:p>
        </w:tc>
        <w:tc>
          <w:tcPr>
            <w:tcW w:w="2700" w:type="dxa"/>
            <w:tcBorders/>
            <w:vAlign w:val="center"/>
          </w:tcPr>
          <w:p>
            <w:pPr>
              <w:jc w:val="right"/>
            </w:pPr>
            <w:r>
              <w:rPr>
                <w:rFonts w:ascii="宋体" w:eastAsia="宋体" w:hAnsi="宋体" w:cs="宋体"/>
                <w:b w:val="0"/>
                <w:i w:val="0"/>
                <w:color w:val="000000"/>
                <w:sz w:val="25"/>
              </w:rPr>
              <w:t xml:space="preserve">62.89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1,227.86</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174.75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352.20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61.15</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276.17</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398.31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5.04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5.04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67.85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1.44</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8.15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33.72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36.03</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7.11</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0.70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5.58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62.89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12.09</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84.24</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7.52</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81.52</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2.72</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2.22</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5.77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6.65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1.98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52.87</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1.83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1,312.11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179.79</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单位：许昌市文化市场综合行政执法支队</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1.98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1.98</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1492.80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增加137.46万元，增长10.14%</w:t>
      </w:r>
      <w:r>
        <w:rPr>
          <w:rFonts w:ascii="仿宋" w:eastAsia="仿宋" w:hAnsi="仿宋" w:cs="仿宋" w:hint="eastAsia"/>
          <w:kern w:val="0"/>
          <w:sz w:val="32"/>
          <w:szCs w:val="32"/>
          <w:lang w:val="en-US" w:eastAsia="zh-CN"/>
        </w:rPr>
        <w:t xml:space="preserve">。主要原因是人员工资正常调整。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1492.80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财政拨款收入1492.80万元，占100.00%；上级补助收入0.00万元，占0.00%；事业收入0.00万元，占0.00%；经营收入0.00万元，占0.00%；附属单位上缴收入0.00万元，占0.00%；其他收入0.00万元，占0.00%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1492.80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基本支出1491.90万元，占99.94%；项目支出0.90万元，占0.06%；上缴上级支出0.00万元，占0.00%；经营支出0.00万元，占0.00%；对附属单位补助支出0.00万元，占0.00%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1492.80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增加137.46万元，增长10.14%</w:t>
      </w:r>
      <w:r>
        <w:rPr>
          <w:rFonts w:ascii="仿宋" w:eastAsia="仿宋" w:hAnsi="仿宋" w:cs="仿宋" w:hint="eastAsia"/>
          <w:kern w:val="0"/>
          <w:sz w:val="32"/>
          <w:szCs w:val="32"/>
          <w:lang w:val="en-US" w:eastAsia="zh-CN"/>
        </w:rPr>
        <w:t xml:space="preserve">。主要原因是人员工资正常调整。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1492.80</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增加137.46万元，增长10.14%</w:t>
      </w:r>
      <w:r>
        <w:rPr>
          <w:rFonts w:ascii="仿宋" w:eastAsia="仿宋" w:hAnsi="仿宋" w:cs="仿宋" w:hint="eastAsia"/>
          <w:kern w:val="0"/>
          <w:sz w:val="32"/>
          <w:szCs w:val="32"/>
          <w:lang w:val="en-US" w:eastAsia="zh-CN"/>
        </w:rPr>
        <w:t xml:space="preserve">。主要原因是人员工资正常调整。</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1492.80</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57.11万元，占3.83%；文化旅游体育与传媒支出（类）1152.77万元，占77.22%；社会保障和就业支出（类）149.37万元，占10.01%；卫生健康支出（类）69.75万元，占4.67%；农林水支出（类）0.90万元，占0.06%；住房保障支出（类）62.89万元，占4.21%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1407.15</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1492.80</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106.09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年初预算数为5.77万元，决算数5.77万元,完成年初预算的100.00%，决算数与年初预算数不存在差异。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年初预算数为0.00万元，决算数51.34万元,决算数与年初预算数存在差异的主要原因是追加2021年度平安建设奖。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3.文化旅游体育与传媒支出（类）文化和旅游（款）文化和旅游市场管理（项）</w:t>
      </w:r>
      <w:r>
        <w:rPr>
          <w:rFonts w:ascii="仿宋" w:eastAsia="仿宋" w:hAnsi="仿宋" w:cs="仿宋" w:hint="default"/>
          <w:kern w:val="2"/>
          <w:sz w:val="32"/>
          <w:szCs w:val="32"/>
          <w:lang w:val="en-US" w:eastAsia="zh-CN"/>
        </w:rPr>
        <w:t xml:space="preserve">年初预算数为1080.02万元，决算数1152.77万元,完成年初预算的106.74%，决算数与年初预算数存在差异的主要原因是人员工资正常增长。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年初预算数为61.37万元，决算数81.52万元,完成年初预算的132.83%，决算数与年初预算数存在差异的主要原因是人员正常退休，追加退休人员经费。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年初预算数为68.47万元，决算数67.85万元,完成年初预算的99.09%，决算数与年初预算数存在差异的主要原因是社保缴费基数正常调整。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6.卫生健康支出（类）行政事业单位医疗（款）行政单位医疗（项）</w:t>
      </w:r>
      <w:r>
        <w:rPr>
          <w:rFonts w:ascii="仿宋" w:eastAsia="仿宋" w:hAnsi="仿宋" w:cs="仿宋" w:hint="default"/>
          <w:kern w:val="2"/>
          <w:sz w:val="32"/>
          <w:szCs w:val="32"/>
          <w:lang w:val="en-US" w:eastAsia="zh-CN"/>
        </w:rPr>
        <w:t xml:space="preserve">年初预算数为35.24万元，决算数33.72万元,完成年初预算的95.69%，决算数与年初预算数存在差异的主要原因是医疗保险缴费基数正常调整。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7.卫生健康支出（类）行政事业单位医疗（款）公务员医疗补助（项）</w:t>
      </w:r>
      <w:r>
        <w:rPr>
          <w:rFonts w:ascii="仿宋" w:eastAsia="仿宋" w:hAnsi="仿宋" w:cs="仿宋" w:hint="default"/>
          <w:kern w:val="2"/>
          <w:sz w:val="32"/>
          <w:szCs w:val="32"/>
          <w:lang w:val="en-US" w:eastAsia="zh-CN"/>
        </w:rPr>
        <w:t xml:space="preserve">年初预算数为39.16万元，决算数36.03万元,完成年初预算的92.01%，决算数与年初预算数存在差异的主要原因是公务员医疗保险缴费基数正常调整。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年初预算数为0.00万元，决算数0.90万元,决算数与年初预算数存在差异的主要原因是追加巩固脱贫攻坚调研指导工作下乡补助。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年初预算数为67.12万元，决算数62.89万元,完成年初预算的93.70%，决算数与年初预算数存在差异的主要原因是人员正常退休，住房公积金减少。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1491.90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其中：人员经费1312.11万元，主要包括：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公用经费179.79万元，主要包括：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1.98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1.98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1.98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主要用于公务用车的加油和维修。</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2023年度机关运行经费支出179.79万元，</w:t>
      </w:r>
      <w:r>
        <w:rPr>
          <w:rFonts w:ascii="仿宋" w:eastAsia="仿宋" w:hAnsi="仿宋" w:cs="仿宋" w:hint="eastAsia"/>
          <w:kern w:val="0"/>
          <w:sz w:val="32"/>
          <w:szCs w:val="32"/>
          <w:lang w:val="en-US" w:eastAsia="zh-CN"/>
        </w:rPr>
        <w:t xml:space="preserve">较2022年度下降1.77万元，</w:t>
      </w:r>
      <w:r>
        <w:rPr>
          <w:rFonts w:ascii="仿宋" w:eastAsia="仿宋" w:hAnsi="仿宋" w:cs="仿宋" w:hint="eastAsia"/>
          <w:kern w:val="0"/>
          <w:sz w:val="32"/>
          <w:szCs w:val="32"/>
          <w:lang w:val="en-US" w:eastAsia="zh-CN"/>
        </w:rPr>
        <w:t xml:space="preserve">下降0.97%，</w:t>
      </w:r>
      <w:r>
        <w:rPr>
          <w:rFonts w:ascii="仿宋" w:eastAsia="仿宋" w:hAnsi="仿宋" w:cs="仿宋" w:hint="eastAsia"/>
          <w:kern w:val="0"/>
          <w:sz w:val="32"/>
          <w:szCs w:val="32"/>
          <w:lang w:val="en-US" w:eastAsia="zh-CN"/>
        </w:rPr>
        <w:t xml:space="preserve">主要原因是按照厉行节约要求，压缩办公经费开支。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1492.80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96</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我单位财政资金预算配置合理合规，预算执行严格有序，预算管理规范可控，资金效益合乎预期</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基于项目预期目标的实现程度，我单位对2023年度单位预算项目支出（含单位参与分配的转移支付项目）开展绩效自评，涉及项目0个，项目金额0万元。其中：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2023年度我单位涉及预算项目0个。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从项目绩效自评情况来看，我单位共有0个项目批复了绩效目标，项目金额0万元。</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a692a8c0-0713-4c97-b3ab-bdb927d6f17f"/>
        <w:tblW w:w="15720" w:type="dxa"/>
        <w:jc w:val="center"/>
        <w:tblInd w:w="93" w:type="dxa"/>
        <w:tblLook w:val="04A0" w:firstRow="1" w:lastRow="0" w:firstColumn="1" w:lastColumn="0" w:noHBand="0" w:noVBand="1"/>
      </w:tblPr>
      <w:tblGrid>
        <w:gridCol w:w="1180"/>
        <w:gridCol w:w="1440"/>
        <w:gridCol w:w="1040"/>
        <w:gridCol w:w="880"/>
        <w:gridCol w:w="2360"/>
        <w:gridCol w:w="1500"/>
        <w:gridCol w:w="1900"/>
        <w:gridCol w:w="880"/>
        <w:gridCol w:w="800"/>
        <w:gridCol w:w="1020"/>
        <w:gridCol w:w="1040"/>
        <w:gridCol w:w="1680"/>
      </w:tblGrid>
      <w:tr w:rsidTr="004C396A">
        <w:trPr>
          <w:trHeight w:val="570"/>
          <w:jc w:val="center"/>
        </w:trPr>
        <w:tc>
          <w:tcPr>
            <w:tcW w:w="15720" w:type="dxa"/>
            <w:gridSpan w:val="12"/>
            <w:tcBorders>
              <w:top w:val="nil"/>
              <w:left w:val="nil"/>
              <w:bottom w:val="nil"/>
              <w:right w:val="nil"/>
            </w:tcBorders>
            <w:shd w:val="clear" w:color="auto" w:fill="auto"/>
            <w:vAlign w:val="center"/>
            <w:hideMark/>
          </w:tcPr>
          <w:p>
            <w:pPr>
              <w:pStyle w:val="Normal_5a58a650-1121-40b1-8352-6ca4888e7f7c"/>
              <w:widowControl/>
              <w:jc w:val="center"/>
              <w:rPr>
                <w:rFonts w:ascii="宋体" w:eastAsia="宋体" w:hAnsi="宋体" w:cs="宋体"/>
                <w:b/>
                <w:bCs/>
                <w:kern w:val="0"/>
                <w:sz w:val="38"/>
                <w:szCs w:val="38"/>
              </w:rPr>
            </w:pPr>
            <w:r w:rsidRPr="004C396A">
              <w:rPr>
                <w:rFonts w:ascii="宋体" w:eastAsia="宋体" w:hAnsi="宋体" w:cs="宋体" w:hint="eastAsia"/>
                <w:b/>
                <w:bCs/>
                <w:kern w:val="0"/>
                <w:sz w:val="38"/>
                <w:szCs w:val="38"/>
              </w:rPr>
              <w:t xml:space="preserve">单位整体自评表</w:t>
            </w:r>
          </w:p>
        </w:tc>
      </w:tr>
      <w:tr w:rsidTr="004C396A">
        <w:trPr>
          <w:trHeight w:val="285"/>
          <w:jc w:val="center"/>
        </w:trPr>
        <w:tc>
          <w:tcPr>
            <w:tcW w:w="4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单位名称</w:t>
            </w:r>
          </w:p>
        </w:tc>
        <w:tc>
          <w:tcPr>
            <w:tcW w:w="11180" w:type="dxa"/>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许昌市文化市场综合行政执法支队</w:t>
            </w:r>
          </w:p>
        </w:tc>
      </w:tr>
      <w:tr w:rsidTr="004C396A">
        <w:trPr>
          <w:trHeight w:val="285"/>
          <w:jc w:val="center"/>
        </w:trPr>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部门整体支出情况</w:t>
            </w: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年初预算数</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全年预算数</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全年执行数</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分值</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执行率</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得分</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单位预算总额（万元）</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AE1BB2">
              <w:rPr>
                <w:rFonts w:ascii="宋体" w:eastAsia="宋体" w:hAnsi="宋体" w:cs="宋体"/>
                <w:kern w:val="0"/>
                <w:sz w:val="18"/>
                <w:szCs w:val="18"/>
              </w:rPr>
              <w:t xml:space="preserve">1357.15</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AE1BB2">
              <w:rPr>
                <w:rFonts w:ascii="宋体" w:eastAsia="宋体" w:hAnsi="宋体" w:cs="宋体"/>
                <w:kern w:val="0"/>
                <w:sz w:val="18"/>
                <w:szCs w:val="18"/>
              </w:rPr>
              <w:t xml:space="preserve">1357.15</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1492.8</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110.00</w:t>
            </w:r>
            <w:r w:rsidRPr="004C396A" w:rsidR="004C396A">
              <w:rPr>
                <w:rFonts w:ascii="宋体" w:eastAsia="宋体" w:hAnsi="宋体" w:cs="宋体" w:hint="eastAsia"/>
                <w:kern w:val="0"/>
                <w:sz w:val="18"/>
                <w:szCs w:val="18"/>
              </w:rPr>
              <w:t xml:space="preserve">%</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9</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资金来源：（1）政府预算资金</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AE1BB2">
              <w:rPr>
                <w:rFonts w:ascii="宋体" w:eastAsia="宋体" w:hAnsi="宋体" w:cs="宋体"/>
                <w:kern w:val="0"/>
                <w:sz w:val="18"/>
                <w:szCs w:val="18"/>
              </w:rPr>
              <w:t xml:space="preserve">1357.15</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AE1BB2">
              <w:rPr>
                <w:rFonts w:ascii="宋体" w:eastAsia="宋体" w:hAnsi="宋体" w:cs="宋体"/>
                <w:kern w:val="0"/>
                <w:sz w:val="18"/>
                <w:szCs w:val="18"/>
              </w:rPr>
              <w:t xml:space="preserve">1357.15</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1492.8</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r w:rsidR="00AE1BB2">
              <w:rPr>
                <w:rFonts w:ascii="宋体" w:eastAsia="宋体" w:hAnsi="宋体" w:cs="宋体" w:hint="eastAsia"/>
                <w:kern w:val="0"/>
                <w:sz w:val="18"/>
                <w:szCs w:val="18"/>
              </w:rPr>
              <w:t xml:space="preserve">10.00</w:t>
            </w:r>
            <w:r w:rsidRPr="004C396A">
              <w:rPr>
                <w:rFonts w:ascii="宋体" w:eastAsia="宋体" w:hAnsi="宋体" w:cs="宋体" w:hint="eastAsia"/>
                <w:kern w:val="0"/>
                <w:sz w:val="18"/>
                <w:szCs w:val="18"/>
              </w:rPr>
              <w:t xml:space="preserve">%</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     （2）财政专户管理资金</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336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     （3）单位资金</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w:t>
            </w:r>
          </w:p>
        </w:tc>
      </w:tr>
      <w:tr w:rsidTr="004C396A">
        <w:trPr>
          <w:trHeight w:val="285"/>
          <w:jc w:val="center"/>
        </w:trPr>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年度履职目标</w:t>
            </w:r>
          </w:p>
        </w:tc>
        <w:tc>
          <w:tcPr>
            <w:tcW w:w="7220" w:type="dxa"/>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预期目标</w:t>
            </w:r>
          </w:p>
        </w:tc>
        <w:tc>
          <w:tcPr>
            <w:tcW w:w="73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实际完成情况</w:t>
            </w:r>
          </w:p>
        </w:tc>
      </w:tr>
      <w:tr w:rsidTr="004C396A">
        <w:trPr>
          <w:trHeight w:val="97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7220" w:type="dxa"/>
            <w:gridSpan w:val="5"/>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贯彻执行国家有关法规规章，行使文化、文物、出版、广播电视、电影、旅游市场等六大市场领域的行政执法职责，保障市区文化、新闻出版、旅游市场的繁荣稳定，稳步提升执法队伍整体素质和行业形象</w:t>
            </w:r>
          </w:p>
        </w:tc>
        <w:tc>
          <w:tcPr>
            <w:tcW w:w="73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合理有效的完成了年度总目标和主要任务。</w:t>
            </w:r>
          </w:p>
        </w:tc>
      </w:tr>
      <w:tr w:rsidTr="004C396A">
        <w:trPr>
          <w:trHeight w:val="285"/>
          <w:jc w:val="center"/>
        </w:trPr>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年度主要任务</w:t>
            </w:r>
          </w:p>
        </w:tc>
        <w:tc>
          <w:tcPr>
            <w:tcW w:w="248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任务名称</w:t>
            </w:r>
          </w:p>
        </w:tc>
        <w:tc>
          <w:tcPr>
            <w:tcW w:w="474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主要内容</w:t>
            </w:r>
          </w:p>
        </w:tc>
        <w:tc>
          <w:tcPr>
            <w:tcW w:w="73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实际完成情况</w:t>
            </w:r>
          </w:p>
        </w:tc>
      </w:tr>
      <w:tr w:rsidTr="004C396A">
        <w:trPr>
          <w:trHeight w:val="1129"/>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color w:val="000000"/>
                <w:kern w:val="0"/>
                <w:sz w:val="18"/>
                <w:szCs w:val="18"/>
              </w:rPr>
            </w:pPr>
            <w:r w:rsidRPr="004C396A">
              <w:rPr>
                <w:rFonts w:ascii="宋体" w:eastAsia="宋体" w:hAnsi="宋体" w:cs="宋体" w:hint="eastAsia"/>
                <w:color w:val="000000"/>
                <w:kern w:val="0"/>
                <w:sz w:val="18"/>
                <w:szCs w:val="18"/>
              </w:rPr>
              <w:t xml:space="preserve">承担城区文化市场综合行政执法工作</w:t>
            </w:r>
          </w:p>
        </w:tc>
        <w:tc>
          <w:tcPr>
            <w:tcW w:w="474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贯彻执行国家有关法律法规规章，以市文化广电和旅游局名义统一行使文化、文物、出版、广播电视、电影、旅游市场“六大”市场领域的行政执法职责，具体承担城区文化市场综合行政执法工作</w:t>
            </w:r>
          </w:p>
        </w:tc>
        <w:tc>
          <w:tcPr>
            <w:tcW w:w="73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已完成</w:t>
            </w:r>
          </w:p>
        </w:tc>
      </w:tr>
      <w:tr w:rsidTr="004C396A">
        <w:trPr>
          <w:trHeight w:val="870"/>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color w:val="000000"/>
                <w:kern w:val="0"/>
                <w:sz w:val="18"/>
                <w:szCs w:val="18"/>
              </w:rPr>
            </w:pPr>
            <w:r w:rsidRPr="004C396A">
              <w:rPr>
                <w:rFonts w:ascii="宋体" w:eastAsia="宋体" w:hAnsi="宋体" w:cs="宋体" w:hint="eastAsia"/>
                <w:color w:val="000000"/>
                <w:kern w:val="0"/>
                <w:sz w:val="18"/>
                <w:szCs w:val="18"/>
              </w:rPr>
              <w:t xml:space="preserve">受理“六大”市场领域 的各类举报</w:t>
            </w:r>
          </w:p>
        </w:tc>
        <w:tc>
          <w:tcPr>
            <w:tcW w:w="474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组织、协调、指导各县（市）综合行政执法、大案要案督办、跨区域重大案件查处等，承担上级督办、交办、同级转办的案件；受理“六大”市场领域 的各类举报；</w:t>
            </w:r>
          </w:p>
        </w:tc>
        <w:tc>
          <w:tcPr>
            <w:tcW w:w="73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已完成</w:t>
            </w:r>
          </w:p>
        </w:tc>
      </w:tr>
      <w:tr w:rsidTr="004C396A">
        <w:trPr>
          <w:trHeight w:val="1770"/>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color w:val="000000"/>
                <w:kern w:val="0"/>
                <w:sz w:val="18"/>
                <w:szCs w:val="18"/>
              </w:rPr>
            </w:pPr>
            <w:r w:rsidRPr="004C396A">
              <w:rPr>
                <w:rFonts w:ascii="宋体" w:eastAsia="宋体" w:hAnsi="宋体" w:cs="宋体" w:hint="eastAsia"/>
                <w:color w:val="000000"/>
                <w:kern w:val="0"/>
                <w:sz w:val="18"/>
                <w:szCs w:val="18"/>
              </w:rPr>
              <w:t xml:space="preserve">指导和加强全市文化市场综合行政执法队伍规范化建设和行风建设</w:t>
            </w:r>
          </w:p>
        </w:tc>
        <w:tc>
          <w:tcPr>
            <w:tcW w:w="4740"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指导和加强全市文化市场综合行政执法队伍规范化 建设和行风建设；负责开展文化市场综合行政执法法治普法宣传，加强法治化建设，制定工作制度和行为规范，实行行政执法事项清单管理制度，并依法及时动态调整；负责全市文化市场综合行政执法人员业务培训，组织开展岗位练兵、技能竞赛活动；承担“扫黄打非”有关工作任务；</w:t>
            </w:r>
          </w:p>
        </w:tc>
        <w:tc>
          <w:tcPr>
            <w:tcW w:w="73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已完成</w:t>
            </w:r>
          </w:p>
        </w:tc>
      </w:tr>
      <w:tr w:rsidTr="004C396A">
        <w:trPr>
          <w:trHeight w:val="285"/>
          <w:jc w:val="center"/>
        </w:trPr>
        <w:tc>
          <w:tcPr>
            <w:tcW w:w="1180" w:type="dxa"/>
            <w:tcBorders>
              <w:top w:val="nil"/>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一级指标</w:t>
            </w:r>
          </w:p>
        </w:tc>
        <w:tc>
          <w:tcPr>
            <w:tcW w:w="1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二级指标</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三级指标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年度指标值</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实际完成值</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分值</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得分</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偏差度</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偏差原因分析及改进措施</w:t>
            </w:r>
          </w:p>
        </w:tc>
      </w:tr>
      <w:tr w:rsidTr="004C396A">
        <w:trPr>
          <w:trHeight w:val="285"/>
          <w:jc w:val="center"/>
        </w:trPr>
        <w:tc>
          <w:tcPr>
            <w:tcW w:w="118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绩效指标</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投入管理指标</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工作目标管理</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年度履职目标相关性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相关</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工作任务科学性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科学</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绩效指标合理性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合理</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预算和财务管理</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预算编制完整性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完整</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专项资金细化率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预算调整率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结转结余率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“三公经费”控制率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政府采购执行率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决算真实性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真实</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资金使用合规性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合规</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管理制度健全性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健全</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预决算信息公开性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公开</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资产管理规范性</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规范</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绩效管理</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绩效目标编制完成率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绩效监控完成率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绩效自评完成率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部门绩效评价完成率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评价结果应用率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产出指标</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重点工作任务完成</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城区行政执法工作完成率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52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 六大市场领域举报受理工作完成率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5</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5</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540"/>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 执法队伍规范化建设工作完成率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5</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5</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履职目标实现</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文化市场繁荣稳定实现率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受理案件办理率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2</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28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技能练兵参与率</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≥90%</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r w:rsidTr="004C396A">
        <w:trPr>
          <w:trHeight w:val="600"/>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效益指标</w:t>
            </w:r>
          </w:p>
        </w:tc>
        <w:tc>
          <w:tcPr>
            <w:tcW w:w="1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履职效益</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社会公众满意度</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≥98%</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15</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14</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继续加大服务型执法力度，力争达到社会公众满意</w:t>
            </w:r>
          </w:p>
        </w:tc>
      </w:tr>
      <w:tr w:rsidTr="004C396A">
        <w:trPr>
          <w:trHeight w:val="64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满意度</w:t>
            </w: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 服务对象满意度</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≥98%</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继续加大服务型执法力度，力争服务对象满意</w:t>
            </w:r>
          </w:p>
        </w:tc>
      </w:tr>
      <w:tr w:rsidTr="004C396A">
        <w:trPr>
          <w:trHeight w:val="645"/>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1920" w:type="dxa"/>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236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群众满意度</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≥98%</w:t>
            </w:r>
          </w:p>
        </w:tc>
        <w:tc>
          <w:tcPr>
            <w:tcW w:w="1900" w:type="dxa"/>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9</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0.00%</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继续加大服务型执法力度，力争群众满意</w:t>
            </w:r>
          </w:p>
        </w:tc>
      </w:tr>
      <w:tr w:rsidTr="004C396A">
        <w:trPr>
          <w:trHeight w:val="450"/>
          <w:jc w:val="center"/>
        </w:trPr>
        <w:tc>
          <w:tcPr>
            <w:tcW w:w="1180" w:type="dxa"/>
            <w:vMerge/>
            <w:tcBorders>
              <w:top w:val="nil"/>
              <w:left w:val="single" w:sz="4" w:space="0" w:color="000000"/>
              <w:bottom w:val="single" w:sz="4" w:space="0" w:color="000000"/>
              <w:right w:val="single" w:sz="4" w:space="0" w:color="000000"/>
            </w:tcBorders>
            <w:vAlign w:val="center"/>
            <w:hideMark/>
          </w:tcPr>
          <w:p>
            <w:pPr>
              <w:pStyle w:val="Normal_5a58a650-1121-40b1-8352-6ca4888e7f7c"/>
              <w:widowControl/>
              <w:jc w:val="left"/>
              <w:rPr>
                <w:rFonts w:ascii="宋体" w:eastAsia="宋体" w:hAnsi="宋体" w:cs="宋体"/>
                <w:kern w:val="0"/>
                <w:sz w:val="18"/>
                <w:szCs w:val="18"/>
              </w:rPr>
            </w:pPr>
          </w:p>
        </w:tc>
        <w:tc>
          <w:tcPr>
            <w:tcW w:w="9120" w:type="dxa"/>
            <w:gridSpan w:val="6"/>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总分</w:t>
            </w:r>
          </w:p>
        </w:tc>
        <w:tc>
          <w:tcPr>
            <w:tcW w:w="88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sidRPr="004C396A">
              <w:rPr>
                <w:rFonts w:ascii="宋体" w:eastAsia="宋体" w:hAnsi="宋体" w:cs="宋体" w:hint="eastAsia"/>
                <w:kern w:val="0"/>
                <w:sz w:val="18"/>
                <w:szCs w:val="18"/>
              </w:rPr>
              <w:t xml:space="preserve">100</w:t>
            </w:r>
          </w:p>
        </w:tc>
        <w:tc>
          <w:tcPr>
            <w:tcW w:w="80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96</w:t>
            </w:r>
          </w:p>
        </w:tc>
        <w:tc>
          <w:tcPr>
            <w:tcW w:w="1020" w:type="dxa"/>
            <w:tcBorders>
              <w:top w:val="nil"/>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5a58a650-1121-40b1-8352-6ca4888e7f7c"/>
              <w:widowControl/>
              <w:jc w:val="left"/>
              <w:rPr>
                <w:rFonts w:ascii="宋体" w:eastAsia="宋体" w:hAnsi="宋体" w:cs="宋体"/>
                <w:kern w:val="0"/>
                <w:sz w:val="18"/>
                <w:szCs w:val="18"/>
              </w:rPr>
            </w:pPr>
            <w:r w:rsidRPr="004C396A">
              <w:rPr>
                <w:rFonts w:ascii="宋体" w:eastAsia="宋体" w:hAnsi="宋体" w:cs="宋体" w:hint="eastAsia"/>
                <w:kern w:val="0"/>
                <w:sz w:val="18"/>
                <w:szCs w:val="18"/>
              </w:rPr>
              <w:t xml:space="preserve">　</w:t>
            </w:r>
          </w:p>
        </w:tc>
      </w:tr>
    </w:tbl>
    <w:p>
      <w:pPr>
        <w:pStyle w:val="Normal_5a58a650-1121-40b1-8352-6ca4888e7f7c"/>
        <w:rPr/>
        <w:sectPr>
          <w:pgSz w:w="16838" w:h="11906" w:orient="landscape"/>
          <w:pgMar w:top="1800" w:right="1440" w:bottom="1800" w:left="1440" w:header="851" w:footer="992" w:gutter="0"/>
          <w:cols w:num="1" w:space="425">
            <w:col w:w="13958" w:space="425"/>
          </w:cols>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66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a58a650-1121-40b1-8352-6ca4888e7f7c">
    <w:name w:val="Normal_5a58a650-1121-40b1-8352-6ca4888e7f7c"/>
    <w:qFormat/>
    <w:rsid w:val="00297606"/>
    <w:pPr>
      <w:widowControl w:val="0"/>
      <w:jc w:val="both"/>
    </w:pPr>
    <w:rPr/>
  </w:style>
  <w:style w:type="table" w:styleId="NormalTable_a692a8c0-0713-4c97-b3ab-bdb927d6f17f">
    <w:name w:val="Normal Table_a692a8c0-0713-4c97-b3ab-bdb927d6f17f"/>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