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许昌市政府投资项目代建制工作中心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许昌市政府投资项目代建制工作中心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许昌市政府投资项目代建制工作中心概况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（一）为市政府投资项目监管提供协调服务。</w:t>
        <w:br/>
        <w:t xml:space="preserve">    （二）政府投资项目监督管理保障 政府委托投资项目监督检查  全市政府投资项目代建制组织实施。</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许昌市政府投资项目代建制工作中心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综合科、管理科、工程科 </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许昌市政府投资项目代建制工作中心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1.许昌市政府投资项目代建制工作中心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单位：许昌市政府投资项目代建制工作中心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100.16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0.48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6.40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5.31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83.02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4.95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100.16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100.16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100.16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100.16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单位：许昌市政府投资项目代建制工作中心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100.16</w:t>
            </w:r>
          </w:p>
        </w:tc>
        <w:tc>
          <w:tcPr>
            <w:tcW w:w="1440" w:type="dxa"/>
            <w:tcBorders/>
            <w:vAlign w:val="center"/>
          </w:tcPr>
          <w:p>
            <w:pPr>
              <w:jc w:val="right"/>
            </w:pPr>
            <w:r>
              <w:rPr>
                <w:rFonts w:ascii="宋体" w:eastAsia="宋体" w:hAnsi="宋体" w:cs="宋体"/>
                <w:b/>
                <w:i w:val="0"/>
                <w:color w:val="000000"/>
                <w:sz w:val="17"/>
              </w:rPr>
              <w:t xml:space="preserve">100.16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0.48</w:t>
            </w:r>
          </w:p>
        </w:tc>
        <w:tc>
          <w:tcPr>
            <w:tcW w:w="1440" w:type="dxa"/>
            <w:tcBorders/>
            <w:vAlign w:val="center"/>
          </w:tcPr>
          <w:p>
            <w:pPr>
              <w:jc w:val="right"/>
            </w:pPr>
            <w:r>
              <w:rPr>
                <w:rFonts w:ascii="宋体" w:eastAsia="宋体" w:hAnsi="宋体" w:cs="宋体"/>
                <w:b w:val="0"/>
                <w:i w:val="0"/>
                <w:color w:val="000000"/>
                <w:sz w:val="17"/>
              </w:rPr>
              <w:t xml:space="preserve">0.48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0.48</w:t>
            </w:r>
          </w:p>
        </w:tc>
        <w:tc>
          <w:tcPr>
            <w:tcW w:w="1440" w:type="dxa"/>
            <w:tcBorders/>
            <w:vAlign w:val="center"/>
          </w:tcPr>
          <w:p>
            <w:pPr>
              <w:jc w:val="right"/>
            </w:pPr>
            <w:r>
              <w:rPr>
                <w:rFonts w:ascii="宋体" w:eastAsia="宋体" w:hAnsi="宋体" w:cs="宋体"/>
                <w:b w:val="0"/>
                <w:i w:val="0"/>
                <w:color w:val="000000"/>
                <w:sz w:val="17"/>
              </w:rPr>
              <w:t xml:space="preserve">0.48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0.48</w:t>
            </w:r>
          </w:p>
        </w:tc>
        <w:tc>
          <w:tcPr>
            <w:tcW w:w="1440" w:type="dxa"/>
            <w:tcBorders/>
            <w:vAlign w:val="center"/>
          </w:tcPr>
          <w:p>
            <w:pPr>
              <w:jc w:val="right"/>
            </w:pPr>
            <w:r>
              <w:rPr>
                <w:rFonts w:ascii="宋体" w:eastAsia="宋体" w:hAnsi="宋体" w:cs="宋体"/>
                <w:b w:val="0"/>
                <w:i w:val="0"/>
                <w:color w:val="000000"/>
                <w:sz w:val="17"/>
              </w:rPr>
              <w:t xml:space="preserve">0.48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1.08</w:t>
            </w:r>
          </w:p>
        </w:tc>
        <w:tc>
          <w:tcPr>
            <w:tcW w:w="1440" w:type="dxa"/>
            <w:tcBorders/>
            <w:vAlign w:val="center"/>
          </w:tcPr>
          <w:p>
            <w:pPr>
              <w:jc w:val="right"/>
            </w:pPr>
            <w:r>
              <w:rPr>
                <w:rFonts w:ascii="宋体" w:eastAsia="宋体" w:hAnsi="宋体" w:cs="宋体"/>
                <w:b w:val="0"/>
                <w:i w:val="0"/>
                <w:color w:val="000000"/>
                <w:sz w:val="17"/>
              </w:rPr>
              <w:t xml:space="preserve">1.08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5.32</w:t>
            </w:r>
          </w:p>
        </w:tc>
        <w:tc>
          <w:tcPr>
            <w:tcW w:w="1440" w:type="dxa"/>
            <w:tcBorders/>
            <w:vAlign w:val="center"/>
          </w:tcPr>
          <w:p>
            <w:pPr>
              <w:jc w:val="right"/>
            </w:pPr>
            <w:r>
              <w:rPr>
                <w:rFonts w:ascii="宋体" w:eastAsia="宋体" w:hAnsi="宋体" w:cs="宋体"/>
                <w:b w:val="0"/>
                <w:i w:val="0"/>
                <w:color w:val="000000"/>
                <w:sz w:val="17"/>
              </w:rPr>
              <w:t xml:space="preserve">5.32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5.31</w:t>
            </w:r>
          </w:p>
        </w:tc>
        <w:tc>
          <w:tcPr>
            <w:tcW w:w="1440" w:type="dxa"/>
            <w:tcBorders/>
            <w:vAlign w:val="center"/>
          </w:tcPr>
          <w:p>
            <w:pPr>
              <w:jc w:val="right"/>
            </w:pPr>
            <w:r>
              <w:rPr>
                <w:rFonts w:ascii="宋体" w:eastAsia="宋体" w:hAnsi="宋体" w:cs="宋体"/>
                <w:b w:val="0"/>
                <w:i w:val="0"/>
                <w:color w:val="000000"/>
                <w:sz w:val="17"/>
              </w:rPr>
              <w:t xml:space="preserve">5.31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5.31</w:t>
            </w:r>
          </w:p>
        </w:tc>
        <w:tc>
          <w:tcPr>
            <w:tcW w:w="1440" w:type="dxa"/>
            <w:tcBorders/>
            <w:vAlign w:val="center"/>
          </w:tcPr>
          <w:p>
            <w:pPr>
              <w:jc w:val="right"/>
            </w:pPr>
            <w:r>
              <w:rPr>
                <w:rFonts w:ascii="宋体" w:eastAsia="宋体" w:hAnsi="宋体" w:cs="宋体"/>
                <w:b w:val="0"/>
                <w:i w:val="0"/>
                <w:color w:val="000000"/>
                <w:sz w:val="17"/>
              </w:rPr>
              <w:t xml:space="preserve">5.31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2.52</w:t>
            </w:r>
          </w:p>
        </w:tc>
        <w:tc>
          <w:tcPr>
            <w:tcW w:w="1440" w:type="dxa"/>
            <w:tcBorders/>
            <w:vAlign w:val="center"/>
          </w:tcPr>
          <w:p>
            <w:pPr>
              <w:jc w:val="right"/>
            </w:pPr>
            <w:r>
              <w:rPr>
                <w:rFonts w:ascii="宋体" w:eastAsia="宋体" w:hAnsi="宋体" w:cs="宋体"/>
                <w:b w:val="0"/>
                <w:i w:val="0"/>
                <w:color w:val="000000"/>
                <w:sz w:val="17"/>
              </w:rPr>
              <w:t xml:space="preserve">2.52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2.80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83.02</w:t>
            </w:r>
          </w:p>
        </w:tc>
        <w:tc>
          <w:tcPr>
            <w:tcW w:w="1440" w:type="dxa"/>
            <w:tcBorders/>
            <w:vAlign w:val="center"/>
          </w:tcPr>
          <w:p>
            <w:pPr>
              <w:jc w:val="right"/>
            </w:pPr>
            <w:r>
              <w:rPr>
                <w:rFonts w:ascii="宋体" w:eastAsia="宋体" w:hAnsi="宋体" w:cs="宋体"/>
                <w:b w:val="0"/>
                <w:i w:val="0"/>
                <w:color w:val="000000"/>
                <w:sz w:val="17"/>
              </w:rPr>
              <w:t xml:space="preserve">83.02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83.02</w:t>
            </w:r>
          </w:p>
        </w:tc>
        <w:tc>
          <w:tcPr>
            <w:tcW w:w="1440" w:type="dxa"/>
            <w:tcBorders/>
            <w:vAlign w:val="center"/>
          </w:tcPr>
          <w:p>
            <w:pPr>
              <w:jc w:val="right"/>
            </w:pPr>
            <w:r>
              <w:rPr>
                <w:rFonts w:ascii="宋体" w:eastAsia="宋体" w:hAnsi="宋体" w:cs="宋体"/>
                <w:b w:val="0"/>
                <w:i w:val="0"/>
                <w:color w:val="000000"/>
                <w:sz w:val="17"/>
              </w:rPr>
              <w:t xml:space="preserve">83.02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83.02</w:t>
            </w:r>
          </w:p>
        </w:tc>
        <w:tc>
          <w:tcPr>
            <w:tcW w:w="1440" w:type="dxa"/>
            <w:tcBorders/>
            <w:vAlign w:val="center"/>
          </w:tcPr>
          <w:p>
            <w:pPr>
              <w:jc w:val="right"/>
            </w:pPr>
            <w:r>
              <w:rPr>
                <w:rFonts w:ascii="宋体" w:eastAsia="宋体" w:hAnsi="宋体" w:cs="宋体"/>
                <w:b w:val="0"/>
                <w:i w:val="0"/>
                <w:color w:val="000000"/>
                <w:sz w:val="17"/>
              </w:rPr>
              <w:t xml:space="preserve">83.02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40" w:type="dxa"/>
            <w:tcBorders/>
            <w:vAlign w:val="center"/>
          </w:tcPr>
          <w:p>
            <w:pPr>
              <w:jc w:val="right"/>
            </w:pPr>
            <w:r>
              <w:rPr>
                <w:rFonts w:ascii="宋体" w:eastAsia="宋体" w:hAnsi="宋体" w:cs="宋体"/>
                <w:b w:val="0"/>
                <w:i w:val="0"/>
                <w:color w:val="000000"/>
                <w:sz w:val="17"/>
              </w:rPr>
              <w:t xml:space="preserve">4.95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单位：许昌市政府投资项目代建制工作中心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100.16</w:t>
            </w:r>
          </w:p>
        </w:tc>
        <w:tc>
          <w:tcPr>
            <w:tcW w:w="1600" w:type="dxa"/>
            <w:tcBorders/>
            <w:vAlign w:val="center"/>
          </w:tcPr>
          <w:p>
            <w:pPr>
              <w:jc w:val="right"/>
            </w:pPr>
            <w:r>
              <w:rPr>
                <w:rFonts w:ascii="宋体" w:eastAsia="宋体" w:hAnsi="宋体" w:cs="宋体"/>
                <w:b/>
                <w:i w:val="0"/>
                <w:color w:val="000000"/>
                <w:sz w:val="19"/>
              </w:rPr>
              <w:t xml:space="preserve">100.16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0.48</w:t>
            </w:r>
          </w:p>
        </w:tc>
        <w:tc>
          <w:tcPr>
            <w:tcW w:w="1600" w:type="dxa"/>
            <w:tcBorders/>
            <w:vAlign w:val="center"/>
          </w:tcPr>
          <w:p>
            <w:pPr>
              <w:jc w:val="right"/>
            </w:pPr>
            <w:r>
              <w:rPr>
                <w:rFonts w:ascii="宋体" w:eastAsia="宋体" w:hAnsi="宋体" w:cs="宋体"/>
                <w:b w:val="0"/>
                <w:i w:val="0"/>
                <w:color w:val="000000"/>
                <w:sz w:val="19"/>
              </w:rPr>
              <w:t xml:space="preserve">0.48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0.48</w:t>
            </w:r>
          </w:p>
        </w:tc>
        <w:tc>
          <w:tcPr>
            <w:tcW w:w="1600" w:type="dxa"/>
            <w:tcBorders/>
            <w:vAlign w:val="center"/>
          </w:tcPr>
          <w:p>
            <w:pPr>
              <w:jc w:val="right"/>
            </w:pPr>
            <w:r>
              <w:rPr>
                <w:rFonts w:ascii="宋体" w:eastAsia="宋体" w:hAnsi="宋体" w:cs="宋体"/>
                <w:b w:val="0"/>
                <w:i w:val="0"/>
                <w:color w:val="000000"/>
                <w:sz w:val="19"/>
              </w:rPr>
              <w:t xml:space="preserve">0.48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0.48</w:t>
            </w:r>
          </w:p>
        </w:tc>
        <w:tc>
          <w:tcPr>
            <w:tcW w:w="1600" w:type="dxa"/>
            <w:tcBorders/>
            <w:vAlign w:val="center"/>
          </w:tcPr>
          <w:p>
            <w:pPr>
              <w:jc w:val="right"/>
            </w:pPr>
            <w:r>
              <w:rPr>
                <w:rFonts w:ascii="宋体" w:eastAsia="宋体" w:hAnsi="宋体" w:cs="宋体"/>
                <w:b w:val="0"/>
                <w:i w:val="0"/>
                <w:color w:val="000000"/>
                <w:sz w:val="19"/>
              </w:rPr>
              <w:t xml:space="preserve">0.48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6.40</w:t>
            </w:r>
          </w:p>
        </w:tc>
        <w:tc>
          <w:tcPr>
            <w:tcW w:w="1600" w:type="dxa"/>
            <w:tcBorders/>
            <w:vAlign w:val="center"/>
          </w:tcPr>
          <w:p>
            <w:pPr>
              <w:jc w:val="right"/>
            </w:pPr>
            <w:r>
              <w:rPr>
                <w:rFonts w:ascii="宋体" w:eastAsia="宋体" w:hAnsi="宋体" w:cs="宋体"/>
                <w:b w:val="0"/>
                <w:i w:val="0"/>
                <w:color w:val="000000"/>
                <w:sz w:val="19"/>
              </w:rPr>
              <w:t xml:space="preserve">6.40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6.40</w:t>
            </w:r>
          </w:p>
        </w:tc>
        <w:tc>
          <w:tcPr>
            <w:tcW w:w="1600" w:type="dxa"/>
            <w:tcBorders/>
            <w:vAlign w:val="center"/>
          </w:tcPr>
          <w:p>
            <w:pPr>
              <w:jc w:val="right"/>
            </w:pPr>
            <w:r>
              <w:rPr>
                <w:rFonts w:ascii="宋体" w:eastAsia="宋体" w:hAnsi="宋体" w:cs="宋体"/>
                <w:b w:val="0"/>
                <w:i w:val="0"/>
                <w:color w:val="000000"/>
                <w:sz w:val="19"/>
              </w:rPr>
              <w:t xml:space="preserve">6.40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1.08</w:t>
            </w:r>
          </w:p>
        </w:tc>
        <w:tc>
          <w:tcPr>
            <w:tcW w:w="1600" w:type="dxa"/>
            <w:tcBorders/>
            <w:vAlign w:val="center"/>
          </w:tcPr>
          <w:p>
            <w:pPr>
              <w:jc w:val="right"/>
            </w:pPr>
            <w:r>
              <w:rPr>
                <w:rFonts w:ascii="宋体" w:eastAsia="宋体" w:hAnsi="宋体" w:cs="宋体"/>
                <w:b w:val="0"/>
                <w:i w:val="0"/>
                <w:color w:val="000000"/>
                <w:sz w:val="19"/>
              </w:rPr>
              <w:t xml:space="preserve">1.08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5.32</w:t>
            </w:r>
          </w:p>
        </w:tc>
        <w:tc>
          <w:tcPr>
            <w:tcW w:w="1600" w:type="dxa"/>
            <w:tcBorders/>
            <w:vAlign w:val="center"/>
          </w:tcPr>
          <w:p>
            <w:pPr>
              <w:jc w:val="right"/>
            </w:pPr>
            <w:r>
              <w:rPr>
                <w:rFonts w:ascii="宋体" w:eastAsia="宋体" w:hAnsi="宋体" w:cs="宋体"/>
                <w:b w:val="0"/>
                <w:i w:val="0"/>
                <w:color w:val="000000"/>
                <w:sz w:val="19"/>
              </w:rPr>
              <w:t xml:space="preserve">5.32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5.31</w:t>
            </w:r>
          </w:p>
        </w:tc>
        <w:tc>
          <w:tcPr>
            <w:tcW w:w="1600" w:type="dxa"/>
            <w:tcBorders/>
            <w:vAlign w:val="center"/>
          </w:tcPr>
          <w:p>
            <w:pPr>
              <w:jc w:val="right"/>
            </w:pPr>
            <w:r>
              <w:rPr>
                <w:rFonts w:ascii="宋体" w:eastAsia="宋体" w:hAnsi="宋体" w:cs="宋体"/>
                <w:b w:val="0"/>
                <w:i w:val="0"/>
                <w:color w:val="000000"/>
                <w:sz w:val="19"/>
              </w:rPr>
              <w:t xml:space="preserve">5.31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5.31</w:t>
            </w:r>
          </w:p>
        </w:tc>
        <w:tc>
          <w:tcPr>
            <w:tcW w:w="1600" w:type="dxa"/>
            <w:tcBorders/>
            <w:vAlign w:val="center"/>
          </w:tcPr>
          <w:p>
            <w:pPr>
              <w:jc w:val="right"/>
            </w:pPr>
            <w:r>
              <w:rPr>
                <w:rFonts w:ascii="宋体" w:eastAsia="宋体" w:hAnsi="宋体" w:cs="宋体"/>
                <w:b w:val="0"/>
                <w:i w:val="0"/>
                <w:color w:val="000000"/>
                <w:sz w:val="19"/>
              </w:rPr>
              <w:t xml:space="preserve">5.31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2.52</w:t>
            </w:r>
          </w:p>
        </w:tc>
        <w:tc>
          <w:tcPr>
            <w:tcW w:w="1600" w:type="dxa"/>
            <w:tcBorders/>
            <w:vAlign w:val="center"/>
          </w:tcPr>
          <w:p>
            <w:pPr>
              <w:jc w:val="right"/>
            </w:pPr>
            <w:r>
              <w:rPr>
                <w:rFonts w:ascii="宋体" w:eastAsia="宋体" w:hAnsi="宋体" w:cs="宋体"/>
                <w:b w:val="0"/>
                <w:i w:val="0"/>
                <w:color w:val="000000"/>
                <w:sz w:val="19"/>
              </w:rPr>
              <w:t xml:space="preserve">2.52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2.80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83.02</w:t>
            </w:r>
          </w:p>
        </w:tc>
        <w:tc>
          <w:tcPr>
            <w:tcW w:w="1600" w:type="dxa"/>
            <w:tcBorders/>
            <w:vAlign w:val="center"/>
          </w:tcPr>
          <w:p>
            <w:pPr>
              <w:jc w:val="right"/>
            </w:pPr>
            <w:r>
              <w:rPr>
                <w:rFonts w:ascii="宋体" w:eastAsia="宋体" w:hAnsi="宋体" w:cs="宋体"/>
                <w:b w:val="0"/>
                <w:i w:val="0"/>
                <w:color w:val="000000"/>
                <w:sz w:val="19"/>
              </w:rPr>
              <w:t xml:space="preserve">83.02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83.02</w:t>
            </w:r>
          </w:p>
        </w:tc>
        <w:tc>
          <w:tcPr>
            <w:tcW w:w="1600" w:type="dxa"/>
            <w:tcBorders/>
            <w:vAlign w:val="center"/>
          </w:tcPr>
          <w:p>
            <w:pPr>
              <w:jc w:val="right"/>
            </w:pPr>
            <w:r>
              <w:rPr>
                <w:rFonts w:ascii="宋体" w:eastAsia="宋体" w:hAnsi="宋体" w:cs="宋体"/>
                <w:b w:val="0"/>
                <w:i w:val="0"/>
                <w:color w:val="000000"/>
                <w:sz w:val="19"/>
              </w:rPr>
              <w:t xml:space="preserve">83.02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83.02</w:t>
            </w:r>
          </w:p>
        </w:tc>
        <w:tc>
          <w:tcPr>
            <w:tcW w:w="1600" w:type="dxa"/>
            <w:tcBorders/>
            <w:vAlign w:val="center"/>
          </w:tcPr>
          <w:p>
            <w:pPr>
              <w:jc w:val="right"/>
            </w:pPr>
            <w:r>
              <w:rPr>
                <w:rFonts w:ascii="宋体" w:eastAsia="宋体" w:hAnsi="宋体" w:cs="宋体"/>
                <w:b w:val="0"/>
                <w:i w:val="0"/>
                <w:color w:val="000000"/>
                <w:sz w:val="19"/>
              </w:rPr>
              <w:t xml:space="preserve">83.02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4.95</w:t>
            </w:r>
          </w:p>
        </w:tc>
        <w:tc>
          <w:tcPr>
            <w:tcW w:w="1600" w:type="dxa"/>
            <w:tcBorders/>
            <w:vAlign w:val="center"/>
          </w:tcPr>
          <w:p>
            <w:pPr>
              <w:jc w:val="right"/>
            </w:pPr>
            <w:r>
              <w:rPr>
                <w:rFonts w:ascii="宋体" w:eastAsia="宋体" w:hAnsi="宋体" w:cs="宋体"/>
                <w:b w:val="0"/>
                <w:i w:val="0"/>
                <w:color w:val="000000"/>
                <w:sz w:val="19"/>
              </w:rPr>
              <w:t xml:space="preserve">4.95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4.95</w:t>
            </w:r>
          </w:p>
        </w:tc>
        <w:tc>
          <w:tcPr>
            <w:tcW w:w="1600" w:type="dxa"/>
            <w:tcBorders/>
            <w:vAlign w:val="center"/>
          </w:tcPr>
          <w:p>
            <w:pPr>
              <w:jc w:val="right"/>
            </w:pPr>
            <w:r>
              <w:rPr>
                <w:rFonts w:ascii="宋体" w:eastAsia="宋体" w:hAnsi="宋体" w:cs="宋体"/>
                <w:b w:val="0"/>
                <w:i w:val="0"/>
                <w:color w:val="000000"/>
                <w:sz w:val="19"/>
              </w:rPr>
              <w:t xml:space="preserve">4.95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4.95</w:t>
            </w:r>
          </w:p>
        </w:tc>
        <w:tc>
          <w:tcPr>
            <w:tcW w:w="1600" w:type="dxa"/>
            <w:tcBorders/>
            <w:vAlign w:val="center"/>
          </w:tcPr>
          <w:p>
            <w:pPr>
              <w:jc w:val="right"/>
            </w:pPr>
            <w:r>
              <w:rPr>
                <w:rFonts w:ascii="宋体" w:eastAsia="宋体" w:hAnsi="宋体" w:cs="宋体"/>
                <w:b w:val="0"/>
                <w:i w:val="0"/>
                <w:color w:val="000000"/>
                <w:sz w:val="19"/>
              </w:rPr>
              <w:t xml:space="preserve">4.95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单位：许昌市政府投资项目代建制工作中心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100.16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0.48</w:t>
            </w:r>
          </w:p>
        </w:tc>
        <w:tc>
          <w:tcPr>
            <w:tcW w:w="1420" w:type="dxa"/>
            <w:tcBorders/>
            <w:vAlign w:val="center"/>
          </w:tcPr>
          <w:p>
            <w:pPr>
              <w:jc w:val="right"/>
            </w:pPr>
            <w:r>
              <w:rPr>
                <w:rFonts w:ascii="宋体" w:eastAsia="宋体" w:hAnsi="宋体" w:cs="宋体"/>
                <w:b w:val="0"/>
                <w:i w:val="0"/>
                <w:color w:val="000000"/>
                <w:sz w:val="18"/>
              </w:rPr>
              <w:t xml:space="preserve">0.48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6.40</w:t>
            </w:r>
          </w:p>
        </w:tc>
        <w:tc>
          <w:tcPr>
            <w:tcW w:w="1420" w:type="dxa"/>
            <w:tcBorders/>
            <w:vAlign w:val="center"/>
          </w:tcPr>
          <w:p>
            <w:pPr>
              <w:jc w:val="right"/>
            </w:pPr>
            <w:r>
              <w:rPr>
                <w:rFonts w:ascii="宋体" w:eastAsia="宋体" w:hAnsi="宋体" w:cs="宋体"/>
                <w:b w:val="0"/>
                <w:i w:val="0"/>
                <w:color w:val="000000"/>
                <w:sz w:val="18"/>
              </w:rPr>
              <w:t xml:space="preserve">6.40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5.31</w:t>
            </w:r>
          </w:p>
        </w:tc>
        <w:tc>
          <w:tcPr>
            <w:tcW w:w="1420" w:type="dxa"/>
            <w:tcBorders/>
            <w:vAlign w:val="center"/>
          </w:tcPr>
          <w:p>
            <w:pPr>
              <w:jc w:val="right"/>
            </w:pPr>
            <w:r>
              <w:rPr>
                <w:rFonts w:ascii="宋体" w:eastAsia="宋体" w:hAnsi="宋体" w:cs="宋体"/>
                <w:b w:val="0"/>
                <w:i w:val="0"/>
                <w:color w:val="000000"/>
                <w:sz w:val="18"/>
              </w:rPr>
              <w:t xml:space="preserve">5.31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83.02</w:t>
            </w:r>
          </w:p>
        </w:tc>
        <w:tc>
          <w:tcPr>
            <w:tcW w:w="1420" w:type="dxa"/>
            <w:tcBorders/>
            <w:vAlign w:val="center"/>
          </w:tcPr>
          <w:p>
            <w:pPr>
              <w:jc w:val="right"/>
            </w:pPr>
            <w:r>
              <w:rPr>
                <w:rFonts w:ascii="宋体" w:eastAsia="宋体" w:hAnsi="宋体" w:cs="宋体"/>
                <w:b w:val="0"/>
                <w:i w:val="0"/>
                <w:color w:val="000000"/>
                <w:sz w:val="18"/>
              </w:rPr>
              <w:t xml:space="preserve">83.02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4.95</w:t>
            </w:r>
          </w:p>
        </w:tc>
        <w:tc>
          <w:tcPr>
            <w:tcW w:w="1420" w:type="dxa"/>
            <w:tcBorders/>
            <w:vAlign w:val="center"/>
          </w:tcPr>
          <w:p>
            <w:pPr>
              <w:jc w:val="right"/>
            </w:pPr>
            <w:r>
              <w:rPr>
                <w:rFonts w:ascii="宋体" w:eastAsia="宋体" w:hAnsi="宋体" w:cs="宋体"/>
                <w:b w:val="0"/>
                <w:i w:val="0"/>
                <w:color w:val="000000"/>
                <w:sz w:val="18"/>
              </w:rPr>
              <w:t xml:space="preserve">4.95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100.16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100.16</w:t>
            </w:r>
          </w:p>
        </w:tc>
        <w:tc>
          <w:tcPr>
            <w:tcW w:w="1420" w:type="dxa"/>
            <w:tcBorders/>
            <w:vAlign w:val="center"/>
          </w:tcPr>
          <w:p>
            <w:pPr>
              <w:jc w:val="right"/>
            </w:pPr>
            <w:r>
              <w:rPr>
                <w:rFonts w:ascii="宋体" w:eastAsia="宋体" w:hAnsi="宋体" w:cs="宋体"/>
                <w:b w:val="0"/>
                <w:i w:val="0"/>
                <w:color w:val="000000"/>
                <w:sz w:val="18"/>
              </w:rPr>
              <w:t xml:space="preserve">100.16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100.16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100.16</w:t>
            </w:r>
          </w:p>
        </w:tc>
        <w:tc>
          <w:tcPr>
            <w:tcW w:w="1420" w:type="dxa"/>
            <w:tcBorders/>
            <w:vAlign w:val="center"/>
          </w:tcPr>
          <w:p>
            <w:pPr>
              <w:jc w:val="right"/>
            </w:pPr>
            <w:r>
              <w:rPr>
                <w:rFonts w:ascii="宋体" w:eastAsia="宋体" w:hAnsi="宋体" w:cs="宋体"/>
                <w:b w:val="0"/>
                <w:i w:val="0"/>
                <w:color w:val="000000"/>
                <w:sz w:val="18"/>
              </w:rPr>
              <w:t xml:space="preserve">100.16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单位：许昌市政府投资项目代建制工作中心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100.16</w:t>
            </w:r>
          </w:p>
        </w:tc>
        <w:tc>
          <w:tcPr>
            <w:tcW w:w="2700" w:type="dxa"/>
            <w:tcBorders/>
            <w:vAlign w:val="center"/>
          </w:tcPr>
          <w:p>
            <w:pPr>
              <w:jc w:val="right"/>
            </w:pPr>
            <w:r>
              <w:rPr>
                <w:rFonts w:ascii="宋体" w:eastAsia="宋体" w:hAnsi="宋体" w:cs="宋体"/>
                <w:b/>
                <w:i w:val="0"/>
                <w:color w:val="000000"/>
                <w:sz w:val="25"/>
              </w:rPr>
              <w:t xml:space="preserve">100.16</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0.48</w:t>
            </w:r>
          </w:p>
        </w:tc>
        <w:tc>
          <w:tcPr>
            <w:tcW w:w="2700" w:type="dxa"/>
            <w:tcBorders/>
            <w:vAlign w:val="center"/>
          </w:tcPr>
          <w:p>
            <w:pPr>
              <w:jc w:val="right"/>
            </w:pPr>
            <w:r>
              <w:rPr>
                <w:rFonts w:ascii="宋体" w:eastAsia="宋体" w:hAnsi="宋体" w:cs="宋体"/>
                <w:b w:val="0"/>
                <w:i w:val="0"/>
                <w:color w:val="000000"/>
                <w:sz w:val="25"/>
              </w:rPr>
              <w:t xml:space="preserve">0.48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0.48</w:t>
            </w:r>
          </w:p>
        </w:tc>
        <w:tc>
          <w:tcPr>
            <w:tcW w:w="2700" w:type="dxa"/>
            <w:tcBorders/>
            <w:vAlign w:val="center"/>
          </w:tcPr>
          <w:p>
            <w:pPr>
              <w:jc w:val="right"/>
            </w:pPr>
            <w:r>
              <w:rPr>
                <w:rFonts w:ascii="宋体" w:eastAsia="宋体" w:hAnsi="宋体" w:cs="宋体"/>
                <w:b w:val="0"/>
                <w:i w:val="0"/>
                <w:color w:val="000000"/>
                <w:sz w:val="25"/>
              </w:rPr>
              <w:t xml:space="preserve">0.48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0.48</w:t>
            </w:r>
          </w:p>
        </w:tc>
        <w:tc>
          <w:tcPr>
            <w:tcW w:w="2700" w:type="dxa"/>
            <w:tcBorders/>
            <w:vAlign w:val="center"/>
          </w:tcPr>
          <w:p>
            <w:pPr>
              <w:jc w:val="right"/>
            </w:pPr>
            <w:r>
              <w:rPr>
                <w:rFonts w:ascii="宋体" w:eastAsia="宋体" w:hAnsi="宋体" w:cs="宋体"/>
                <w:b w:val="0"/>
                <w:i w:val="0"/>
                <w:color w:val="000000"/>
                <w:sz w:val="25"/>
              </w:rPr>
              <w:t xml:space="preserve">0.48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6.40</w:t>
            </w:r>
          </w:p>
        </w:tc>
        <w:tc>
          <w:tcPr>
            <w:tcW w:w="2700" w:type="dxa"/>
            <w:tcBorders/>
            <w:vAlign w:val="center"/>
          </w:tcPr>
          <w:p>
            <w:pPr>
              <w:jc w:val="right"/>
            </w:pPr>
            <w:r>
              <w:rPr>
                <w:rFonts w:ascii="宋体" w:eastAsia="宋体" w:hAnsi="宋体" w:cs="宋体"/>
                <w:b w:val="0"/>
                <w:i w:val="0"/>
                <w:color w:val="000000"/>
                <w:sz w:val="25"/>
              </w:rPr>
              <w:t xml:space="preserve">6.40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6.40</w:t>
            </w:r>
          </w:p>
        </w:tc>
        <w:tc>
          <w:tcPr>
            <w:tcW w:w="2700" w:type="dxa"/>
            <w:tcBorders/>
            <w:vAlign w:val="center"/>
          </w:tcPr>
          <w:p>
            <w:pPr>
              <w:jc w:val="right"/>
            </w:pPr>
            <w:r>
              <w:rPr>
                <w:rFonts w:ascii="宋体" w:eastAsia="宋体" w:hAnsi="宋体" w:cs="宋体"/>
                <w:b w:val="0"/>
                <w:i w:val="0"/>
                <w:color w:val="000000"/>
                <w:sz w:val="25"/>
              </w:rPr>
              <w:t xml:space="preserve">6.40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1.08</w:t>
            </w:r>
          </w:p>
        </w:tc>
        <w:tc>
          <w:tcPr>
            <w:tcW w:w="2700" w:type="dxa"/>
            <w:tcBorders/>
            <w:vAlign w:val="center"/>
          </w:tcPr>
          <w:p>
            <w:pPr>
              <w:jc w:val="right"/>
            </w:pPr>
            <w:r>
              <w:rPr>
                <w:rFonts w:ascii="宋体" w:eastAsia="宋体" w:hAnsi="宋体" w:cs="宋体"/>
                <w:b w:val="0"/>
                <w:i w:val="0"/>
                <w:color w:val="000000"/>
                <w:sz w:val="25"/>
              </w:rPr>
              <w:t xml:space="preserve">1.08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5.32</w:t>
            </w:r>
          </w:p>
        </w:tc>
        <w:tc>
          <w:tcPr>
            <w:tcW w:w="2700" w:type="dxa"/>
            <w:tcBorders/>
            <w:vAlign w:val="center"/>
          </w:tcPr>
          <w:p>
            <w:pPr>
              <w:jc w:val="right"/>
            </w:pPr>
            <w:r>
              <w:rPr>
                <w:rFonts w:ascii="宋体" w:eastAsia="宋体" w:hAnsi="宋体" w:cs="宋体"/>
                <w:b w:val="0"/>
                <w:i w:val="0"/>
                <w:color w:val="000000"/>
                <w:sz w:val="25"/>
              </w:rPr>
              <w:t xml:space="preserve">5.32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5.31</w:t>
            </w:r>
          </w:p>
        </w:tc>
        <w:tc>
          <w:tcPr>
            <w:tcW w:w="2700" w:type="dxa"/>
            <w:tcBorders/>
            <w:vAlign w:val="center"/>
          </w:tcPr>
          <w:p>
            <w:pPr>
              <w:jc w:val="right"/>
            </w:pPr>
            <w:r>
              <w:rPr>
                <w:rFonts w:ascii="宋体" w:eastAsia="宋体" w:hAnsi="宋体" w:cs="宋体"/>
                <w:b w:val="0"/>
                <w:i w:val="0"/>
                <w:color w:val="000000"/>
                <w:sz w:val="25"/>
              </w:rPr>
              <w:t xml:space="preserve">5.31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5.31</w:t>
            </w:r>
          </w:p>
        </w:tc>
        <w:tc>
          <w:tcPr>
            <w:tcW w:w="2700" w:type="dxa"/>
            <w:tcBorders/>
            <w:vAlign w:val="center"/>
          </w:tcPr>
          <w:p>
            <w:pPr>
              <w:jc w:val="right"/>
            </w:pPr>
            <w:r>
              <w:rPr>
                <w:rFonts w:ascii="宋体" w:eastAsia="宋体" w:hAnsi="宋体" w:cs="宋体"/>
                <w:b w:val="0"/>
                <w:i w:val="0"/>
                <w:color w:val="000000"/>
                <w:sz w:val="25"/>
              </w:rPr>
              <w:t xml:space="preserve">5.31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2.52</w:t>
            </w:r>
          </w:p>
        </w:tc>
        <w:tc>
          <w:tcPr>
            <w:tcW w:w="2700" w:type="dxa"/>
            <w:tcBorders/>
            <w:vAlign w:val="center"/>
          </w:tcPr>
          <w:p>
            <w:pPr>
              <w:jc w:val="right"/>
            </w:pPr>
            <w:r>
              <w:rPr>
                <w:rFonts w:ascii="宋体" w:eastAsia="宋体" w:hAnsi="宋体" w:cs="宋体"/>
                <w:b w:val="0"/>
                <w:i w:val="0"/>
                <w:color w:val="000000"/>
                <w:sz w:val="25"/>
              </w:rPr>
              <w:t xml:space="preserve">2.52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2.80</w:t>
            </w:r>
          </w:p>
        </w:tc>
        <w:tc>
          <w:tcPr>
            <w:tcW w:w="2700" w:type="dxa"/>
            <w:tcBorders/>
            <w:vAlign w:val="center"/>
          </w:tcPr>
          <w:p>
            <w:pPr>
              <w:jc w:val="right"/>
            </w:pPr>
            <w:r>
              <w:rPr>
                <w:rFonts w:ascii="宋体" w:eastAsia="宋体" w:hAnsi="宋体" w:cs="宋体"/>
                <w:b w:val="0"/>
                <w:i w:val="0"/>
                <w:color w:val="000000"/>
                <w:sz w:val="25"/>
              </w:rPr>
              <w:t xml:space="preserve">2.80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83.02</w:t>
            </w:r>
          </w:p>
        </w:tc>
        <w:tc>
          <w:tcPr>
            <w:tcW w:w="2700" w:type="dxa"/>
            <w:tcBorders/>
            <w:vAlign w:val="center"/>
          </w:tcPr>
          <w:p>
            <w:pPr>
              <w:jc w:val="right"/>
            </w:pPr>
            <w:r>
              <w:rPr>
                <w:rFonts w:ascii="宋体" w:eastAsia="宋体" w:hAnsi="宋体" w:cs="宋体"/>
                <w:b w:val="0"/>
                <w:i w:val="0"/>
                <w:color w:val="000000"/>
                <w:sz w:val="25"/>
              </w:rPr>
              <w:t xml:space="preserve">83.02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83.02</w:t>
            </w:r>
          </w:p>
        </w:tc>
        <w:tc>
          <w:tcPr>
            <w:tcW w:w="2700" w:type="dxa"/>
            <w:tcBorders/>
            <w:vAlign w:val="center"/>
          </w:tcPr>
          <w:p>
            <w:pPr>
              <w:jc w:val="right"/>
            </w:pPr>
            <w:r>
              <w:rPr>
                <w:rFonts w:ascii="宋体" w:eastAsia="宋体" w:hAnsi="宋体" w:cs="宋体"/>
                <w:b w:val="0"/>
                <w:i w:val="0"/>
                <w:color w:val="000000"/>
                <w:sz w:val="25"/>
              </w:rPr>
              <w:t xml:space="preserve">83.02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83.02</w:t>
            </w:r>
          </w:p>
        </w:tc>
        <w:tc>
          <w:tcPr>
            <w:tcW w:w="2700" w:type="dxa"/>
            <w:tcBorders/>
            <w:vAlign w:val="center"/>
          </w:tcPr>
          <w:p>
            <w:pPr>
              <w:jc w:val="right"/>
            </w:pPr>
            <w:r>
              <w:rPr>
                <w:rFonts w:ascii="宋体" w:eastAsia="宋体" w:hAnsi="宋体" w:cs="宋体"/>
                <w:b w:val="0"/>
                <w:i w:val="0"/>
                <w:color w:val="000000"/>
                <w:sz w:val="25"/>
              </w:rPr>
              <w:t xml:space="preserve">83.02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4.95</w:t>
            </w:r>
          </w:p>
        </w:tc>
        <w:tc>
          <w:tcPr>
            <w:tcW w:w="2700" w:type="dxa"/>
            <w:tcBorders/>
            <w:vAlign w:val="center"/>
          </w:tcPr>
          <w:p>
            <w:pPr>
              <w:jc w:val="right"/>
            </w:pPr>
            <w:r>
              <w:rPr>
                <w:rFonts w:ascii="宋体" w:eastAsia="宋体" w:hAnsi="宋体" w:cs="宋体"/>
                <w:b w:val="0"/>
                <w:i w:val="0"/>
                <w:color w:val="000000"/>
                <w:sz w:val="25"/>
              </w:rPr>
              <w:t xml:space="preserve">4.95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4.95</w:t>
            </w:r>
          </w:p>
        </w:tc>
        <w:tc>
          <w:tcPr>
            <w:tcW w:w="2700" w:type="dxa"/>
            <w:tcBorders/>
            <w:vAlign w:val="center"/>
          </w:tcPr>
          <w:p>
            <w:pPr>
              <w:jc w:val="right"/>
            </w:pPr>
            <w:r>
              <w:rPr>
                <w:rFonts w:ascii="宋体" w:eastAsia="宋体" w:hAnsi="宋体" w:cs="宋体"/>
                <w:b w:val="0"/>
                <w:i w:val="0"/>
                <w:color w:val="000000"/>
                <w:sz w:val="25"/>
              </w:rPr>
              <w:t xml:space="preserve">4.95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4.95</w:t>
            </w:r>
          </w:p>
        </w:tc>
        <w:tc>
          <w:tcPr>
            <w:tcW w:w="2700" w:type="dxa"/>
            <w:tcBorders/>
            <w:vAlign w:val="center"/>
          </w:tcPr>
          <w:p>
            <w:pPr>
              <w:jc w:val="right"/>
            </w:pPr>
            <w:r>
              <w:rPr>
                <w:rFonts w:ascii="宋体" w:eastAsia="宋体" w:hAnsi="宋体" w:cs="宋体"/>
                <w:b w:val="0"/>
                <w:i w:val="0"/>
                <w:color w:val="000000"/>
                <w:sz w:val="25"/>
              </w:rPr>
              <w:t xml:space="preserve">4.95</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单位：许昌市政府投资项目代建制工作中心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89.91</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9.18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21.09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0.46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17.90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34.87</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5.32</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0.29</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2.52</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2.80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4.95</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0.19</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0.42</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1.08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1.08</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4.09</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2.36</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0.59</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0.57</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0.15</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90.99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9.18</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单位：许昌市政府投资项目代建制工作中心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单位：许昌市政府投资项目代建制工作中心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单位：许昌市政府投资项目代建制工作中心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0.57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0.57</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0.57</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100.16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减少11.85万元，下降10.58%</w:t>
      </w:r>
      <w:r>
        <w:rPr>
          <w:rFonts w:ascii="仿宋" w:eastAsia="仿宋" w:hAnsi="仿宋" w:cs="仿宋" w:hint="eastAsia"/>
          <w:kern w:val="0"/>
          <w:sz w:val="32"/>
          <w:szCs w:val="32"/>
          <w:lang w:val="en-US" w:eastAsia="zh-CN"/>
        </w:rPr>
        <w:t xml:space="preserve">。主要原因是本年度退休1人，收支相应减少。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100.16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财政拨款收入100.16万元，占100.00%；上级补助收入0.00万元，占0.00%；事业收入0.00万元，占0.00%；经营收入0.00万元，占0.00%；附属单位上缴收入0.00万元，占0.00%；其他收入0.00万元，占0.00%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100.16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基本支出100.16万元，占100.00%；项目支出0.00万元，占0.00%；上缴上级支出0.00万元，占0.00%；经营支出0.00万元，占0.00%；对附属单位补助支出0.00万元，占0.00%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100.16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减少11.85万元，下降10.58%</w:t>
      </w:r>
      <w:r>
        <w:rPr>
          <w:rFonts w:ascii="仿宋" w:eastAsia="仿宋" w:hAnsi="仿宋" w:cs="仿宋" w:hint="eastAsia"/>
          <w:kern w:val="0"/>
          <w:sz w:val="32"/>
          <w:szCs w:val="32"/>
          <w:lang w:val="en-US" w:eastAsia="zh-CN"/>
        </w:rPr>
        <w:t xml:space="preserve">。主要原因是本年度退休1人，收支相应减少。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100.16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减少11.85万元，下降10.58%</w:t>
      </w:r>
      <w:r>
        <w:rPr>
          <w:rFonts w:ascii="仿宋" w:eastAsia="仿宋" w:hAnsi="仿宋" w:cs="仿宋" w:hint="eastAsia"/>
          <w:kern w:val="0"/>
          <w:sz w:val="32"/>
          <w:szCs w:val="32"/>
          <w:lang w:val="en-US" w:eastAsia="zh-CN"/>
        </w:rPr>
        <w:t xml:space="preserve">。主要原因是本年度退休1人，收支相应减少。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100.16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一般公共服务支出（类）0.48万元，占0.48%；社会保障和就业支出（类）6.40万元，占6.39%；卫生健康支出（类）5.31万元，占5.30%；城乡社区支出（类）83.02万元，占82.89%；住房保障支出（类）4.95万元，占4.94%</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101.01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100.16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99.16</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年初预算数为0.48万元，决算数0.48万元,完成年初预算的100.00%，决算数与年初预算数不存在差异。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年初预算数为0.00万元，决算数1.08万元,决算数与年初预算数存在差异的主要原因是本年度退休1人，年初无预算。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年初预算数为5.78万元，决算数5.32万元,完成年初预算的92.04%，决算数与年初预算数存在差异的主要原因是本年度退休1人，经费支出相应减少。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年初预算数为2.98万元，决算数2.52万元,完成年初预算的84.56%，决算数与年初预算数存在差异的主要原因是本年度退休1人，经费支出相应减少。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5.卫生健康支出（类）行政事业单位医疗（款）公务员医疗补助（项）</w:t>
      </w:r>
      <w:r>
        <w:rPr>
          <w:rFonts w:ascii="仿宋" w:eastAsia="仿宋" w:hAnsi="仿宋" w:cs="仿宋" w:hint="default"/>
          <w:kern w:val="2"/>
          <w:sz w:val="32"/>
          <w:szCs w:val="32"/>
          <w:lang w:val="en-US" w:eastAsia="zh-CN"/>
        </w:rPr>
        <w:t xml:space="preserve">年初预算数为3.31万元，决算数2.80万元,完成年初预算的84.59%，决算数与年初预算数存在差异的主要原因是本年度退休1人，经费支出相应减少。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6.城乡社区支出（类）城乡社区管理事务（款）行政运行（项）</w:t>
      </w:r>
      <w:r>
        <w:rPr>
          <w:rFonts w:ascii="仿宋" w:eastAsia="仿宋" w:hAnsi="仿宋" w:cs="仿宋" w:hint="default"/>
          <w:kern w:val="2"/>
          <w:sz w:val="32"/>
          <w:szCs w:val="32"/>
          <w:lang w:val="en-US" w:eastAsia="zh-CN"/>
        </w:rPr>
        <w:t xml:space="preserve">年初预算数为82.78万元，决算数83.02万元,完成年初预算的100.29%，决算数与年初预算数存在差异的主要原因是追加人员经费。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7.住房保障支出（类）住房改革支出（款）住房公积金（项）</w:t>
      </w:r>
      <w:r>
        <w:rPr>
          <w:rFonts w:ascii="仿宋" w:eastAsia="仿宋" w:hAnsi="仿宋" w:cs="仿宋" w:hint="default"/>
          <w:kern w:val="2"/>
          <w:sz w:val="32"/>
          <w:szCs w:val="32"/>
          <w:lang w:val="en-US" w:eastAsia="zh-CN"/>
        </w:rPr>
        <w:t xml:space="preserve">年初预算数为5.67万元，决算数4.95万元,完成年初预算的87.30%，决算数与年初预算数存在差异的主要原因是本年度退休1人，经费支出相应减少。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100.16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其中：人员经费90.99万元，主要包括：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公用经费9.18万元，主要包括：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0.57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0.57</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主要用于日常车辆保险、维修。</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100.16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好</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本单位在工作目标管理、整体工作、重点工作、目标实现方面完成了年初绩效设定目标；在预算管理、财务管理、资产管理、运行成本控制方面真实完整反映年初绩效目标。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370"/>
        <w:gridCol w:w="370"/>
        <w:gridCol w:w="1233"/>
        <w:gridCol w:w="1617"/>
        <w:gridCol w:w="1219"/>
        <w:gridCol w:w="1247"/>
        <w:gridCol w:w="1302"/>
        <w:gridCol w:w="466"/>
        <w:gridCol w:w="1014"/>
        <w:gridCol w:w="1068"/>
      </w:tblGrid>
      <w:tr>
        <w:trPr>
          <w:trHeight w:hRule="exact" w:val="207"/>
          <w:jc w:val="center"/>
        </w:trPr>
        <w:tc>
          <w:tcPr>
            <w:tcW w:w="370" w:type="dxa"/>
            <w:shd w:val="clear" w:color="auto" w:fill="auto"/>
            <w:vAlign w:val="bottom"/>
          </w:tcPr>
          <w:p>
            <w:pPr>
              <w:snapToGrid w:val="0"/>
              <w:spacing w:before="0" w:beforeAutospacing="0" w:after="0" w:afterAutospacing="0" w:line="240" w:lineRule="auto"/>
            </w:pPr>
            <w:r>
              <w:rPr>
                <w:rFonts w:ascii="黑体" w:eastAsia="黑体" w:hAnsi="黑体" w:cs="黑体"/>
                <w:b w:val="0"/>
                <w:i w:val="0"/>
                <w:color w:val="000000"/>
                <w:sz w:val="15"/>
              </w:rPr>
              <w:t xml:space="preserve">附件2</w:t>
            </w:r>
          </w:p>
        </w:tc>
        <w:tc>
          <w:tcPr>
            <w:tcW w:w="370" w:type="dxa"/>
            <w:shd w:val="clear" w:color="auto" w:fill="auto"/>
            <w:vAlign w:val="bottom"/>
          </w:tcPr>
          <w:p>
            <w:pPr>
              <w:snapToGrid w:val="0"/>
              <w:spacing w:before="0" w:beforeAutospacing="0" w:after="0" w:afterAutospacing="0" w:line="240" w:lineRule="auto"/>
            </w:pPr>
          </w:p>
        </w:tc>
        <w:tc>
          <w:tcPr>
            <w:tcW w:w="1233" w:type="dxa"/>
            <w:shd w:val="clear" w:color="auto" w:fill="auto"/>
            <w:vAlign w:val="bottom"/>
          </w:tcPr>
          <w:p>
            <w:pPr>
              <w:snapToGrid w:val="0"/>
              <w:spacing w:before="0" w:beforeAutospacing="0" w:after="0" w:afterAutospacing="0" w:line="240" w:lineRule="auto"/>
            </w:pPr>
          </w:p>
        </w:tc>
        <w:tc>
          <w:tcPr>
            <w:tcW w:w="1617" w:type="dxa"/>
            <w:shd w:val="clear" w:color="auto" w:fill="auto"/>
            <w:vAlign w:val="bottom"/>
          </w:tcPr>
          <w:p>
            <w:pPr>
              <w:snapToGrid w:val="0"/>
              <w:spacing w:before="0" w:beforeAutospacing="0" w:after="0" w:afterAutospacing="0" w:line="240" w:lineRule="auto"/>
            </w:pPr>
          </w:p>
        </w:tc>
        <w:tc>
          <w:tcPr>
            <w:tcW w:w="1219" w:type="dxa"/>
            <w:shd w:val="clear" w:color="auto" w:fill="auto"/>
            <w:vAlign w:val="bottom"/>
          </w:tcPr>
          <w:p>
            <w:pPr>
              <w:snapToGrid w:val="0"/>
              <w:spacing w:before="0" w:beforeAutospacing="0" w:after="0" w:afterAutospacing="0" w:line="240" w:lineRule="auto"/>
            </w:pPr>
          </w:p>
        </w:tc>
        <w:tc>
          <w:tcPr>
            <w:tcW w:w="1247" w:type="dxa"/>
            <w:shd w:val="clear" w:color="auto" w:fill="auto"/>
            <w:vAlign w:val="bottom"/>
          </w:tcPr>
          <w:p>
            <w:pPr>
              <w:snapToGrid w:val="0"/>
              <w:spacing w:before="0" w:beforeAutospacing="0" w:after="0" w:afterAutospacing="0" w:line="240" w:lineRule="auto"/>
            </w:pPr>
          </w:p>
        </w:tc>
        <w:tc>
          <w:tcPr>
            <w:tcW w:w="1302" w:type="dxa"/>
            <w:shd w:val="clear" w:color="auto" w:fill="auto"/>
            <w:vAlign w:val="bottom"/>
          </w:tcPr>
          <w:p>
            <w:pPr>
              <w:snapToGrid w:val="0"/>
              <w:spacing w:before="0" w:beforeAutospacing="0" w:after="0" w:afterAutospacing="0" w:line="240" w:lineRule="auto"/>
            </w:pPr>
          </w:p>
        </w:tc>
        <w:tc>
          <w:tcPr>
            <w:tcW w:w="466" w:type="dxa"/>
            <w:shd w:val="clear" w:color="auto" w:fill="auto"/>
            <w:vAlign w:val="bottom"/>
          </w:tcPr>
          <w:p>
            <w:pPr>
              <w:snapToGrid w:val="0"/>
              <w:spacing w:before="0" w:beforeAutospacing="0" w:after="0" w:afterAutospacing="0" w:line="240" w:lineRule="auto"/>
            </w:pPr>
          </w:p>
        </w:tc>
        <w:tc>
          <w:tcPr>
            <w:tcW w:w="1014" w:type="dxa"/>
            <w:shd w:val="clear" w:color="auto" w:fill="auto"/>
            <w:vAlign w:val="bottom"/>
          </w:tcPr>
          <w:p>
            <w:pPr>
              <w:snapToGrid w:val="0"/>
              <w:spacing w:before="0" w:beforeAutospacing="0" w:after="0" w:afterAutospacing="0" w:line="240" w:lineRule="auto"/>
            </w:pPr>
          </w:p>
        </w:tc>
        <w:tc>
          <w:tcPr>
            <w:tcW w:w="1068" w:type="dxa"/>
            <w:shd w:val="clear" w:color="auto" w:fill="auto"/>
            <w:vAlign w:val="bottom"/>
          </w:tcPr>
          <w:p>
            <w:pPr>
              <w:snapToGrid w:val="0"/>
              <w:spacing w:before="0" w:beforeAutospacing="0" w:after="0" w:afterAutospacing="0" w:line="240" w:lineRule="auto"/>
            </w:pPr>
          </w:p>
        </w:tc>
      </w:tr>
      <w:tr>
        <w:trPr>
          <w:trHeight w:hRule="exact" w:val="373"/>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部门整体自评表</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0"/>
          <w:jc w:val="center"/>
        </w:trPr>
        <w:tc>
          <w:tcPr>
            <w:tcW w:w="9906" w:type="dxa"/>
            <w:hMerge w:val="restart"/>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5"/>
              </w:rPr>
              <w:t xml:space="preserve">（2023年度）</w:t>
            </w: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c>
          <w:tcPr>
            <w:tcW w:type="auto" w:w="0"/>
            <w:hMerge/>
            <w:tcBorders/>
            <w:shd w:val="clear" w:color="auto" w:fill="auto"/>
            <w:vAlign w:val="bottom"/>
          </w:tcPr>
          <w:p>
            <w:pPr>
              <w:snapToGrid w:val="0"/>
              <w:spacing w:before="0" w:beforeAutospacing="0" w:after="0" w:afterAutospacing="0" w:line="240" w:lineRule="auto"/>
              <w:jc w:val="center"/>
            </w:pPr>
          </w:p>
        </w:tc>
      </w:tr>
      <w:tr>
        <w:trPr>
          <w:trHeight w:hRule="exact" w:val="280"/>
          <w:jc w:val="center"/>
        </w:trPr>
        <w:tc>
          <w:tcPr>
            <w:tcW w:w="370" w:type="dxa"/>
            <w:tcBorders>
              <w:bottom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             </w:t>
            </w:r>
          </w:p>
        </w:tc>
        <w:tc>
          <w:tcPr>
            <w:tcW w:w="370"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33"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61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1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24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768"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r>
              <w:rPr>
                <w:rFonts w:ascii="Calibri" w:eastAsia="Calibri" w:hAnsi="Calibri" w:cs="Calibri"/>
                <w:b w:val="0"/>
                <w:i w:val="0"/>
                <w:color w:val="000000"/>
                <w:sz w:val="12"/>
              </w:rPr>
              <w:t xml:space="preserve">填表人及联系方式：</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2082"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肖磊     2965070</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66"/>
          <w:jc w:val="center"/>
        </w:trPr>
        <w:tc>
          <w:tcPr>
            <w:tcW w:w="1973"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33"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许昌市政府投资项目代建制工作中心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66"/>
          <w:jc w:val="center"/>
        </w:trPr>
        <w:tc>
          <w:tcPr>
            <w:tcW w:w="1973"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933"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97"/>
          <w:jc w:val="center"/>
        </w:trPr>
        <w:tc>
          <w:tcPr>
            <w:tcW w:w="74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预算</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执行</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情况</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年初预算数</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全年预算数</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全年执行数</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分值</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预算执行率</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得分</w:t>
            </w:r>
          </w:p>
        </w:tc>
      </w:tr>
      <w:tr>
        <w:trPr>
          <w:trHeight w:hRule="exact" w:val="166"/>
          <w:jc w:val="center"/>
        </w:trPr>
        <w:tc>
          <w:tcPr>
            <w:tcW w:w="74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85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部门预算总额</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101.01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100.16</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100.16</w:t>
            </w:r>
          </w:p>
        </w:tc>
        <w:tc>
          <w:tcPr>
            <w:tcW w:w="46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1</w:t>
            </w:r>
          </w:p>
        </w:tc>
        <w:tc>
          <w:tcPr>
            <w:tcW w:w="1068"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r>
      <w:tr>
        <w:trPr>
          <w:trHeight w:hRule="exact" w:val="197"/>
          <w:jc w:val="center"/>
        </w:trPr>
        <w:tc>
          <w:tcPr>
            <w:tcW w:w="74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资金来源</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政府预算资金</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101.01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100.16</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100.16</w:t>
            </w:r>
          </w:p>
        </w:tc>
        <w:tc>
          <w:tcPr>
            <w:tcW w:w="46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r>
              <w:rPr>
                <w:rFonts w:ascii="Calibri" w:eastAsia="Calibri" w:hAnsi="Calibri" w:cs="Calibri"/>
                <w:b w:val="0"/>
                <w:i w:val="0"/>
                <w:color w:val="000000"/>
                <w:sz w:val="12"/>
              </w:rPr>
              <w:t xml:space="preserve">1</w:t>
            </w:r>
          </w:p>
        </w:tc>
        <w:tc>
          <w:tcPr>
            <w:tcW w:w="1068"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7"/>
          <w:jc w:val="center"/>
        </w:trPr>
        <w:tc>
          <w:tcPr>
            <w:tcW w:w="74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  财政专户管理资金</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66"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68"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7"/>
          <w:jc w:val="center"/>
        </w:trPr>
        <w:tc>
          <w:tcPr>
            <w:tcW w:w="74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单位资金</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46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pPr>
          </w:p>
        </w:tc>
        <w:tc>
          <w:tcPr>
            <w:tcW w:w="1068"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7"/>
          <w:jc w:val="center"/>
        </w:trPr>
        <w:tc>
          <w:tcPr>
            <w:tcW w:w="74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履职</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目标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31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42"/>
          <w:jc w:val="center"/>
        </w:trPr>
        <w:tc>
          <w:tcPr>
            <w:tcW w:w="74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目标名称</w:t>
            </w:r>
          </w:p>
        </w:tc>
        <w:tc>
          <w:tcPr>
            <w:tcW w:w="408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5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91"/>
          <w:jc w:val="center"/>
        </w:trPr>
        <w:tc>
          <w:tcPr>
            <w:tcW w:w="74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提高政府投资项目代建协调服务工作</w:t>
            </w:r>
          </w:p>
        </w:tc>
        <w:tc>
          <w:tcPr>
            <w:tcW w:w="408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为市政府投资项目监管提供协调服务。政府投资项目监督管理保障 政府委托投资项目监督检查 全市政府投资项目代建制组织实施。</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5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为政府投资项目提供完善的协调服务目标完成良好。</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32"/>
          <w:jc w:val="center"/>
        </w:trPr>
        <w:tc>
          <w:tcPr>
            <w:tcW w:w="74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年度</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主要</w:t>
            </w:r>
          </w:p>
          <w:p>
            <w:pPr>
              <w:snapToGrid w:val="0"/>
              <w:spacing w:before="0" w:beforeAutospacing="0" w:after="0" w:afterAutospacing="0" w:line="240" w:lineRule="auto"/>
              <w:jc w:val="center"/>
              <w:rPr/>
            </w:pPr>
            <w:r>
              <w:rPr>
                <w:rFonts w:ascii="Calibri" w:eastAsia="Calibri" w:hAnsi="Calibri" w:cs="Calibri"/>
                <w:b w:val="0"/>
                <w:i w:val="0"/>
                <w:color w:val="000000"/>
                <w:sz w:val="12"/>
              </w:rPr>
              <w:t xml:space="preserve">任务</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任务名称</w:t>
            </w:r>
          </w:p>
        </w:tc>
        <w:tc>
          <w:tcPr>
            <w:tcW w:w="408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主要内容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5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任务完成情况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98"/>
          <w:jc w:val="center"/>
        </w:trPr>
        <w:tc>
          <w:tcPr>
            <w:tcW w:w="74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提高政府投资项目代建协调服务工作</w:t>
            </w:r>
          </w:p>
        </w:tc>
        <w:tc>
          <w:tcPr>
            <w:tcW w:w="408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根据单位职责，完成各项代建工作任务;做好代建项目完工验收、移交工作。</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85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各项代建任务均已完成。</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28"/>
          <w:jc w:val="center"/>
        </w:trPr>
        <w:tc>
          <w:tcPr>
            <w:tcW w:w="3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一级指标</w:t>
            </w:r>
          </w:p>
        </w:tc>
        <w:tc>
          <w:tcPr>
            <w:tcW w:w="37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分值</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二级指标</w:t>
            </w:r>
          </w:p>
        </w:tc>
        <w:tc>
          <w:tcPr>
            <w:tcW w:w="16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三级指标</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年度指标值</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指标值说明</w:t>
            </w:r>
          </w:p>
        </w:tc>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实际完成值</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分值</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得分</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偏差原因分析及改进措施</w:t>
            </w:r>
          </w:p>
        </w:tc>
      </w:tr>
      <w:tr>
        <w:trPr>
          <w:trHeight w:hRule="exact" w:val="228"/>
          <w:jc w:val="center"/>
        </w:trPr>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01"/>
          <w:jc w:val="center"/>
        </w:trPr>
        <w:tc>
          <w:tcPr>
            <w:tcW w:w="37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投入管理指标</w:t>
            </w:r>
          </w:p>
        </w:tc>
        <w:tc>
          <w:tcPr>
            <w:tcW w:w="37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30</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工作目标管理</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年度履职目标相关性</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相关</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相关</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80"/>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工作任务科学性</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科学</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科学</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601"/>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绩效指标合理性</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合理</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合理</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77"/>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预算和财务管理</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预算编制完整性</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完整</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完整</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3"/>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专项资金细化率</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Arial" w:eastAsia="Arial" w:hAnsi="Arial" w:cs="Arial"/>
                <w:b w:val="0"/>
                <w:i w:val="0"/>
                <w:color w:val="000000"/>
                <w:sz w:val="12"/>
              </w:rPr>
              <w:t xml:space="preserve">≥90%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Arial" w:eastAsia="Arial" w:hAnsi="Arial" w:cs="Arial"/>
                <w:b w:val="0"/>
                <w:i w:val="0"/>
                <w:color w:val="000000"/>
                <w:sz w:val="12"/>
              </w:rPr>
              <w:t xml:space="preserve">≥90%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87"/>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预算调整率</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Arial" w:eastAsia="Arial" w:hAnsi="Arial" w:cs="Arial"/>
                <w:b w:val="0"/>
                <w:i w:val="0"/>
                <w:color w:val="000000"/>
                <w:sz w:val="12"/>
              </w:rPr>
              <w:t xml:space="preserve">≤15%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0.0084</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77"/>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结转结余率</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Arial" w:eastAsia="Arial" w:hAnsi="Arial" w:cs="Arial"/>
                <w:b w:val="0"/>
                <w:i w:val="0"/>
                <w:color w:val="000000"/>
                <w:sz w:val="12"/>
              </w:rPr>
              <w:t xml:space="preserve">≤20%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2"/>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“三公经费”控制率</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Arial" w:eastAsia="Arial" w:hAnsi="Arial" w:cs="Arial"/>
                <w:b w:val="0"/>
                <w:i w:val="0"/>
                <w:color w:val="000000"/>
                <w:sz w:val="12"/>
              </w:rPr>
              <w:t xml:space="preserve">≤100%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0.57</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56"/>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政府采购执行率</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Arial" w:eastAsia="Arial" w:hAnsi="Arial" w:cs="Arial"/>
                <w:b w:val="0"/>
                <w:i w:val="0"/>
                <w:color w:val="000000"/>
                <w:sz w:val="12"/>
              </w:rPr>
              <w:t xml:space="preserve">≥80%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3"/>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决算真实性</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真实</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真实</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87"/>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资金使用合规性</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合规</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合规</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5"/>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管理制度健全性</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健全</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健全</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04"/>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预决算信息公开性</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公开</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公开</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508"/>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资产管理规范性</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规范</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规范</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25"/>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绩效管理</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绩效监控完成率</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52"/>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绩效自评完成率</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98"/>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部门绩效评价完成率</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84"/>
          <w:jc w:val="center"/>
        </w:trPr>
        <w:tc>
          <w:tcPr>
            <w:tcW w:w="37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评价结果应用率</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456"/>
          <w:jc w:val="center"/>
        </w:trPr>
        <w:tc>
          <w:tcPr>
            <w:tcW w:w="3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产出指标</w:t>
            </w:r>
          </w:p>
        </w:tc>
        <w:tc>
          <w:tcPr>
            <w:tcW w:w="37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25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重点工作任务完成</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2"/>
              </w:rPr>
              <w:t xml:space="preserve">市重点代建项目科普教育基地收尾工作</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98%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99%</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15</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94"/>
          <w:jc w:val="center"/>
        </w:trPr>
        <w:tc>
          <w:tcPr>
            <w:tcW w:w="3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履职目标实现</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2"/>
              </w:rPr>
              <w:t xml:space="preserve">市重点代建项目科普教育基地完成移交收尾工作</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2"/>
              </w:rPr>
              <w:t xml:space="preserve">100%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32"/>
          <w:jc w:val="center"/>
        </w:trPr>
        <w:tc>
          <w:tcPr>
            <w:tcW w:w="37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效益指标</w:t>
            </w:r>
          </w:p>
        </w:tc>
        <w:tc>
          <w:tcPr>
            <w:tcW w:w="37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35</w:t>
            </w:r>
          </w:p>
        </w:tc>
        <w:tc>
          <w:tcPr>
            <w:tcW w:w="1233"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履职效益</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经济效益</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2"/>
              </w:rPr>
              <w:t xml:space="preserve">保障</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2"/>
              </w:rPr>
              <w:t xml:space="preserve">保障</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3"/>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社会效益</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2"/>
              </w:rPr>
              <w:t xml:space="preserve">保障</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2"/>
              </w:rPr>
              <w:t xml:space="preserve">保障</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373"/>
          <w:jc w:val="center"/>
        </w:trPr>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满意度</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社会公众满意度</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4"/>
              </w:rPr>
              <w:t xml:space="preserve">≥95%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4"/>
              </w:rPr>
              <w:t xml:space="preserve">≥90%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9.5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需加强沟通，提高服务。</w:t>
            </w:r>
          </w:p>
        </w:tc>
      </w:tr>
      <w:tr>
        <w:trPr>
          <w:trHeight w:hRule="exact" w:val="332"/>
          <w:jc w:val="center"/>
        </w:trPr>
        <w:tc>
          <w:tcPr>
            <w:tcW w:w="37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7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服务对象满意度</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4"/>
              </w:rPr>
              <w:t xml:space="preserve">≥95%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4"/>
              </w:rPr>
              <w:t xml:space="preserve">≥90%</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9.5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2"/>
              </w:rPr>
              <w:t xml:space="preserve">需加强沟通，提高服务。</w:t>
            </w:r>
          </w:p>
        </w:tc>
      </w:tr>
      <w:tr>
        <w:trPr>
          <w:trHeight w:hRule="exact" w:val="415"/>
          <w:jc w:val="center"/>
        </w:trPr>
        <w:tc>
          <w:tcPr>
            <w:tcW w:w="735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总分（100分）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100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99</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891"/>
          <w:jc w:val="center"/>
        </w:trPr>
        <w:tc>
          <w:tcPr>
            <w:tcW w:w="990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Calibri" w:eastAsia="Calibri" w:hAnsi="Calibri" w:cs="Calibri"/>
                <w:b w:val="0"/>
                <w:i w:val="0"/>
                <w:color w:val="000000"/>
                <w:sz w:val="12"/>
              </w:rPr>
              <w:t xml:space="preserve">注：1.自评采取打分评价的形式，满分为100分，各部门（单位）可根据指标的重要程度自主确定各项三级指标的权重分值，各项指标得分加总得出该项目绩效自评的总分。原则上一级指标分值统一设置为：投入管理指标30分、产出指标25分、效益指标35分、预算执行率10分。2.偏差原因分析及改进措施：说明偏离目标、不能完成目标的原因及改进措施。3.定性指标完成情况分为好、较好、一般、较差四档，在相应档次分别按照100％-90%(含)、90%-80％(含)、80％-60％(含)、60％-0％合理确定分值。定量指标完成指标值的，记该指标所赋全部分值；未完成的，按照完成值与指标值的比例计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73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