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许昌市建设工程招标投标服务中心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许昌市建设工程招标投标服务中心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许昌市建设工程招标投标服务中心概况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宣传、贯彻落实国家、省、市有关建设工程招标投标法律法规及方针政策；协助市住建局做好依法监督建设工程招标投标活动；协助查处招标投标活动中的违法违规行为；为建设工程招投标各方交易主体提供指导服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许昌市建设工程招标投标服务中心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许昌市建设工程招标投标服务中心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1.许昌市建设工程招标投标服务中心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单位：许昌市建设工程招标投标服务中心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32.12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0.11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8.19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0.56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22.20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1.07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32.12</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32.12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32.12</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32.12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单位：许昌市建设工程招标投标服务中心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32.12</w:t>
            </w:r>
          </w:p>
        </w:tc>
        <w:tc>
          <w:tcPr>
            <w:tcW w:w="1440" w:type="dxa"/>
            <w:tcBorders/>
            <w:vAlign w:val="center"/>
          </w:tcPr>
          <w:p>
            <w:pPr>
              <w:jc w:val="right"/>
            </w:pPr>
            <w:r>
              <w:rPr>
                <w:rFonts w:ascii="宋体" w:eastAsia="宋体" w:hAnsi="宋体" w:cs="宋体"/>
                <w:b/>
                <w:i w:val="0"/>
                <w:color w:val="000000"/>
                <w:sz w:val="17"/>
              </w:rPr>
              <w:t xml:space="preserve">32.12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0.11</w:t>
            </w:r>
          </w:p>
        </w:tc>
        <w:tc>
          <w:tcPr>
            <w:tcW w:w="1440" w:type="dxa"/>
            <w:tcBorders/>
            <w:vAlign w:val="center"/>
          </w:tcPr>
          <w:p>
            <w:pPr>
              <w:jc w:val="right"/>
            </w:pPr>
            <w:r>
              <w:rPr>
                <w:rFonts w:ascii="宋体" w:eastAsia="宋体" w:hAnsi="宋体" w:cs="宋体"/>
                <w:b w:val="0"/>
                <w:i w:val="0"/>
                <w:color w:val="000000"/>
                <w:sz w:val="17"/>
              </w:rPr>
              <w:t xml:space="preserve">0.11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0.11</w:t>
            </w:r>
          </w:p>
        </w:tc>
        <w:tc>
          <w:tcPr>
            <w:tcW w:w="1440" w:type="dxa"/>
            <w:tcBorders/>
            <w:vAlign w:val="center"/>
          </w:tcPr>
          <w:p>
            <w:pPr>
              <w:jc w:val="right"/>
            </w:pPr>
            <w:r>
              <w:rPr>
                <w:rFonts w:ascii="宋体" w:eastAsia="宋体" w:hAnsi="宋体" w:cs="宋体"/>
                <w:b w:val="0"/>
                <w:i w:val="0"/>
                <w:color w:val="000000"/>
                <w:sz w:val="17"/>
              </w:rPr>
              <w:t xml:space="preserve">0.11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0.11</w:t>
            </w:r>
          </w:p>
        </w:tc>
        <w:tc>
          <w:tcPr>
            <w:tcW w:w="1440" w:type="dxa"/>
            <w:tcBorders/>
            <w:vAlign w:val="center"/>
          </w:tcPr>
          <w:p>
            <w:pPr>
              <w:jc w:val="right"/>
            </w:pPr>
            <w:r>
              <w:rPr>
                <w:rFonts w:ascii="宋体" w:eastAsia="宋体" w:hAnsi="宋体" w:cs="宋体"/>
                <w:b w:val="0"/>
                <w:i w:val="0"/>
                <w:color w:val="000000"/>
                <w:sz w:val="17"/>
              </w:rPr>
              <w:t xml:space="preserve">0.11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8.19</w:t>
            </w:r>
          </w:p>
        </w:tc>
        <w:tc>
          <w:tcPr>
            <w:tcW w:w="1440" w:type="dxa"/>
            <w:tcBorders/>
            <w:vAlign w:val="center"/>
          </w:tcPr>
          <w:p>
            <w:pPr>
              <w:jc w:val="right"/>
            </w:pPr>
            <w:r>
              <w:rPr>
                <w:rFonts w:ascii="宋体" w:eastAsia="宋体" w:hAnsi="宋体" w:cs="宋体"/>
                <w:b w:val="0"/>
                <w:i w:val="0"/>
                <w:color w:val="000000"/>
                <w:sz w:val="17"/>
              </w:rPr>
              <w:t xml:space="preserve">8.19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8.19</w:t>
            </w:r>
          </w:p>
        </w:tc>
        <w:tc>
          <w:tcPr>
            <w:tcW w:w="1440" w:type="dxa"/>
            <w:tcBorders/>
            <w:vAlign w:val="center"/>
          </w:tcPr>
          <w:p>
            <w:pPr>
              <w:jc w:val="right"/>
            </w:pPr>
            <w:r>
              <w:rPr>
                <w:rFonts w:ascii="宋体" w:eastAsia="宋体" w:hAnsi="宋体" w:cs="宋体"/>
                <w:b w:val="0"/>
                <w:i w:val="0"/>
                <w:color w:val="000000"/>
                <w:sz w:val="17"/>
              </w:rPr>
              <w:t xml:space="preserve">8.19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7.03</w:t>
            </w:r>
          </w:p>
        </w:tc>
        <w:tc>
          <w:tcPr>
            <w:tcW w:w="1440" w:type="dxa"/>
            <w:tcBorders/>
            <w:vAlign w:val="center"/>
          </w:tcPr>
          <w:p>
            <w:pPr>
              <w:jc w:val="right"/>
            </w:pPr>
            <w:r>
              <w:rPr>
                <w:rFonts w:ascii="宋体" w:eastAsia="宋体" w:hAnsi="宋体" w:cs="宋体"/>
                <w:b w:val="0"/>
                <w:i w:val="0"/>
                <w:color w:val="000000"/>
                <w:sz w:val="17"/>
              </w:rPr>
              <w:t xml:space="preserve">7.03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1.16</w:t>
            </w:r>
          </w:p>
        </w:tc>
        <w:tc>
          <w:tcPr>
            <w:tcW w:w="1440" w:type="dxa"/>
            <w:tcBorders/>
            <w:vAlign w:val="center"/>
          </w:tcPr>
          <w:p>
            <w:pPr>
              <w:jc w:val="right"/>
            </w:pPr>
            <w:r>
              <w:rPr>
                <w:rFonts w:ascii="宋体" w:eastAsia="宋体" w:hAnsi="宋体" w:cs="宋体"/>
                <w:b w:val="0"/>
                <w:i w:val="0"/>
                <w:color w:val="000000"/>
                <w:sz w:val="17"/>
              </w:rPr>
              <w:t xml:space="preserve">1.16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0.56</w:t>
            </w:r>
          </w:p>
        </w:tc>
        <w:tc>
          <w:tcPr>
            <w:tcW w:w="1440" w:type="dxa"/>
            <w:tcBorders/>
            <w:vAlign w:val="center"/>
          </w:tcPr>
          <w:p>
            <w:pPr>
              <w:jc w:val="right"/>
            </w:pPr>
            <w:r>
              <w:rPr>
                <w:rFonts w:ascii="宋体" w:eastAsia="宋体" w:hAnsi="宋体" w:cs="宋体"/>
                <w:b w:val="0"/>
                <w:i w:val="0"/>
                <w:color w:val="000000"/>
                <w:sz w:val="17"/>
              </w:rPr>
              <w:t xml:space="preserve">0.56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0.56</w:t>
            </w:r>
          </w:p>
        </w:tc>
        <w:tc>
          <w:tcPr>
            <w:tcW w:w="1440" w:type="dxa"/>
            <w:tcBorders/>
            <w:vAlign w:val="center"/>
          </w:tcPr>
          <w:p>
            <w:pPr>
              <w:jc w:val="right"/>
            </w:pPr>
            <w:r>
              <w:rPr>
                <w:rFonts w:ascii="宋体" w:eastAsia="宋体" w:hAnsi="宋体" w:cs="宋体"/>
                <w:b w:val="0"/>
                <w:i w:val="0"/>
                <w:color w:val="000000"/>
                <w:sz w:val="17"/>
              </w:rPr>
              <w:t xml:space="preserve">0.56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0.56</w:t>
            </w:r>
          </w:p>
        </w:tc>
        <w:tc>
          <w:tcPr>
            <w:tcW w:w="1440" w:type="dxa"/>
            <w:tcBorders/>
            <w:vAlign w:val="center"/>
          </w:tcPr>
          <w:p>
            <w:pPr>
              <w:jc w:val="right"/>
            </w:pPr>
            <w:r>
              <w:rPr>
                <w:rFonts w:ascii="宋体" w:eastAsia="宋体" w:hAnsi="宋体" w:cs="宋体"/>
                <w:b w:val="0"/>
                <w:i w:val="0"/>
                <w:color w:val="000000"/>
                <w:sz w:val="17"/>
              </w:rPr>
              <w:t xml:space="preserve">0.56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22.20</w:t>
            </w:r>
          </w:p>
        </w:tc>
        <w:tc>
          <w:tcPr>
            <w:tcW w:w="1440" w:type="dxa"/>
            <w:tcBorders/>
            <w:vAlign w:val="center"/>
          </w:tcPr>
          <w:p>
            <w:pPr>
              <w:jc w:val="right"/>
            </w:pPr>
            <w:r>
              <w:rPr>
                <w:rFonts w:ascii="宋体" w:eastAsia="宋体" w:hAnsi="宋体" w:cs="宋体"/>
                <w:b w:val="0"/>
                <w:i w:val="0"/>
                <w:color w:val="000000"/>
                <w:sz w:val="17"/>
              </w:rPr>
              <w:t xml:space="preserve">22.20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22.20</w:t>
            </w:r>
          </w:p>
        </w:tc>
        <w:tc>
          <w:tcPr>
            <w:tcW w:w="1440" w:type="dxa"/>
            <w:tcBorders/>
            <w:vAlign w:val="center"/>
          </w:tcPr>
          <w:p>
            <w:pPr>
              <w:jc w:val="right"/>
            </w:pPr>
            <w:r>
              <w:rPr>
                <w:rFonts w:ascii="宋体" w:eastAsia="宋体" w:hAnsi="宋体" w:cs="宋体"/>
                <w:b w:val="0"/>
                <w:i w:val="0"/>
                <w:color w:val="000000"/>
                <w:sz w:val="17"/>
              </w:rPr>
              <w:t xml:space="preserve">22.20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其他城乡社区管理事务支出</w:t>
            </w:r>
          </w:p>
        </w:tc>
        <w:tc>
          <w:tcPr>
            <w:tcW w:w="1440" w:type="dxa"/>
            <w:tcBorders/>
            <w:vAlign w:val="center"/>
          </w:tcPr>
          <w:p>
            <w:pPr>
              <w:jc w:val="right"/>
            </w:pPr>
            <w:r>
              <w:rPr>
                <w:rFonts w:ascii="宋体" w:eastAsia="宋体" w:hAnsi="宋体" w:cs="宋体"/>
                <w:b w:val="0"/>
                <w:i w:val="0"/>
                <w:color w:val="000000"/>
                <w:sz w:val="17"/>
              </w:rPr>
              <w:t xml:space="preserve">22.20</w:t>
            </w:r>
          </w:p>
        </w:tc>
        <w:tc>
          <w:tcPr>
            <w:tcW w:w="1440" w:type="dxa"/>
            <w:tcBorders/>
            <w:vAlign w:val="center"/>
          </w:tcPr>
          <w:p>
            <w:pPr>
              <w:jc w:val="right"/>
            </w:pPr>
            <w:r>
              <w:rPr>
                <w:rFonts w:ascii="宋体" w:eastAsia="宋体" w:hAnsi="宋体" w:cs="宋体"/>
                <w:b w:val="0"/>
                <w:i w:val="0"/>
                <w:color w:val="000000"/>
                <w:sz w:val="17"/>
              </w:rPr>
              <w:t xml:space="preserve">22.20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1.07</w:t>
            </w:r>
          </w:p>
        </w:tc>
        <w:tc>
          <w:tcPr>
            <w:tcW w:w="1440" w:type="dxa"/>
            <w:tcBorders/>
            <w:vAlign w:val="center"/>
          </w:tcPr>
          <w:p>
            <w:pPr>
              <w:jc w:val="right"/>
            </w:pPr>
            <w:r>
              <w:rPr>
                <w:rFonts w:ascii="宋体" w:eastAsia="宋体" w:hAnsi="宋体" w:cs="宋体"/>
                <w:b w:val="0"/>
                <w:i w:val="0"/>
                <w:color w:val="000000"/>
                <w:sz w:val="17"/>
              </w:rPr>
              <w:t xml:space="preserve">1.07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1.07</w:t>
            </w:r>
          </w:p>
        </w:tc>
        <w:tc>
          <w:tcPr>
            <w:tcW w:w="1440" w:type="dxa"/>
            <w:tcBorders/>
            <w:vAlign w:val="center"/>
          </w:tcPr>
          <w:p>
            <w:pPr>
              <w:jc w:val="right"/>
            </w:pPr>
            <w:r>
              <w:rPr>
                <w:rFonts w:ascii="宋体" w:eastAsia="宋体" w:hAnsi="宋体" w:cs="宋体"/>
                <w:b w:val="0"/>
                <w:i w:val="0"/>
                <w:color w:val="000000"/>
                <w:sz w:val="17"/>
              </w:rPr>
              <w:t xml:space="preserve">1.07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1.07</w:t>
            </w:r>
          </w:p>
        </w:tc>
        <w:tc>
          <w:tcPr>
            <w:tcW w:w="1440" w:type="dxa"/>
            <w:tcBorders/>
            <w:vAlign w:val="center"/>
          </w:tcPr>
          <w:p>
            <w:pPr>
              <w:jc w:val="right"/>
            </w:pPr>
            <w:r>
              <w:rPr>
                <w:rFonts w:ascii="宋体" w:eastAsia="宋体" w:hAnsi="宋体" w:cs="宋体"/>
                <w:b w:val="0"/>
                <w:i w:val="0"/>
                <w:color w:val="000000"/>
                <w:sz w:val="17"/>
              </w:rPr>
              <w:t xml:space="preserve">1.07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单位：许昌市建设工程招标投标服务中心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32.12</w:t>
            </w:r>
          </w:p>
        </w:tc>
        <w:tc>
          <w:tcPr>
            <w:tcW w:w="1600" w:type="dxa"/>
            <w:tcBorders/>
            <w:vAlign w:val="center"/>
          </w:tcPr>
          <w:p>
            <w:pPr>
              <w:jc w:val="right"/>
            </w:pPr>
            <w:r>
              <w:rPr>
                <w:rFonts w:ascii="宋体" w:eastAsia="宋体" w:hAnsi="宋体" w:cs="宋体"/>
                <w:b/>
                <w:i w:val="0"/>
                <w:color w:val="000000"/>
                <w:sz w:val="19"/>
              </w:rPr>
              <w:t xml:space="preserve">32.12</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0.11</w:t>
            </w:r>
          </w:p>
        </w:tc>
        <w:tc>
          <w:tcPr>
            <w:tcW w:w="1600" w:type="dxa"/>
            <w:tcBorders/>
            <w:vAlign w:val="center"/>
          </w:tcPr>
          <w:p>
            <w:pPr>
              <w:jc w:val="right"/>
            </w:pPr>
            <w:r>
              <w:rPr>
                <w:rFonts w:ascii="宋体" w:eastAsia="宋体" w:hAnsi="宋体" w:cs="宋体"/>
                <w:b w:val="0"/>
                <w:i w:val="0"/>
                <w:color w:val="000000"/>
                <w:sz w:val="19"/>
              </w:rPr>
              <w:t xml:space="preserve">0.11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0.11</w:t>
            </w:r>
          </w:p>
        </w:tc>
        <w:tc>
          <w:tcPr>
            <w:tcW w:w="1600" w:type="dxa"/>
            <w:tcBorders/>
            <w:vAlign w:val="center"/>
          </w:tcPr>
          <w:p>
            <w:pPr>
              <w:jc w:val="right"/>
            </w:pPr>
            <w:r>
              <w:rPr>
                <w:rFonts w:ascii="宋体" w:eastAsia="宋体" w:hAnsi="宋体" w:cs="宋体"/>
                <w:b w:val="0"/>
                <w:i w:val="0"/>
                <w:color w:val="000000"/>
                <w:sz w:val="19"/>
              </w:rPr>
              <w:t xml:space="preserve">0.11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0.11</w:t>
            </w:r>
          </w:p>
        </w:tc>
        <w:tc>
          <w:tcPr>
            <w:tcW w:w="1600" w:type="dxa"/>
            <w:tcBorders/>
            <w:vAlign w:val="center"/>
          </w:tcPr>
          <w:p>
            <w:pPr>
              <w:jc w:val="right"/>
            </w:pPr>
            <w:r>
              <w:rPr>
                <w:rFonts w:ascii="宋体" w:eastAsia="宋体" w:hAnsi="宋体" w:cs="宋体"/>
                <w:b w:val="0"/>
                <w:i w:val="0"/>
                <w:color w:val="000000"/>
                <w:sz w:val="19"/>
              </w:rPr>
              <w:t xml:space="preserve">0.11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8.19</w:t>
            </w:r>
          </w:p>
        </w:tc>
        <w:tc>
          <w:tcPr>
            <w:tcW w:w="1600" w:type="dxa"/>
            <w:tcBorders/>
            <w:vAlign w:val="center"/>
          </w:tcPr>
          <w:p>
            <w:pPr>
              <w:jc w:val="right"/>
            </w:pPr>
            <w:r>
              <w:rPr>
                <w:rFonts w:ascii="宋体" w:eastAsia="宋体" w:hAnsi="宋体" w:cs="宋体"/>
                <w:b w:val="0"/>
                <w:i w:val="0"/>
                <w:color w:val="000000"/>
                <w:sz w:val="19"/>
              </w:rPr>
              <w:t xml:space="preserve">8.19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8.19</w:t>
            </w:r>
          </w:p>
        </w:tc>
        <w:tc>
          <w:tcPr>
            <w:tcW w:w="1600" w:type="dxa"/>
            <w:tcBorders/>
            <w:vAlign w:val="center"/>
          </w:tcPr>
          <w:p>
            <w:pPr>
              <w:jc w:val="right"/>
            </w:pPr>
            <w:r>
              <w:rPr>
                <w:rFonts w:ascii="宋体" w:eastAsia="宋体" w:hAnsi="宋体" w:cs="宋体"/>
                <w:b w:val="0"/>
                <w:i w:val="0"/>
                <w:color w:val="000000"/>
                <w:sz w:val="19"/>
              </w:rPr>
              <w:t xml:space="preserve">8.19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7.03</w:t>
            </w:r>
          </w:p>
        </w:tc>
        <w:tc>
          <w:tcPr>
            <w:tcW w:w="1600" w:type="dxa"/>
            <w:tcBorders/>
            <w:vAlign w:val="center"/>
          </w:tcPr>
          <w:p>
            <w:pPr>
              <w:jc w:val="right"/>
            </w:pPr>
            <w:r>
              <w:rPr>
                <w:rFonts w:ascii="宋体" w:eastAsia="宋体" w:hAnsi="宋体" w:cs="宋体"/>
                <w:b w:val="0"/>
                <w:i w:val="0"/>
                <w:color w:val="000000"/>
                <w:sz w:val="19"/>
              </w:rPr>
              <w:t xml:space="preserve">7.03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1.16</w:t>
            </w:r>
          </w:p>
        </w:tc>
        <w:tc>
          <w:tcPr>
            <w:tcW w:w="1600" w:type="dxa"/>
            <w:tcBorders/>
            <w:vAlign w:val="center"/>
          </w:tcPr>
          <w:p>
            <w:pPr>
              <w:jc w:val="right"/>
            </w:pPr>
            <w:r>
              <w:rPr>
                <w:rFonts w:ascii="宋体" w:eastAsia="宋体" w:hAnsi="宋体" w:cs="宋体"/>
                <w:b w:val="0"/>
                <w:i w:val="0"/>
                <w:color w:val="000000"/>
                <w:sz w:val="19"/>
              </w:rPr>
              <w:t xml:space="preserve">1.16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0.56</w:t>
            </w:r>
          </w:p>
        </w:tc>
        <w:tc>
          <w:tcPr>
            <w:tcW w:w="1600" w:type="dxa"/>
            <w:tcBorders/>
            <w:vAlign w:val="center"/>
          </w:tcPr>
          <w:p>
            <w:pPr>
              <w:jc w:val="right"/>
            </w:pPr>
            <w:r>
              <w:rPr>
                <w:rFonts w:ascii="宋体" w:eastAsia="宋体" w:hAnsi="宋体" w:cs="宋体"/>
                <w:b w:val="0"/>
                <w:i w:val="0"/>
                <w:color w:val="000000"/>
                <w:sz w:val="19"/>
              </w:rPr>
              <w:t xml:space="preserve">0.56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0.56</w:t>
            </w:r>
          </w:p>
        </w:tc>
        <w:tc>
          <w:tcPr>
            <w:tcW w:w="1600" w:type="dxa"/>
            <w:tcBorders/>
            <w:vAlign w:val="center"/>
          </w:tcPr>
          <w:p>
            <w:pPr>
              <w:jc w:val="right"/>
            </w:pPr>
            <w:r>
              <w:rPr>
                <w:rFonts w:ascii="宋体" w:eastAsia="宋体" w:hAnsi="宋体" w:cs="宋体"/>
                <w:b w:val="0"/>
                <w:i w:val="0"/>
                <w:color w:val="000000"/>
                <w:sz w:val="19"/>
              </w:rPr>
              <w:t xml:space="preserve">0.56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0.56</w:t>
            </w:r>
          </w:p>
        </w:tc>
        <w:tc>
          <w:tcPr>
            <w:tcW w:w="1600" w:type="dxa"/>
            <w:tcBorders/>
            <w:vAlign w:val="center"/>
          </w:tcPr>
          <w:p>
            <w:pPr>
              <w:jc w:val="right"/>
            </w:pPr>
            <w:r>
              <w:rPr>
                <w:rFonts w:ascii="宋体" w:eastAsia="宋体" w:hAnsi="宋体" w:cs="宋体"/>
                <w:b w:val="0"/>
                <w:i w:val="0"/>
                <w:color w:val="000000"/>
                <w:sz w:val="19"/>
              </w:rPr>
              <w:t xml:space="preserve">0.56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22.20</w:t>
            </w:r>
          </w:p>
        </w:tc>
        <w:tc>
          <w:tcPr>
            <w:tcW w:w="1600" w:type="dxa"/>
            <w:tcBorders/>
            <w:vAlign w:val="center"/>
          </w:tcPr>
          <w:p>
            <w:pPr>
              <w:jc w:val="right"/>
            </w:pPr>
            <w:r>
              <w:rPr>
                <w:rFonts w:ascii="宋体" w:eastAsia="宋体" w:hAnsi="宋体" w:cs="宋体"/>
                <w:b w:val="0"/>
                <w:i w:val="0"/>
                <w:color w:val="000000"/>
                <w:sz w:val="19"/>
              </w:rPr>
              <w:t xml:space="preserve">22.20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22.20</w:t>
            </w:r>
          </w:p>
        </w:tc>
        <w:tc>
          <w:tcPr>
            <w:tcW w:w="1600" w:type="dxa"/>
            <w:tcBorders/>
            <w:vAlign w:val="center"/>
          </w:tcPr>
          <w:p>
            <w:pPr>
              <w:jc w:val="right"/>
            </w:pPr>
            <w:r>
              <w:rPr>
                <w:rFonts w:ascii="宋体" w:eastAsia="宋体" w:hAnsi="宋体" w:cs="宋体"/>
                <w:b w:val="0"/>
                <w:i w:val="0"/>
                <w:color w:val="000000"/>
                <w:sz w:val="19"/>
              </w:rPr>
              <w:t xml:space="preserve">22.20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其他城乡社区管理事务支出</w:t>
            </w:r>
          </w:p>
        </w:tc>
        <w:tc>
          <w:tcPr>
            <w:tcW w:w="1600" w:type="dxa"/>
            <w:tcBorders/>
            <w:vAlign w:val="center"/>
          </w:tcPr>
          <w:p>
            <w:pPr>
              <w:jc w:val="right"/>
            </w:pPr>
            <w:r>
              <w:rPr>
                <w:rFonts w:ascii="宋体" w:eastAsia="宋体" w:hAnsi="宋体" w:cs="宋体"/>
                <w:b w:val="0"/>
                <w:i w:val="0"/>
                <w:color w:val="000000"/>
                <w:sz w:val="19"/>
              </w:rPr>
              <w:t xml:space="preserve">22.20</w:t>
            </w:r>
          </w:p>
        </w:tc>
        <w:tc>
          <w:tcPr>
            <w:tcW w:w="1600" w:type="dxa"/>
            <w:tcBorders/>
            <w:vAlign w:val="center"/>
          </w:tcPr>
          <w:p>
            <w:pPr>
              <w:jc w:val="right"/>
            </w:pPr>
            <w:r>
              <w:rPr>
                <w:rFonts w:ascii="宋体" w:eastAsia="宋体" w:hAnsi="宋体" w:cs="宋体"/>
                <w:b w:val="0"/>
                <w:i w:val="0"/>
                <w:color w:val="000000"/>
                <w:sz w:val="19"/>
              </w:rPr>
              <w:t xml:space="preserve">22.20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1.07</w:t>
            </w:r>
          </w:p>
        </w:tc>
        <w:tc>
          <w:tcPr>
            <w:tcW w:w="1600" w:type="dxa"/>
            <w:tcBorders/>
            <w:vAlign w:val="center"/>
          </w:tcPr>
          <w:p>
            <w:pPr>
              <w:jc w:val="right"/>
            </w:pPr>
            <w:r>
              <w:rPr>
                <w:rFonts w:ascii="宋体" w:eastAsia="宋体" w:hAnsi="宋体" w:cs="宋体"/>
                <w:b w:val="0"/>
                <w:i w:val="0"/>
                <w:color w:val="000000"/>
                <w:sz w:val="19"/>
              </w:rPr>
              <w:t xml:space="preserve">1.07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1.07</w:t>
            </w:r>
          </w:p>
        </w:tc>
        <w:tc>
          <w:tcPr>
            <w:tcW w:w="1600" w:type="dxa"/>
            <w:tcBorders/>
            <w:vAlign w:val="center"/>
          </w:tcPr>
          <w:p>
            <w:pPr>
              <w:jc w:val="right"/>
            </w:pPr>
            <w:r>
              <w:rPr>
                <w:rFonts w:ascii="宋体" w:eastAsia="宋体" w:hAnsi="宋体" w:cs="宋体"/>
                <w:b w:val="0"/>
                <w:i w:val="0"/>
                <w:color w:val="000000"/>
                <w:sz w:val="19"/>
              </w:rPr>
              <w:t xml:space="preserve">1.07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1.07</w:t>
            </w:r>
          </w:p>
        </w:tc>
        <w:tc>
          <w:tcPr>
            <w:tcW w:w="1600" w:type="dxa"/>
            <w:tcBorders/>
            <w:vAlign w:val="center"/>
          </w:tcPr>
          <w:p>
            <w:pPr>
              <w:jc w:val="right"/>
            </w:pPr>
            <w:r>
              <w:rPr>
                <w:rFonts w:ascii="宋体" w:eastAsia="宋体" w:hAnsi="宋体" w:cs="宋体"/>
                <w:b w:val="0"/>
                <w:i w:val="0"/>
                <w:color w:val="000000"/>
                <w:sz w:val="19"/>
              </w:rPr>
              <w:t xml:space="preserve">1.07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单位：许昌市建设工程招标投标服务中心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32.12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0.11</w:t>
            </w:r>
          </w:p>
        </w:tc>
        <w:tc>
          <w:tcPr>
            <w:tcW w:w="1420" w:type="dxa"/>
            <w:tcBorders/>
            <w:vAlign w:val="center"/>
          </w:tcPr>
          <w:p>
            <w:pPr>
              <w:jc w:val="right"/>
            </w:pPr>
            <w:r>
              <w:rPr>
                <w:rFonts w:ascii="宋体" w:eastAsia="宋体" w:hAnsi="宋体" w:cs="宋体"/>
                <w:b w:val="0"/>
                <w:i w:val="0"/>
                <w:color w:val="000000"/>
                <w:sz w:val="18"/>
              </w:rPr>
              <w:t xml:space="preserve">0.11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8.19</w:t>
            </w:r>
          </w:p>
        </w:tc>
        <w:tc>
          <w:tcPr>
            <w:tcW w:w="1420" w:type="dxa"/>
            <w:tcBorders/>
            <w:vAlign w:val="center"/>
          </w:tcPr>
          <w:p>
            <w:pPr>
              <w:jc w:val="right"/>
            </w:pPr>
            <w:r>
              <w:rPr>
                <w:rFonts w:ascii="宋体" w:eastAsia="宋体" w:hAnsi="宋体" w:cs="宋体"/>
                <w:b w:val="0"/>
                <w:i w:val="0"/>
                <w:color w:val="000000"/>
                <w:sz w:val="18"/>
              </w:rPr>
              <w:t xml:space="preserve">8.19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0.56</w:t>
            </w:r>
          </w:p>
        </w:tc>
        <w:tc>
          <w:tcPr>
            <w:tcW w:w="1420" w:type="dxa"/>
            <w:tcBorders/>
            <w:vAlign w:val="center"/>
          </w:tcPr>
          <w:p>
            <w:pPr>
              <w:jc w:val="right"/>
            </w:pPr>
            <w:r>
              <w:rPr>
                <w:rFonts w:ascii="宋体" w:eastAsia="宋体" w:hAnsi="宋体" w:cs="宋体"/>
                <w:b w:val="0"/>
                <w:i w:val="0"/>
                <w:color w:val="000000"/>
                <w:sz w:val="18"/>
              </w:rPr>
              <w:t xml:space="preserve">0.56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22.20</w:t>
            </w:r>
          </w:p>
        </w:tc>
        <w:tc>
          <w:tcPr>
            <w:tcW w:w="1420" w:type="dxa"/>
            <w:tcBorders/>
            <w:vAlign w:val="center"/>
          </w:tcPr>
          <w:p>
            <w:pPr>
              <w:jc w:val="right"/>
            </w:pPr>
            <w:r>
              <w:rPr>
                <w:rFonts w:ascii="宋体" w:eastAsia="宋体" w:hAnsi="宋体" w:cs="宋体"/>
                <w:b w:val="0"/>
                <w:i w:val="0"/>
                <w:color w:val="000000"/>
                <w:sz w:val="18"/>
              </w:rPr>
              <w:t xml:space="preserve">22.20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1.07</w:t>
            </w:r>
          </w:p>
        </w:tc>
        <w:tc>
          <w:tcPr>
            <w:tcW w:w="1420" w:type="dxa"/>
            <w:tcBorders/>
            <w:vAlign w:val="center"/>
          </w:tcPr>
          <w:p>
            <w:pPr>
              <w:jc w:val="right"/>
            </w:pPr>
            <w:r>
              <w:rPr>
                <w:rFonts w:ascii="宋体" w:eastAsia="宋体" w:hAnsi="宋体" w:cs="宋体"/>
                <w:b w:val="0"/>
                <w:i w:val="0"/>
                <w:color w:val="000000"/>
                <w:sz w:val="18"/>
              </w:rPr>
              <w:t xml:space="preserve">1.07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32.12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32.12</w:t>
            </w:r>
          </w:p>
        </w:tc>
        <w:tc>
          <w:tcPr>
            <w:tcW w:w="1420" w:type="dxa"/>
            <w:tcBorders/>
            <w:vAlign w:val="center"/>
          </w:tcPr>
          <w:p>
            <w:pPr>
              <w:jc w:val="right"/>
            </w:pPr>
            <w:r>
              <w:rPr>
                <w:rFonts w:ascii="宋体" w:eastAsia="宋体" w:hAnsi="宋体" w:cs="宋体"/>
                <w:b w:val="0"/>
                <w:i w:val="0"/>
                <w:color w:val="000000"/>
                <w:sz w:val="18"/>
              </w:rPr>
              <w:t xml:space="preserve">32.12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32.12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32.12</w:t>
            </w:r>
          </w:p>
        </w:tc>
        <w:tc>
          <w:tcPr>
            <w:tcW w:w="1420" w:type="dxa"/>
            <w:tcBorders/>
            <w:vAlign w:val="center"/>
          </w:tcPr>
          <w:p>
            <w:pPr>
              <w:jc w:val="right"/>
            </w:pPr>
            <w:r>
              <w:rPr>
                <w:rFonts w:ascii="宋体" w:eastAsia="宋体" w:hAnsi="宋体" w:cs="宋体"/>
                <w:b w:val="0"/>
                <w:i w:val="0"/>
                <w:color w:val="000000"/>
                <w:sz w:val="18"/>
              </w:rPr>
              <w:t xml:space="preserve">32.12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单位：许昌市建设工程招标投标服务中心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32.12</w:t>
            </w:r>
          </w:p>
        </w:tc>
        <w:tc>
          <w:tcPr>
            <w:tcW w:w="2700" w:type="dxa"/>
            <w:tcBorders/>
            <w:vAlign w:val="center"/>
          </w:tcPr>
          <w:p>
            <w:pPr>
              <w:jc w:val="right"/>
            </w:pPr>
            <w:r>
              <w:rPr>
                <w:rFonts w:ascii="宋体" w:eastAsia="宋体" w:hAnsi="宋体" w:cs="宋体"/>
                <w:b/>
                <w:i w:val="0"/>
                <w:color w:val="000000"/>
                <w:sz w:val="25"/>
              </w:rPr>
              <w:t xml:space="preserve">32.12</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0.11</w:t>
            </w:r>
          </w:p>
        </w:tc>
        <w:tc>
          <w:tcPr>
            <w:tcW w:w="2700" w:type="dxa"/>
            <w:tcBorders/>
            <w:vAlign w:val="center"/>
          </w:tcPr>
          <w:p>
            <w:pPr>
              <w:jc w:val="right"/>
            </w:pPr>
            <w:r>
              <w:rPr>
                <w:rFonts w:ascii="宋体" w:eastAsia="宋体" w:hAnsi="宋体" w:cs="宋体"/>
                <w:b w:val="0"/>
                <w:i w:val="0"/>
                <w:color w:val="000000"/>
                <w:sz w:val="25"/>
              </w:rPr>
              <w:t xml:space="preserve">0.11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0.11</w:t>
            </w:r>
          </w:p>
        </w:tc>
        <w:tc>
          <w:tcPr>
            <w:tcW w:w="2700" w:type="dxa"/>
            <w:tcBorders/>
            <w:vAlign w:val="center"/>
          </w:tcPr>
          <w:p>
            <w:pPr>
              <w:jc w:val="right"/>
            </w:pPr>
            <w:r>
              <w:rPr>
                <w:rFonts w:ascii="宋体" w:eastAsia="宋体" w:hAnsi="宋体" w:cs="宋体"/>
                <w:b w:val="0"/>
                <w:i w:val="0"/>
                <w:color w:val="000000"/>
                <w:sz w:val="25"/>
              </w:rPr>
              <w:t xml:space="preserve">0.11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0.11</w:t>
            </w:r>
          </w:p>
        </w:tc>
        <w:tc>
          <w:tcPr>
            <w:tcW w:w="2700" w:type="dxa"/>
            <w:tcBorders/>
            <w:vAlign w:val="center"/>
          </w:tcPr>
          <w:p>
            <w:pPr>
              <w:jc w:val="right"/>
            </w:pPr>
            <w:r>
              <w:rPr>
                <w:rFonts w:ascii="宋体" w:eastAsia="宋体" w:hAnsi="宋体" w:cs="宋体"/>
                <w:b w:val="0"/>
                <w:i w:val="0"/>
                <w:color w:val="000000"/>
                <w:sz w:val="25"/>
              </w:rPr>
              <w:t xml:space="preserve">0.11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8.19</w:t>
            </w:r>
          </w:p>
        </w:tc>
        <w:tc>
          <w:tcPr>
            <w:tcW w:w="2700" w:type="dxa"/>
            <w:tcBorders/>
            <w:vAlign w:val="center"/>
          </w:tcPr>
          <w:p>
            <w:pPr>
              <w:jc w:val="right"/>
            </w:pPr>
            <w:r>
              <w:rPr>
                <w:rFonts w:ascii="宋体" w:eastAsia="宋体" w:hAnsi="宋体" w:cs="宋体"/>
                <w:b w:val="0"/>
                <w:i w:val="0"/>
                <w:color w:val="000000"/>
                <w:sz w:val="25"/>
              </w:rPr>
              <w:t xml:space="preserve">8.19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8.19</w:t>
            </w:r>
          </w:p>
        </w:tc>
        <w:tc>
          <w:tcPr>
            <w:tcW w:w="2700" w:type="dxa"/>
            <w:tcBorders/>
            <w:vAlign w:val="center"/>
          </w:tcPr>
          <w:p>
            <w:pPr>
              <w:jc w:val="right"/>
            </w:pPr>
            <w:r>
              <w:rPr>
                <w:rFonts w:ascii="宋体" w:eastAsia="宋体" w:hAnsi="宋体" w:cs="宋体"/>
                <w:b w:val="0"/>
                <w:i w:val="0"/>
                <w:color w:val="000000"/>
                <w:sz w:val="25"/>
              </w:rPr>
              <w:t xml:space="preserve">8.19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7.03</w:t>
            </w:r>
          </w:p>
        </w:tc>
        <w:tc>
          <w:tcPr>
            <w:tcW w:w="2700" w:type="dxa"/>
            <w:tcBorders/>
            <w:vAlign w:val="center"/>
          </w:tcPr>
          <w:p>
            <w:pPr>
              <w:jc w:val="right"/>
            </w:pPr>
            <w:r>
              <w:rPr>
                <w:rFonts w:ascii="宋体" w:eastAsia="宋体" w:hAnsi="宋体" w:cs="宋体"/>
                <w:b w:val="0"/>
                <w:i w:val="0"/>
                <w:color w:val="000000"/>
                <w:sz w:val="25"/>
              </w:rPr>
              <w:t xml:space="preserve">7.03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1.16</w:t>
            </w:r>
          </w:p>
        </w:tc>
        <w:tc>
          <w:tcPr>
            <w:tcW w:w="2700" w:type="dxa"/>
            <w:tcBorders/>
            <w:vAlign w:val="center"/>
          </w:tcPr>
          <w:p>
            <w:pPr>
              <w:jc w:val="right"/>
            </w:pPr>
            <w:r>
              <w:rPr>
                <w:rFonts w:ascii="宋体" w:eastAsia="宋体" w:hAnsi="宋体" w:cs="宋体"/>
                <w:b w:val="0"/>
                <w:i w:val="0"/>
                <w:color w:val="000000"/>
                <w:sz w:val="25"/>
              </w:rPr>
              <w:t xml:space="preserve">1.16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0.56</w:t>
            </w:r>
          </w:p>
        </w:tc>
        <w:tc>
          <w:tcPr>
            <w:tcW w:w="2700" w:type="dxa"/>
            <w:tcBorders/>
            <w:vAlign w:val="center"/>
          </w:tcPr>
          <w:p>
            <w:pPr>
              <w:jc w:val="right"/>
            </w:pPr>
            <w:r>
              <w:rPr>
                <w:rFonts w:ascii="宋体" w:eastAsia="宋体" w:hAnsi="宋体" w:cs="宋体"/>
                <w:b w:val="0"/>
                <w:i w:val="0"/>
                <w:color w:val="000000"/>
                <w:sz w:val="25"/>
              </w:rPr>
              <w:t xml:space="preserve">0.56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0.56</w:t>
            </w:r>
          </w:p>
        </w:tc>
        <w:tc>
          <w:tcPr>
            <w:tcW w:w="2700" w:type="dxa"/>
            <w:tcBorders/>
            <w:vAlign w:val="center"/>
          </w:tcPr>
          <w:p>
            <w:pPr>
              <w:jc w:val="right"/>
            </w:pPr>
            <w:r>
              <w:rPr>
                <w:rFonts w:ascii="宋体" w:eastAsia="宋体" w:hAnsi="宋体" w:cs="宋体"/>
                <w:b w:val="0"/>
                <w:i w:val="0"/>
                <w:color w:val="000000"/>
                <w:sz w:val="25"/>
              </w:rPr>
              <w:t xml:space="preserve">0.56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0.56</w:t>
            </w:r>
          </w:p>
        </w:tc>
        <w:tc>
          <w:tcPr>
            <w:tcW w:w="2700" w:type="dxa"/>
            <w:tcBorders/>
            <w:vAlign w:val="center"/>
          </w:tcPr>
          <w:p>
            <w:pPr>
              <w:jc w:val="right"/>
            </w:pPr>
            <w:r>
              <w:rPr>
                <w:rFonts w:ascii="宋体" w:eastAsia="宋体" w:hAnsi="宋体" w:cs="宋体"/>
                <w:b w:val="0"/>
                <w:i w:val="0"/>
                <w:color w:val="000000"/>
                <w:sz w:val="25"/>
              </w:rPr>
              <w:t xml:space="preserve">0.56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22.20</w:t>
            </w:r>
          </w:p>
        </w:tc>
        <w:tc>
          <w:tcPr>
            <w:tcW w:w="2700" w:type="dxa"/>
            <w:tcBorders/>
            <w:vAlign w:val="center"/>
          </w:tcPr>
          <w:p>
            <w:pPr>
              <w:jc w:val="right"/>
            </w:pPr>
            <w:r>
              <w:rPr>
                <w:rFonts w:ascii="宋体" w:eastAsia="宋体" w:hAnsi="宋体" w:cs="宋体"/>
                <w:b w:val="0"/>
                <w:i w:val="0"/>
                <w:color w:val="000000"/>
                <w:sz w:val="25"/>
              </w:rPr>
              <w:t xml:space="preserve">22.20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22.20</w:t>
            </w:r>
          </w:p>
        </w:tc>
        <w:tc>
          <w:tcPr>
            <w:tcW w:w="2700" w:type="dxa"/>
            <w:tcBorders/>
            <w:vAlign w:val="center"/>
          </w:tcPr>
          <w:p>
            <w:pPr>
              <w:jc w:val="right"/>
            </w:pPr>
            <w:r>
              <w:rPr>
                <w:rFonts w:ascii="宋体" w:eastAsia="宋体" w:hAnsi="宋体" w:cs="宋体"/>
                <w:b w:val="0"/>
                <w:i w:val="0"/>
                <w:color w:val="000000"/>
                <w:sz w:val="25"/>
              </w:rPr>
              <w:t xml:space="preserve">22.20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其他城乡社区管理事务支出</w:t>
            </w:r>
          </w:p>
        </w:tc>
        <w:tc>
          <w:tcPr>
            <w:tcW w:w="2700" w:type="dxa"/>
            <w:tcBorders/>
            <w:vAlign w:val="center"/>
          </w:tcPr>
          <w:p>
            <w:pPr>
              <w:jc w:val="right"/>
            </w:pPr>
            <w:r>
              <w:rPr>
                <w:rFonts w:ascii="宋体" w:eastAsia="宋体" w:hAnsi="宋体" w:cs="宋体"/>
                <w:b w:val="0"/>
                <w:i w:val="0"/>
                <w:color w:val="000000"/>
                <w:sz w:val="25"/>
              </w:rPr>
              <w:t xml:space="preserve">22.20</w:t>
            </w:r>
          </w:p>
        </w:tc>
        <w:tc>
          <w:tcPr>
            <w:tcW w:w="2700" w:type="dxa"/>
            <w:tcBorders/>
            <w:vAlign w:val="center"/>
          </w:tcPr>
          <w:p>
            <w:pPr>
              <w:jc w:val="right"/>
            </w:pPr>
            <w:r>
              <w:rPr>
                <w:rFonts w:ascii="宋体" w:eastAsia="宋体" w:hAnsi="宋体" w:cs="宋体"/>
                <w:b w:val="0"/>
                <w:i w:val="0"/>
                <w:color w:val="000000"/>
                <w:sz w:val="25"/>
              </w:rPr>
              <w:t xml:space="preserve">22.20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1.07</w:t>
            </w:r>
          </w:p>
        </w:tc>
        <w:tc>
          <w:tcPr>
            <w:tcW w:w="2700" w:type="dxa"/>
            <w:tcBorders/>
            <w:vAlign w:val="center"/>
          </w:tcPr>
          <w:p>
            <w:pPr>
              <w:jc w:val="right"/>
            </w:pPr>
            <w:r>
              <w:rPr>
                <w:rFonts w:ascii="宋体" w:eastAsia="宋体" w:hAnsi="宋体" w:cs="宋体"/>
                <w:b w:val="0"/>
                <w:i w:val="0"/>
                <w:color w:val="000000"/>
                <w:sz w:val="25"/>
              </w:rPr>
              <w:t xml:space="preserve">1.07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1.07</w:t>
            </w:r>
          </w:p>
        </w:tc>
        <w:tc>
          <w:tcPr>
            <w:tcW w:w="2700" w:type="dxa"/>
            <w:tcBorders/>
            <w:vAlign w:val="center"/>
          </w:tcPr>
          <w:p>
            <w:pPr>
              <w:jc w:val="right"/>
            </w:pPr>
            <w:r>
              <w:rPr>
                <w:rFonts w:ascii="宋体" w:eastAsia="宋体" w:hAnsi="宋体" w:cs="宋体"/>
                <w:b w:val="0"/>
                <w:i w:val="0"/>
                <w:color w:val="000000"/>
                <w:sz w:val="25"/>
              </w:rPr>
              <w:t xml:space="preserve">1.07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1.07</w:t>
            </w:r>
          </w:p>
        </w:tc>
        <w:tc>
          <w:tcPr>
            <w:tcW w:w="2700" w:type="dxa"/>
            <w:tcBorders/>
            <w:vAlign w:val="center"/>
          </w:tcPr>
          <w:p>
            <w:pPr>
              <w:jc w:val="right"/>
            </w:pPr>
            <w:r>
              <w:rPr>
                <w:rFonts w:ascii="宋体" w:eastAsia="宋体" w:hAnsi="宋体" w:cs="宋体"/>
                <w:b w:val="0"/>
                <w:i w:val="0"/>
                <w:color w:val="000000"/>
                <w:sz w:val="25"/>
              </w:rPr>
              <w:t xml:space="preserve">1.07</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单位：许昌市建设工程招标投标服务中心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17.92</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7.16</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5.34</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1.49</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3.12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4.20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0.30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2.33</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1.18</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0.08</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0.58</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0.24</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1.07</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0.04</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7.03</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0.01</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7.03</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4.06</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0.36</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0.11</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0.13</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0.40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24.95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7.16</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单位：许昌市建设工程招标投标服务中心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单位：许昌市建设工程招标投标服务中心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单位：许昌市建设工程招标投标服务中心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32.12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减少7.28万元，下降18.48%</w:t>
      </w:r>
      <w:r>
        <w:rPr>
          <w:rFonts w:ascii="仿宋" w:eastAsia="仿宋" w:hAnsi="仿宋" w:cs="仿宋" w:hint="eastAsia"/>
          <w:kern w:val="0"/>
          <w:sz w:val="32"/>
          <w:szCs w:val="32"/>
          <w:lang w:val="en-US" w:eastAsia="zh-CN"/>
        </w:rPr>
        <w:t xml:space="preserve">。主要原因是在职人员减少。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32.12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财政拨款收入32.12万元，占100.00%；上级补助收入0.00万元，占0.00%；事业收入0.00万元，占0.00%；经营收入0.00万元，占0.00%；附属单位上缴收入0.00万元，占0.00%；其他收入0.00万元，占0.00%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32.12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基本支出32.12万元，占100.00%；项目支出0.00万元，占0.00%；上缴上级支出0.00万元，占0.00%；经营支出0.00万元，占0.00%；对附属单位补助支出0.00万元，占0.00%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32.12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减少7.28万元，下降18.48%</w:t>
      </w:r>
      <w:r>
        <w:rPr>
          <w:rFonts w:ascii="仿宋" w:eastAsia="仿宋" w:hAnsi="仿宋" w:cs="仿宋" w:hint="eastAsia"/>
          <w:kern w:val="0"/>
          <w:sz w:val="32"/>
          <w:szCs w:val="32"/>
          <w:lang w:val="en-US" w:eastAsia="zh-CN"/>
        </w:rPr>
        <w:t xml:space="preserve">。主要原因是在职人员减少。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32.12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减少7.28万元，下降18.48%</w:t>
      </w:r>
      <w:r>
        <w:rPr>
          <w:rFonts w:ascii="仿宋" w:eastAsia="仿宋" w:hAnsi="仿宋" w:cs="仿宋" w:hint="eastAsia"/>
          <w:kern w:val="0"/>
          <w:sz w:val="32"/>
          <w:szCs w:val="32"/>
          <w:lang w:val="en-US" w:eastAsia="zh-CN"/>
        </w:rPr>
        <w:t xml:space="preserve">。主要原因是在职人员减少。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32.12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一般公共服务支出（类）0.11万元，占0.34%；社会保障和就业支出（类）8.19万元，占25.50%；卫生健康支出（类）0.56万元，占1.74%；城乡社区支出（类）22.20万元，占69.12%；住房保障支出（类）1.07万元，占3.33%</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31.63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32.12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101.55</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年初预算数为0.11万元，决算数0.11万元,完成年初预算的100.00%，决算数与年初预算数不存在差异。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年初预算数为7.03万元，决算数7.03万元,完成年初预算的100.00%，决算数与年初预算数不存在差异。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年初预算数为1.16万元，决算数1.16万元,完成年初预算的100.00%，决算数与年初预算数不存在差异。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4.卫生健康支出（类）行政事业单位医疗（款）事业单位医疗（项）</w:t>
      </w:r>
      <w:r>
        <w:rPr>
          <w:rFonts w:ascii="仿宋" w:eastAsia="仿宋" w:hAnsi="仿宋" w:cs="仿宋" w:hint="default"/>
          <w:kern w:val="2"/>
          <w:sz w:val="32"/>
          <w:szCs w:val="32"/>
          <w:lang w:val="en-US" w:eastAsia="zh-CN"/>
        </w:rPr>
        <w:t xml:space="preserve">年初预算数为0.56万元，决算数0.56万元,完成年初预算的100.00%，决算数与年初预算数不存在差异。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5.城乡社区支出（类）城乡社区管理事务（款）其他城乡社区管理事务支出（项）</w:t>
      </w:r>
      <w:r>
        <w:rPr>
          <w:rFonts w:ascii="仿宋" w:eastAsia="仿宋" w:hAnsi="仿宋" w:cs="仿宋" w:hint="default"/>
          <w:kern w:val="2"/>
          <w:sz w:val="32"/>
          <w:szCs w:val="32"/>
          <w:lang w:val="en-US" w:eastAsia="zh-CN"/>
        </w:rPr>
        <w:t xml:space="preserve">年初预算数为21.71万元，决算数22.20万元,完成年初预算的102.26%，决算数与年初预算数存在差异的主要原因是追加人员经费。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6.住房保障支出（类）住房改革支出（款）住房公积金（项）</w:t>
      </w:r>
      <w:r>
        <w:rPr>
          <w:rFonts w:ascii="仿宋" w:eastAsia="仿宋" w:hAnsi="仿宋" w:cs="仿宋" w:hint="default"/>
          <w:kern w:val="2"/>
          <w:sz w:val="32"/>
          <w:szCs w:val="32"/>
          <w:lang w:val="en-US" w:eastAsia="zh-CN"/>
        </w:rPr>
        <w:t xml:space="preserve">年初预算数为1.07万元，决算数1.07万元,完成年初预算的100.00%，决算数与年初预算数不存在差异。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32.12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其中：人员经费24.95万元，主要包括：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公用经费7.16万元，主要包括：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32.12</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好</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本单位在工作目标管理、重点工作、目标实现方面完成了年初绩效设定目标；在预算管理、财务管理、资产管理、运行成本控制方面真实完整反映年初绩效目标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354"/>
        <w:gridCol w:w="354"/>
        <w:gridCol w:w="996"/>
        <w:gridCol w:w="1048"/>
        <w:gridCol w:w="826"/>
        <w:gridCol w:w="2647"/>
        <w:gridCol w:w="1245"/>
        <w:gridCol w:w="446"/>
        <w:gridCol w:w="970"/>
        <w:gridCol w:w="1022"/>
      </w:tblGrid>
      <w:tr>
        <w:trPr>
          <w:trHeight w:hRule="exact" w:val="198"/>
          <w:jc w:val="center"/>
        </w:trPr>
        <w:tc>
          <w:tcPr>
            <w:tcW w:w="354" w:type="dxa"/>
            <w:shd w:val="clear" w:color="auto" w:fill="auto"/>
            <w:vAlign w:val="bottom"/>
          </w:tcPr>
          <w:p>
            <w:pPr>
              <w:snapToGrid w:val="0"/>
              <w:spacing w:before="0" w:beforeAutospacing="0" w:after="0" w:afterAutospacing="0" w:line="240" w:lineRule="auto"/>
            </w:pPr>
            <w:r>
              <w:rPr>
                <w:rFonts w:ascii="黑体" w:eastAsia="黑体" w:hAnsi="黑体" w:cs="黑体"/>
                <w:b w:val="0"/>
                <w:i w:val="0"/>
                <w:color w:val="000000"/>
                <w:sz w:val="15"/>
              </w:rPr>
              <w:t xml:space="preserve">附件2</w:t>
            </w:r>
          </w:p>
        </w:tc>
        <w:tc>
          <w:tcPr>
            <w:tcW w:w="354" w:type="dxa"/>
            <w:shd w:val="clear" w:color="auto" w:fill="auto"/>
            <w:vAlign w:val="bottom"/>
          </w:tcPr>
          <w:p>
            <w:pPr>
              <w:snapToGrid w:val="0"/>
              <w:spacing w:before="0" w:beforeAutospacing="0" w:after="0" w:afterAutospacing="0" w:line="240" w:lineRule="auto"/>
            </w:pPr>
          </w:p>
        </w:tc>
        <w:tc>
          <w:tcPr>
            <w:tcW w:w="996" w:type="dxa"/>
            <w:shd w:val="clear" w:color="auto" w:fill="auto"/>
            <w:vAlign w:val="bottom"/>
          </w:tcPr>
          <w:p>
            <w:pPr>
              <w:snapToGrid w:val="0"/>
              <w:spacing w:before="0" w:beforeAutospacing="0" w:after="0" w:afterAutospacing="0" w:line="240" w:lineRule="auto"/>
            </w:pPr>
          </w:p>
        </w:tc>
        <w:tc>
          <w:tcPr>
            <w:tcW w:w="1048" w:type="dxa"/>
            <w:shd w:val="clear" w:color="auto" w:fill="auto"/>
            <w:vAlign w:val="bottom"/>
          </w:tcPr>
          <w:p>
            <w:pPr>
              <w:snapToGrid w:val="0"/>
              <w:spacing w:before="0" w:beforeAutospacing="0" w:after="0" w:afterAutospacing="0" w:line="240" w:lineRule="auto"/>
            </w:pPr>
          </w:p>
        </w:tc>
        <w:tc>
          <w:tcPr>
            <w:tcW w:w="826" w:type="dxa"/>
            <w:shd w:val="clear" w:color="auto" w:fill="auto"/>
            <w:vAlign w:val="bottom"/>
          </w:tcPr>
          <w:p>
            <w:pPr>
              <w:snapToGrid w:val="0"/>
              <w:spacing w:before="0" w:beforeAutospacing="0" w:after="0" w:afterAutospacing="0" w:line="240" w:lineRule="auto"/>
            </w:pPr>
          </w:p>
        </w:tc>
        <w:tc>
          <w:tcPr>
            <w:tcW w:w="2647" w:type="dxa"/>
            <w:shd w:val="clear" w:color="auto" w:fill="auto"/>
            <w:vAlign w:val="bottom"/>
          </w:tcPr>
          <w:p>
            <w:pPr>
              <w:snapToGrid w:val="0"/>
              <w:spacing w:before="0" w:beforeAutospacing="0" w:after="0" w:afterAutospacing="0" w:line="240" w:lineRule="auto"/>
            </w:pPr>
          </w:p>
        </w:tc>
        <w:tc>
          <w:tcPr>
            <w:tcW w:w="1245" w:type="dxa"/>
            <w:shd w:val="clear" w:color="auto" w:fill="auto"/>
            <w:vAlign w:val="bottom"/>
          </w:tcPr>
          <w:p>
            <w:pPr>
              <w:snapToGrid w:val="0"/>
              <w:spacing w:before="0" w:beforeAutospacing="0" w:after="0" w:afterAutospacing="0" w:line="240" w:lineRule="auto"/>
            </w:pPr>
          </w:p>
        </w:tc>
        <w:tc>
          <w:tcPr>
            <w:tcW w:w="446" w:type="dxa"/>
            <w:shd w:val="clear" w:color="auto" w:fill="auto"/>
            <w:vAlign w:val="bottom"/>
          </w:tcPr>
          <w:p>
            <w:pPr>
              <w:snapToGrid w:val="0"/>
              <w:spacing w:before="0" w:beforeAutospacing="0" w:after="0" w:afterAutospacing="0" w:line="240" w:lineRule="auto"/>
            </w:pPr>
          </w:p>
        </w:tc>
        <w:tc>
          <w:tcPr>
            <w:tcW w:w="970" w:type="dxa"/>
            <w:shd w:val="clear" w:color="auto" w:fill="auto"/>
            <w:vAlign w:val="bottom"/>
          </w:tcPr>
          <w:p>
            <w:pPr>
              <w:snapToGrid w:val="0"/>
              <w:spacing w:before="0" w:beforeAutospacing="0" w:after="0" w:afterAutospacing="0" w:line="240" w:lineRule="auto"/>
            </w:pPr>
          </w:p>
        </w:tc>
        <w:tc>
          <w:tcPr>
            <w:tcW w:w="1022" w:type="dxa"/>
            <w:shd w:val="clear" w:color="auto" w:fill="auto"/>
            <w:vAlign w:val="bottom"/>
          </w:tcPr>
          <w:p>
            <w:pPr>
              <w:snapToGrid w:val="0"/>
              <w:spacing w:before="0" w:beforeAutospacing="0" w:after="0" w:afterAutospacing="0" w:line="240" w:lineRule="auto"/>
            </w:pPr>
          </w:p>
        </w:tc>
      </w:tr>
      <w:tr>
        <w:trPr>
          <w:trHeight w:hRule="exact" w:val="357"/>
          <w:jc w:val="center"/>
        </w:trPr>
        <w:tc>
          <w:tcPr>
            <w:tcW w:w="9908" w:type="dxa"/>
            <w:hMerge w:val="restart"/>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i w:val="0"/>
                <w:color w:val="000000"/>
                <w:sz w:val="21"/>
              </w:rPr>
              <w:t xml:space="preserve">部门整体自评表</w:t>
            </w: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r>
      <w:tr>
        <w:trPr>
          <w:trHeight w:hRule="exact" w:val="268"/>
          <w:jc w:val="center"/>
        </w:trPr>
        <w:tc>
          <w:tcPr>
            <w:tcW w:w="9908" w:type="dxa"/>
            <w:hMerge w:val="restart"/>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（2023年度）</w:t>
            </w: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r>
      <w:tr>
        <w:trPr>
          <w:trHeight w:hRule="exact" w:val="268"/>
          <w:jc w:val="center"/>
        </w:trPr>
        <w:tc>
          <w:tcPr>
            <w:tcW w:w="354" w:type="dxa"/>
            <w:tcBorders>
              <w:bottom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2"/>
              </w:rPr>
              <w:t xml:space="preserve">             </w:t>
            </w:r>
          </w:p>
        </w:tc>
        <w:tc>
          <w:tcPr>
            <w:tcW w:w="35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996"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048"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826"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2647"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691"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right"/>
            </w:pPr>
            <w:r>
              <w:rPr>
                <w:rFonts w:ascii="Calibri" w:eastAsia="Calibri" w:hAnsi="Calibri" w:cs="Calibri"/>
                <w:b w:val="0"/>
                <w:i w:val="0"/>
                <w:color w:val="000000"/>
                <w:sz w:val="12"/>
              </w:rPr>
              <w:t xml:space="preserve">填表人及联系方式：</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right"/>
            </w:pPr>
          </w:p>
        </w:tc>
        <w:tc>
          <w:tcPr>
            <w:tcW w:w="1992"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卢珂，2168111</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59"/>
          <w:jc w:val="center"/>
        </w:trPr>
        <w:tc>
          <w:tcPr>
            <w:tcW w:w="170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0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许昌市建设工程招标投标服务中心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170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0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8"/>
          <w:jc w:val="center"/>
        </w:trPr>
        <w:tc>
          <w:tcPr>
            <w:tcW w:w="70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预算</w:t>
            </w:r>
          </w:p>
          <w:p>
            <w:pPr>
              <w:snapToGrid w:val="0"/>
              <w:spacing w:before="0" w:beforeAutospacing="0" w:after="0" w:afterAutospacing="0" w:line="240" w:lineRule="auto"/>
              <w:jc w:val="center"/>
              <w:rPr/>
            </w:pPr>
            <w:r>
              <w:rPr>
                <w:rFonts w:ascii="Calibri" w:eastAsia="Calibri" w:hAnsi="Calibri" w:cs="Calibri"/>
                <w:b w:val="0"/>
                <w:i w:val="0"/>
                <w:color w:val="000000"/>
                <w:sz w:val="12"/>
              </w:rPr>
              <w:t xml:space="preserve">执行</w:t>
            </w:r>
          </w:p>
          <w:p>
            <w:pPr>
              <w:snapToGrid w:val="0"/>
              <w:spacing w:before="0" w:beforeAutospacing="0" w:after="0" w:afterAutospacing="0" w:line="240" w:lineRule="auto"/>
              <w:jc w:val="center"/>
              <w:rPr/>
            </w:pPr>
            <w:r>
              <w:rPr>
                <w:rFonts w:ascii="Calibri" w:eastAsia="Calibri" w:hAnsi="Calibri" w:cs="Calibri"/>
                <w:b w:val="0"/>
                <w:i w:val="0"/>
                <w:color w:val="000000"/>
                <w:sz w:val="12"/>
              </w:rPr>
              <w:t xml:space="preserve">情况</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年初预算数</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全年预算数</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全年执行数</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分值</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预算执行率</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得分</w:t>
            </w:r>
          </w:p>
        </w:tc>
      </w:tr>
      <w:tr>
        <w:trPr>
          <w:trHeight w:hRule="exact" w:val="159"/>
          <w:jc w:val="center"/>
        </w:trPr>
        <w:tc>
          <w:tcPr>
            <w:tcW w:w="70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04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部门预算总额</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31.63</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32.12</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2"/>
              </w:rPr>
              <w:t xml:space="preserve">32.12</w:t>
            </w:r>
          </w:p>
        </w:tc>
        <w:tc>
          <w:tcPr>
            <w:tcW w:w="44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2"/>
              </w:rPr>
              <w:t xml:space="preserve">1</w:t>
            </w:r>
          </w:p>
        </w:tc>
        <w:tc>
          <w:tcPr>
            <w:tcW w:w="1022"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w:t>
            </w:r>
          </w:p>
        </w:tc>
      </w:tr>
      <w:tr>
        <w:trPr>
          <w:trHeight w:hRule="exact" w:val="188"/>
          <w:jc w:val="center"/>
        </w:trPr>
        <w:tc>
          <w:tcPr>
            <w:tcW w:w="70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资金来源</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政府预算资金</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31.63</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32.12</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2"/>
              </w:rPr>
              <w:t xml:space="preserve">32.12</w:t>
            </w:r>
          </w:p>
        </w:tc>
        <w:tc>
          <w:tcPr>
            <w:tcW w:w="446"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2"/>
              </w:rPr>
              <w:t xml:space="preserve">1</w:t>
            </w:r>
          </w:p>
        </w:tc>
        <w:tc>
          <w:tcPr>
            <w:tcW w:w="1022"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8"/>
          <w:jc w:val="center"/>
        </w:trPr>
        <w:tc>
          <w:tcPr>
            <w:tcW w:w="70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  财政专户管理资金</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446"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1022"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8"/>
          <w:jc w:val="center"/>
        </w:trPr>
        <w:tc>
          <w:tcPr>
            <w:tcW w:w="70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单位资金</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44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1022"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8"/>
          <w:jc w:val="center"/>
        </w:trPr>
        <w:tc>
          <w:tcPr>
            <w:tcW w:w="70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2"/>
              </w:rPr>
              <w:t xml:space="preserve">履职</w:t>
            </w:r>
          </w:p>
          <w:p>
            <w:pPr>
              <w:snapToGrid w:val="0"/>
              <w:spacing w:before="0" w:beforeAutospacing="0" w:after="0" w:afterAutospacing="0" w:line="240" w:lineRule="auto"/>
              <w:jc w:val="center"/>
              <w:rPr/>
            </w:pPr>
            <w:r>
              <w:rPr>
                <w:rFonts w:ascii="Calibri" w:eastAsia="Calibri" w:hAnsi="Calibri" w:cs="Calibri"/>
                <w:b w:val="0"/>
                <w:i w:val="0"/>
                <w:color w:val="000000"/>
                <w:sz w:val="12"/>
              </w:rPr>
              <w:t xml:space="preserve">目标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5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8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27"/>
          <w:jc w:val="center"/>
        </w:trPr>
        <w:tc>
          <w:tcPr>
            <w:tcW w:w="70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2"/>
              </w:rPr>
              <w:t xml:space="preserve">目标名称</w:t>
            </w:r>
          </w:p>
        </w:tc>
        <w:tc>
          <w:tcPr>
            <w:tcW w:w="452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8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目标完成情况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76"/>
          <w:jc w:val="center"/>
        </w:trPr>
        <w:tc>
          <w:tcPr>
            <w:tcW w:w="70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2"/>
              </w:rPr>
              <w:t xml:space="preserve">认真履行监管职责</w:t>
            </w:r>
          </w:p>
        </w:tc>
        <w:tc>
          <w:tcPr>
            <w:tcW w:w="452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持续深入优化招投标市场营商环境，进一步规范市本级财政投资项目招标投标活动，招投标市场更加公平公正规范有序。</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8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已完成</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17"/>
          <w:jc w:val="center"/>
        </w:trPr>
        <w:tc>
          <w:tcPr>
            <w:tcW w:w="70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2"/>
              </w:rPr>
              <w:t xml:space="preserve">主要</w:t>
            </w:r>
          </w:p>
          <w:p>
            <w:pPr>
              <w:snapToGrid w:val="0"/>
              <w:spacing w:before="0" w:beforeAutospacing="0" w:after="0" w:afterAutospacing="0" w:line="240" w:lineRule="auto"/>
              <w:jc w:val="center"/>
              <w:rPr/>
            </w:pPr>
            <w:r>
              <w:rPr>
                <w:rFonts w:ascii="Calibri" w:eastAsia="Calibri" w:hAnsi="Calibri" w:cs="Calibri"/>
                <w:b w:val="0"/>
                <w:i w:val="0"/>
                <w:color w:val="000000"/>
                <w:sz w:val="12"/>
              </w:rPr>
              <w:t xml:space="preserve">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2"/>
              </w:rPr>
              <w:t xml:space="preserve">任务名称</w:t>
            </w:r>
          </w:p>
        </w:tc>
        <w:tc>
          <w:tcPr>
            <w:tcW w:w="452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8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任务完成情况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15"/>
          <w:jc w:val="center"/>
        </w:trPr>
        <w:tc>
          <w:tcPr>
            <w:tcW w:w="70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2"/>
              </w:rPr>
              <w:t xml:space="preserve">继续做好招投标日常行业监管， 进一步优化招投标市场营商环境</w:t>
            </w:r>
          </w:p>
        </w:tc>
        <w:tc>
          <w:tcPr>
            <w:tcW w:w="452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加强对市本级财政投资项目招投标活动监管，进一步优化招标文件备案、招投标书面情况报告备案办理流程，对招标人、代理机构进行业务指导，进一步提升服务办事效率和服务质量。</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8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已完成</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18"/>
          <w:jc w:val="center"/>
        </w:trPr>
        <w:tc>
          <w:tcPr>
            <w:tcW w:w="3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一级指标</w:t>
            </w:r>
          </w:p>
        </w:tc>
        <w:tc>
          <w:tcPr>
            <w:tcW w:w="35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分值</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二级指标</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三级指标</w:t>
            </w:r>
          </w:p>
        </w:tc>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年度指标值</w:t>
            </w:r>
          </w:p>
        </w:tc>
        <w:tc>
          <w:tcPr>
            <w:tcW w:w="2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指标值说明</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实际完成值</w:t>
            </w:r>
          </w:p>
        </w:tc>
        <w:tc>
          <w:tcPr>
            <w:tcW w:w="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分值</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得分</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偏差原因分析及改进措施</w:t>
            </w:r>
          </w:p>
        </w:tc>
      </w:tr>
      <w:tr>
        <w:trPr>
          <w:trHeight w:hRule="exact" w:val="218"/>
          <w:jc w:val="center"/>
        </w:trPr>
        <w:tc>
          <w:tcPr>
            <w:tcW w:w="3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6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75"/>
          <w:jc w:val="center"/>
        </w:trPr>
        <w:tc>
          <w:tcPr>
            <w:tcW w:w="35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投入管理指标</w:t>
            </w:r>
          </w:p>
        </w:tc>
        <w:tc>
          <w:tcPr>
            <w:tcW w:w="35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30</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工作目标管理</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年度履职目标相关性</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相关</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1.年度履职目标是否符合国家、省委省政府战略部署和发展规划，与国家、省宏观政策、行业政策一致；2.年度履职目标是否与部门职责、工作规划和重点工作相关；3.确定的预算项目是否合理，是否与履职目标密切相关。</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相关</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4</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4</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55"/>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工作任务科学性</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科学</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1.工作任务是否有明确的绩效目标，是否能体现工作任务的产出和效果；2.工作任务对应的预算项目是否有明确的绩效目标，绩效目标是否与部门职责目标、工作任务目标一致，是否能体现预算项目的产出和效果。</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科学</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4</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4</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75"/>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绩效指标合理性</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合理</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1.预算项目绩效指标设置是否准确反映部门绩效完成情况；2.预算项目绩效指标是否清晰、细化、可评价、可衡量，是否与部门年度的任务数或计划数相对应；3.预算项目绩效指标的评价标准是否清晰、可衡量。</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合理</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4</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4</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56"/>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预算和财务管理</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预算编制完整性</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完整</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1.部门所有收入是否全部纳入部门预算；2.部门支出预算是否统筹各类资金来源，全部纳入部门预算管理。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完整</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4</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4</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7"/>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专项资金细化率</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东文宋体" w:eastAsia="东文宋体" w:hAnsi="东文宋体" w:cs="东文宋体"/>
                <w:b w:val="0"/>
                <w:i w:val="0"/>
                <w:color w:val="000000"/>
                <w:sz w:val="12"/>
              </w:rPr>
              <w:t xml:space="preserve">≥90%</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专项资金细化率=（已细化到具体市县和承担单位的资金数/部门参与分配资金总数）×100%。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东文宋体" w:eastAsia="东文宋体" w:hAnsi="东文宋体" w:cs="东文宋体"/>
                <w:b w:val="0"/>
                <w:i w:val="0"/>
                <w:color w:val="000000"/>
                <w:sz w:val="12"/>
              </w:rPr>
              <w:t xml:space="preserve">≥90%</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66"/>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预算调整率</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Arial" w:eastAsia="Arial" w:hAnsi="Arial" w:cs="Arial"/>
                <w:b w:val="0"/>
                <w:i w:val="0"/>
                <w:color w:val="000000"/>
                <w:sz w:val="12"/>
              </w:rPr>
              <w:t xml:space="preserve">≤15%</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0.015</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56"/>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结转结余率</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Arial" w:eastAsia="Arial" w:hAnsi="Arial" w:cs="Arial"/>
                <w:b w:val="0"/>
                <w:i w:val="0"/>
                <w:color w:val="000000"/>
                <w:sz w:val="12"/>
              </w:rPr>
              <w:t xml:space="preserve">≤20%</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结转结余率=结转结余总额/预算数*100%。结转结余总额是指部门本年度的结转结余资金之和。预算数是指财政部门批复的本年度部门的（调整）预算数。</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0</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37"/>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“三公经费”控制率</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东文宋体" w:eastAsia="东文宋体" w:hAnsi="东文宋体" w:cs="东文宋体"/>
                <w:b w:val="0"/>
                <w:i w:val="0"/>
                <w:color w:val="000000"/>
                <w:sz w:val="12"/>
              </w:rPr>
              <w:t xml:space="preserve">100%</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“三公经费”控制率=本年度“三公经费”实际支出数/“三公经费”预算数*100%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0</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36"/>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政府采购执行率</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东文宋体" w:eastAsia="东文宋体" w:hAnsi="东文宋体" w:cs="东文宋体"/>
                <w:b w:val="0"/>
                <w:i w:val="0"/>
                <w:color w:val="000000"/>
                <w:sz w:val="12"/>
              </w:rPr>
              <w:t xml:space="preserve">≥80%</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政府采购执行率=（实际政府采购金额/政府采购预算数）×100%。政府采购预算：采购机关根据事业发展计划和行政任务编制的、并经过规定程序批准的年度政府采购计划。</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0</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7"/>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决算真实性</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真实</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反映本部门决算工作情况。决算编制数据是否账表一致，即决算报表数据与会计账簿数据是否一致。</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真实</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4</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4</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66"/>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资金使用合规性</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合规</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合规</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4</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4</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654"/>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管理制度健全性</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健全</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健全</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4</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4</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615"/>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预决算信息公开性</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公开</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公开</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882"/>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资产管理规范性</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规范</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规范</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06"/>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绩效管理</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绩效监控完成率</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部门（单位）按要求实施绩效监控的项目数量占应实施绩效监控项目总数的比重。部门绩效监控完成率=已完成绩效监控项目数量/部门项目总数*100%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37"/>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绩效自评完成率</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部门（单位）按要求实施绩效自评的项目数量占应实施绩效自评项目总数的比重。部门绩效自评完成率=已完成评价项目数量/部门项目总数*100%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76"/>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部门绩效评价完成率</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部门重点绩效评价项目评价完成情况。部门绩效评价完成率=已完成评价项目数量/部门重点绩效评价项目数*100%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67"/>
          <w:jc w:val="center"/>
        </w:trPr>
        <w:tc>
          <w:tcPr>
            <w:tcW w:w="35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评价结果应用率</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8"/>
              </w:rPr>
              <w:t xml:space="preserve">绩效监控、单位自评、部门绩效评价、财政重点绩效评价结果应用情况。评价结果应用率=评价提出的意见建议采纳数/提出的意见建议总数*100%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36"/>
          <w:jc w:val="center"/>
        </w:trPr>
        <w:tc>
          <w:tcPr>
            <w:tcW w:w="3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产出指标</w:t>
            </w:r>
          </w:p>
        </w:tc>
        <w:tc>
          <w:tcPr>
            <w:tcW w:w="35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25</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重点工作任务完成</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继续做好招投标日常行业监管， 进一步优化招投标市场营商环境</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77"/>
          <w:jc w:val="center"/>
        </w:trPr>
        <w:tc>
          <w:tcPr>
            <w:tcW w:w="3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履职目标实现</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2"/>
              </w:rPr>
              <w:t xml:space="preserve">认真履行监管职责</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95%</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99%</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17"/>
          <w:jc w:val="center"/>
        </w:trPr>
        <w:tc>
          <w:tcPr>
            <w:tcW w:w="35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效益指标</w:t>
            </w:r>
          </w:p>
        </w:tc>
        <w:tc>
          <w:tcPr>
            <w:tcW w:w="35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35</w:t>
            </w:r>
          </w:p>
        </w:tc>
        <w:tc>
          <w:tcPr>
            <w:tcW w:w="99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履职效益</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经济效益</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保障</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5</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5</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7"/>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社会效益</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保障</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5</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5</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7"/>
          <w:jc w:val="center"/>
        </w:trPr>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满意度</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社会公众满意度</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≥95%</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≥95%</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5</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5</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17"/>
          <w:jc w:val="center"/>
        </w:trPr>
        <w:tc>
          <w:tcPr>
            <w:tcW w:w="35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服务对象满意度</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5</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5</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96"/>
          <w:jc w:val="center"/>
        </w:trPr>
        <w:tc>
          <w:tcPr>
            <w:tcW w:w="74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总分（100分）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=SUM(H19:H42)</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=SUM(I19:I42)</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852"/>
          <w:jc w:val="center"/>
        </w:trPr>
        <w:tc>
          <w:tcPr>
            <w:tcW w:w="9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74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