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许昌市工商业联合会</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许昌市工商业联合会</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许昌市工商业联合会概况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（一）加强民主监督，搞好调查研究，积极参政议政。</w:t>
        <w:br/>
        <w:t xml:space="preserve">    （二）做好非公有制经济代表人士政治安排的推荐工作。</w:t>
        <w:br/>
        <w:t xml:space="preserve">    （三）发展会员和建立基层商会、同业公会、行业协会等商会组织工作。</w:t>
        <w:br/>
        <w:t xml:space="preserve">    （四）协助开展会员和非公有制企业的党、团、工、妇等工作。</w:t>
        <w:br/>
        <w:t xml:space="preserve">    （五）为会员和非公有制经济人士提供信息和科技、管理、法律、会计、审计、融资、咨询等服务。</w:t>
        <w:br/>
        <w:t xml:space="preserve">    （六）承包市委、市政府交办的其他事宜。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许昌市工商业联合会</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办公室、组宣部、经济联络部。</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许昌市工商业联合会</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1.许昌市工商业联合会决算（本级）。</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部门：许昌市工商业联合会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291.04</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207.60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60.15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12.23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11.06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291.04</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291.04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291.04</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291.04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部门：许昌市工商业联合会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291.04</w:t>
            </w:r>
          </w:p>
        </w:tc>
        <w:tc>
          <w:tcPr>
            <w:tcW w:w="1440" w:type="dxa"/>
            <w:tcBorders/>
            <w:vAlign w:val="center"/>
          </w:tcPr>
          <w:p>
            <w:pPr>
              <w:jc w:val="right"/>
            </w:pPr>
            <w:r>
              <w:rPr>
                <w:rFonts w:ascii="宋体" w:eastAsia="宋体" w:hAnsi="宋体" w:cs="宋体"/>
                <w:b/>
                <w:i w:val="0"/>
                <w:color w:val="000000"/>
                <w:sz w:val="17"/>
              </w:rPr>
              <w:t xml:space="preserve">291.04</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207.60</w:t>
            </w:r>
          </w:p>
        </w:tc>
        <w:tc>
          <w:tcPr>
            <w:tcW w:w="1440" w:type="dxa"/>
            <w:tcBorders/>
            <w:vAlign w:val="center"/>
          </w:tcPr>
          <w:p>
            <w:pPr>
              <w:jc w:val="right"/>
            </w:pPr>
            <w:r>
              <w:rPr>
                <w:rFonts w:ascii="宋体" w:eastAsia="宋体" w:hAnsi="宋体" w:cs="宋体"/>
                <w:b w:val="0"/>
                <w:i w:val="0"/>
                <w:color w:val="000000"/>
                <w:sz w:val="17"/>
              </w:rPr>
              <w:t xml:space="preserve">207.60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民主党派及工商联事务</w:t>
            </w:r>
          </w:p>
        </w:tc>
        <w:tc>
          <w:tcPr>
            <w:tcW w:w="1440" w:type="dxa"/>
            <w:tcBorders/>
            <w:vAlign w:val="center"/>
          </w:tcPr>
          <w:p>
            <w:pPr>
              <w:jc w:val="right"/>
            </w:pPr>
            <w:r>
              <w:rPr>
                <w:rFonts w:ascii="宋体" w:eastAsia="宋体" w:hAnsi="宋体" w:cs="宋体"/>
                <w:b w:val="0"/>
                <w:i w:val="0"/>
                <w:color w:val="000000"/>
                <w:sz w:val="17"/>
              </w:rPr>
              <w:t xml:space="preserve">194.82</w:t>
            </w:r>
          </w:p>
        </w:tc>
        <w:tc>
          <w:tcPr>
            <w:tcW w:w="1440" w:type="dxa"/>
            <w:tcBorders/>
            <w:vAlign w:val="center"/>
          </w:tcPr>
          <w:p>
            <w:pPr>
              <w:jc w:val="right"/>
            </w:pPr>
            <w:r>
              <w:rPr>
                <w:rFonts w:ascii="宋体" w:eastAsia="宋体" w:hAnsi="宋体" w:cs="宋体"/>
                <w:b w:val="0"/>
                <w:i w:val="0"/>
                <w:color w:val="000000"/>
                <w:sz w:val="17"/>
              </w:rPr>
              <w:t xml:space="preserve">194.82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182.91</w:t>
            </w:r>
          </w:p>
        </w:tc>
        <w:tc>
          <w:tcPr>
            <w:tcW w:w="1440" w:type="dxa"/>
            <w:tcBorders/>
            <w:vAlign w:val="center"/>
          </w:tcPr>
          <w:p>
            <w:pPr>
              <w:jc w:val="right"/>
            </w:pPr>
            <w:r>
              <w:rPr>
                <w:rFonts w:ascii="宋体" w:eastAsia="宋体" w:hAnsi="宋体" w:cs="宋体"/>
                <w:b w:val="0"/>
                <w:i w:val="0"/>
                <w:color w:val="000000"/>
                <w:sz w:val="17"/>
              </w:rPr>
              <w:t xml:space="preserve">182.91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2012802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11.91</w:t>
            </w:r>
          </w:p>
        </w:tc>
        <w:tc>
          <w:tcPr>
            <w:tcW w:w="1440" w:type="dxa"/>
            <w:tcBorders/>
            <w:vAlign w:val="center"/>
          </w:tcPr>
          <w:p>
            <w:pPr>
              <w:jc w:val="right"/>
            </w:pPr>
            <w:r>
              <w:rPr>
                <w:rFonts w:ascii="宋体" w:eastAsia="宋体" w:hAnsi="宋体" w:cs="宋体"/>
                <w:b w:val="0"/>
                <w:i w:val="0"/>
                <w:color w:val="000000"/>
                <w:sz w:val="17"/>
              </w:rPr>
              <w:t xml:space="preserve">11.91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0.93</w:t>
            </w:r>
          </w:p>
        </w:tc>
        <w:tc>
          <w:tcPr>
            <w:tcW w:w="1440" w:type="dxa"/>
            <w:tcBorders/>
            <w:vAlign w:val="center"/>
          </w:tcPr>
          <w:p>
            <w:pPr>
              <w:jc w:val="right"/>
            </w:pPr>
            <w:r>
              <w:rPr>
                <w:rFonts w:ascii="宋体" w:eastAsia="宋体" w:hAnsi="宋体" w:cs="宋体"/>
                <w:b w:val="0"/>
                <w:i w:val="0"/>
                <w:color w:val="000000"/>
                <w:sz w:val="17"/>
              </w:rPr>
              <w:t xml:space="preserve">0.93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0.93</w:t>
            </w:r>
          </w:p>
        </w:tc>
        <w:tc>
          <w:tcPr>
            <w:tcW w:w="1440" w:type="dxa"/>
            <w:tcBorders/>
            <w:vAlign w:val="center"/>
          </w:tcPr>
          <w:p>
            <w:pPr>
              <w:jc w:val="right"/>
            </w:pPr>
            <w:r>
              <w:rPr>
                <w:rFonts w:ascii="宋体" w:eastAsia="宋体" w:hAnsi="宋体" w:cs="宋体"/>
                <w:b w:val="0"/>
                <w:i w:val="0"/>
                <w:color w:val="000000"/>
                <w:sz w:val="17"/>
              </w:rPr>
              <w:t xml:space="preserve">0.93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11.85</w:t>
            </w:r>
          </w:p>
        </w:tc>
        <w:tc>
          <w:tcPr>
            <w:tcW w:w="1440" w:type="dxa"/>
            <w:tcBorders/>
            <w:vAlign w:val="center"/>
          </w:tcPr>
          <w:p>
            <w:pPr>
              <w:jc w:val="right"/>
            </w:pPr>
            <w:r>
              <w:rPr>
                <w:rFonts w:ascii="宋体" w:eastAsia="宋体" w:hAnsi="宋体" w:cs="宋体"/>
                <w:b w:val="0"/>
                <w:i w:val="0"/>
                <w:color w:val="000000"/>
                <w:sz w:val="17"/>
              </w:rPr>
              <w:t xml:space="preserve">11.85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11.85</w:t>
            </w:r>
          </w:p>
        </w:tc>
        <w:tc>
          <w:tcPr>
            <w:tcW w:w="1440" w:type="dxa"/>
            <w:tcBorders/>
            <w:vAlign w:val="center"/>
          </w:tcPr>
          <w:p>
            <w:pPr>
              <w:jc w:val="right"/>
            </w:pPr>
            <w:r>
              <w:rPr>
                <w:rFonts w:ascii="宋体" w:eastAsia="宋体" w:hAnsi="宋体" w:cs="宋体"/>
                <w:b w:val="0"/>
                <w:i w:val="0"/>
                <w:color w:val="000000"/>
                <w:sz w:val="17"/>
              </w:rPr>
              <w:t xml:space="preserve">11.85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60.15</w:t>
            </w:r>
          </w:p>
        </w:tc>
        <w:tc>
          <w:tcPr>
            <w:tcW w:w="1440" w:type="dxa"/>
            <w:tcBorders/>
            <w:vAlign w:val="center"/>
          </w:tcPr>
          <w:p>
            <w:pPr>
              <w:jc w:val="right"/>
            </w:pPr>
            <w:r>
              <w:rPr>
                <w:rFonts w:ascii="宋体" w:eastAsia="宋体" w:hAnsi="宋体" w:cs="宋体"/>
                <w:b w:val="0"/>
                <w:i w:val="0"/>
                <w:color w:val="000000"/>
                <w:sz w:val="17"/>
              </w:rPr>
              <w:t xml:space="preserve">60.15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59.30</w:t>
            </w:r>
          </w:p>
        </w:tc>
        <w:tc>
          <w:tcPr>
            <w:tcW w:w="1440" w:type="dxa"/>
            <w:tcBorders/>
            <w:vAlign w:val="center"/>
          </w:tcPr>
          <w:p>
            <w:pPr>
              <w:jc w:val="right"/>
            </w:pPr>
            <w:r>
              <w:rPr>
                <w:rFonts w:ascii="宋体" w:eastAsia="宋体" w:hAnsi="宋体" w:cs="宋体"/>
                <w:b w:val="0"/>
                <w:i w:val="0"/>
                <w:color w:val="000000"/>
                <w:sz w:val="17"/>
              </w:rPr>
              <w:t xml:space="preserve">59.30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46.80</w:t>
            </w:r>
          </w:p>
        </w:tc>
        <w:tc>
          <w:tcPr>
            <w:tcW w:w="1440" w:type="dxa"/>
            <w:tcBorders/>
            <w:vAlign w:val="center"/>
          </w:tcPr>
          <w:p>
            <w:pPr>
              <w:jc w:val="right"/>
            </w:pPr>
            <w:r>
              <w:rPr>
                <w:rFonts w:ascii="宋体" w:eastAsia="宋体" w:hAnsi="宋体" w:cs="宋体"/>
                <w:b w:val="0"/>
                <w:i w:val="0"/>
                <w:color w:val="000000"/>
                <w:sz w:val="17"/>
              </w:rPr>
              <w:t xml:space="preserve">46.80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12.50</w:t>
            </w:r>
          </w:p>
        </w:tc>
        <w:tc>
          <w:tcPr>
            <w:tcW w:w="1440" w:type="dxa"/>
            <w:tcBorders/>
            <w:vAlign w:val="center"/>
          </w:tcPr>
          <w:p>
            <w:pPr>
              <w:jc w:val="right"/>
            </w:pPr>
            <w:r>
              <w:rPr>
                <w:rFonts w:ascii="宋体" w:eastAsia="宋体" w:hAnsi="宋体" w:cs="宋体"/>
                <w:b w:val="0"/>
                <w:i w:val="0"/>
                <w:color w:val="000000"/>
                <w:sz w:val="17"/>
              </w:rPr>
              <w:t xml:space="preserve">12.50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12.23</w:t>
            </w:r>
          </w:p>
        </w:tc>
        <w:tc>
          <w:tcPr>
            <w:tcW w:w="1440" w:type="dxa"/>
            <w:tcBorders/>
            <w:vAlign w:val="center"/>
          </w:tcPr>
          <w:p>
            <w:pPr>
              <w:jc w:val="right"/>
            </w:pPr>
            <w:r>
              <w:rPr>
                <w:rFonts w:ascii="宋体" w:eastAsia="宋体" w:hAnsi="宋体" w:cs="宋体"/>
                <w:b w:val="0"/>
                <w:i w:val="0"/>
                <w:color w:val="000000"/>
                <w:sz w:val="17"/>
              </w:rPr>
              <w:t xml:space="preserve">12.23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12.23</w:t>
            </w:r>
          </w:p>
        </w:tc>
        <w:tc>
          <w:tcPr>
            <w:tcW w:w="1440" w:type="dxa"/>
            <w:tcBorders/>
            <w:vAlign w:val="center"/>
          </w:tcPr>
          <w:p>
            <w:pPr>
              <w:jc w:val="right"/>
            </w:pPr>
            <w:r>
              <w:rPr>
                <w:rFonts w:ascii="宋体" w:eastAsia="宋体" w:hAnsi="宋体" w:cs="宋体"/>
                <w:b w:val="0"/>
                <w:i w:val="0"/>
                <w:color w:val="000000"/>
                <w:sz w:val="17"/>
              </w:rPr>
              <w:t xml:space="preserve">12.23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5.85</w:t>
            </w:r>
          </w:p>
        </w:tc>
        <w:tc>
          <w:tcPr>
            <w:tcW w:w="1440" w:type="dxa"/>
            <w:tcBorders/>
            <w:vAlign w:val="center"/>
          </w:tcPr>
          <w:p>
            <w:pPr>
              <w:jc w:val="right"/>
            </w:pPr>
            <w:r>
              <w:rPr>
                <w:rFonts w:ascii="宋体" w:eastAsia="宋体" w:hAnsi="宋体" w:cs="宋体"/>
                <w:b w:val="0"/>
                <w:i w:val="0"/>
                <w:color w:val="000000"/>
                <w:sz w:val="17"/>
              </w:rPr>
              <w:t xml:space="preserve">5.85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6.38</w:t>
            </w:r>
          </w:p>
        </w:tc>
        <w:tc>
          <w:tcPr>
            <w:tcW w:w="1440" w:type="dxa"/>
            <w:tcBorders/>
            <w:vAlign w:val="center"/>
          </w:tcPr>
          <w:p>
            <w:pPr>
              <w:jc w:val="right"/>
            </w:pPr>
            <w:r>
              <w:rPr>
                <w:rFonts w:ascii="宋体" w:eastAsia="宋体" w:hAnsi="宋体" w:cs="宋体"/>
                <w:b w:val="0"/>
                <w:i w:val="0"/>
                <w:color w:val="000000"/>
                <w:sz w:val="17"/>
              </w:rPr>
              <w:t xml:space="preserve">6.38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11.06</w:t>
            </w:r>
          </w:p>
        </w:tc>
        <w:tc>
          <w:tcPr>
            <w:tcW w:w="1440" w:type="dxa"/>
            <w:tcBorders/>
            <w:vAlign w:val="center"/>
          </w:tcPr>
          <w:p>
            <w:pPr>
              <w:jc w:val="right"/>
            </w:pPr>
            <w:r>
              <w:rPr>
                <w:rFonts w:ascii="宋体" w:eastAsia="宋体" w:hAnsi="宋体" w:cs="宋体"/>
                <w:b w:val="0"/>
                <w:i w:val="0"/>
                <w:color w:val="000000"/>
                <w:sz w:val="17"/>
              </w:rPr>
              <w:t xml:space="preserve">11.06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11.06</w:t>
            </w:r>
          </w:p>
        </w:tc>
        <w:tc>
          <w:tcPr>
            <w:tcW w:w="1440" w:type="dxa"/>
            <w:tcBorders/>
            <w:vAlign w:val="center"/>
          </w:tcPr>
          <w:p>
            <w:pPr>
              <w:jc w:val="right"/>
            </w:pPr>
            <w:r>
              <w:rPr>
                <w:rFonts w:ascii="宋体" w:eastAsia="宋体" w:hAnsi="宋体" w:cs="宋体"/>
                <w:b w:val="0"/>
                <w:i w:val="0"/>
                <w:color w:val="000000"/>
                <w:sz w:val="17"/>
              </w:rPr>
              <w:t xml:space="preserve">11.06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11.06</w:t>
            </w:r>
          </w:p>
        </w:tc>
        <w:tc>
          <w:tcPr>
            <w:tcW w:w="1440" w:type="dxa"/>
            <w:tcBorders/>
            <w:vAlign w:val="center"/>
          </w:tcPr>
          <w:p>
            <w:pPr>
              <w:jc w:val="right"/>
            </w:pPr>
            <w:r>
              <w:rPr>
                <w:rFonts w:ascii="宋体" w:eastAsia="宋体" w:hAnsi="宋体" w:cs="宋体"/>
                <w:b w:val="0"/>
                <w:i w:val="0"/>
                <w:color w:val="000000"/>
                <w:sz w:val="17"/>
              </w:rPr>
              <w:t xml:space="preserve">11.06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部门：许昌市工商业联合会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291.04</w:t>
            </w:r>
          </w:p>
        </w:tc>
        <w:tc>
          <w:tcPr>
            <w:tcW w:w="1600" w:type="dxa"/>
            <w:tcBorders/>
            <w:vAlign w:val="center"/>
          </w:tcPr>
          <w:p>
            <w:pPr>
              <w:jc w:val="right"/>
            </w:pPr>
            <w:r>
              <w:rPr>
                <w:rFonts w:ascii="宋体" w:eastAsia="宋体" w:hAnsi="宋体" w:cs="宋体"/>
                <w:b/>
                <w:i w:val="0"/>
                <w:color w:val="000000"/>
                <w:sz w:val="19"/>
              </w:rPr>
              <w:t xml:space="preserve">279.12</w:t>
            </w:r>
          </w:p>
        </w:tc>
        <w:tc>
          <w:tcPr>
            <w:tcW w:w="1600" w:type="dxa"/>
            <w:tcBorders/>
            <w:vAlign w:val="center"/>
          </w:tcPr>
          <w:p>
            <w:pPr>
              <w:jc w:val="right"/>
            </w:pPr>
            <w:r>
              <w:rPr>
                <w:rFonts w:ascii="宋体" w:eastAsia="宋体" w:hAnsi="宋体" w:cs="宋体"/>
                <w:b/>
                <w:i w:val="0"/>
                <w:color w:val="000000"/>
                <w:sz w:val="19"/>
              </w:rPr>
              <w:t xml:space="preserve">11.91</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207.60</w:t>
            </w:r>
          </w:p>
        </w:tc>
        <w:tc>
          <w:tcPr>
            <w:tcW w:w="1600" w:type="dxa"/>
            <w:tcBorders/>
            <w:vAlign w:val="center"/>
          </w:tcPr>
          <w:p>
            <w:pPr>
              <w:jc w:val="right"/>
            </w:pPr>
            <w:r>
              <w:rPr>
                <w:rFonts w:ascii="宋体" w:eastAsia="宋体" w:hAnsi="宋体" w:cs="宋体"/>
                <w:b w:val="0"/>
                <w:i w:val="0"/>
                <w:color w:val="000000"/>
                <w:sz w:val="19"/>
              </w:rPr>
              <w:t xml:space="preserve">195.69</w:t>
            </w:r>
          </w:p>
        </w:tc>
        <w:tc>
          <w:tcPr>
            <w:tcW w:w="1600" w:type="dxa"/>
            <w:tcBorders/>
            <w:vAlign w:val="center"/>
          </w:tcPr>
          <w:p>
            <w:pPr>
              <w:jc w:val="right"/>
            </w:pPr>
            <w:r>
              <w:rPr>
                <w:rFonts w:ascii="宋体" w:eastAsia="宋体" w:hAnsi="宋体" w:cs="宋体"/>
                <w:b w:val="0"/>
                <w:i w:val="0"/>
                <w:color w:val="000000"/>
                <w:sz w:val="19"/>
              </w:rPr>
              <w:t xml:space="preserve">11.91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民主党派及工商联事务</w:t>
            </w:r>
          </w:p>
        </w:tc>
        <w:tc>
          <w:tcPr>
            <w:tcW w:w="1600" w:type="dxa"/>
            <w:tcBorders/>
            <w:vAlign w:val="center"/>
          </w:tcPr>
          <w:p>
            <w:pPr>
              <w:jc w:val="right"/>
            </w:pPr>
            <w:r>
              <w:rPr>
                <w:rFonts w:ascii="宋体" w:eastAsia="宋体" w:hAnsi="宋体" w:cs="宋体"/>
                <w:b w:val="0"/>
                <w:i w:val="0"/>
                <w:color w:val="000000"/>
                <w:sz w:val="19"/>
              </w:rPr>
              <w:t xml:space="preserve">194.82</w:t>
            </w:r>
          </w:p>
        </w:tc>
        <w:tc>
          <w:tcPr>
            <w:tcW w:w="1600" w:type="dxa"/>
            <w:tcBorders/>
            <w:vAlign w:val="center"/>
          </w:tcPr>
          <w:p>
            <w:pPr>
              <w:jc w:val="right"/>
            </w:pPr>
            <w:r>
              <w:rPr>
                <w:rFonts w:ascii="宋体" w:eastAsia="宋体" w:hAnsi="宋体" w:cs="宋体"/>
                <w:b w:val="0"/>
                <w:i w:val="0"/>
                <w:color w:val="000000"/>
                <w:sz w:val="19"/>
              </w:rPr>
              <w:t xml:space="preserve">182.91</w:t>
            </w:r>
          </w:p>
        </w:tc>
        <w:tc>
          <w:tcPr>
            <w:tcW w:w="1600" w:type="dxa"/>
            <w:tcBorders/>
            <w:vAlign w:val="center"/>
          </w:tcPr>
          <w:p>
            <w:pPr>
              <w:jc w:val="right"/>
            </w:pPr>
            <w:r>
              <w:rPr>
                <w:rFonts w:ascii="宋体" w:eastAsia="宋体" w:hAnsi="宋体" w:cs="宋体"/>
                <w:b w:val="0"/>
                <w:i w:val="0"/>
                <w:color w:val="000000"/>
                <w:sz w:val="19"/>
              </w:rPr>
              <w:t xml:space="preserve">11.91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182.91</w:t>
            </w:r>
          </w:p>
        </w:tc>
        <w:tc>
          <w:tcPr>
            <w:tcW w:w="1600" w:type="dxa"/>
            <w:tcBorders/>
            <w:vAlign w:val="center"/>
          </w:tcPr>
          <w:p>
            <w:pPr>
              <w:jc w:val="right"/>
            </w:pPr>
            <w:r>
              <w:rPr>
                <w:rFonts w:ascii="宋体" w:eastAsia="宋体" w:hAnsi="宋体" w:cs="宋体"/>
                <w:b w:val="0"/>
                <w:i w:val="0"/>
                <w:color w:val="000000"/>
                <w:sz w:val="19"/>
              </w:rPr>
              <w:t xml:space="preserve">182.91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2012802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11.91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11.91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0.93</w:t>
            </w:r>
          </w:p>
        </w:tc>
        <w:tc>
          <w:tcPr>
            <w:tcW w:w="1600" w:type="dxa"/>
            <w:tcBorders/>
            <w:vAlign w:val="center"/>
          </w:tcPr>
          <w:p>
            <w:pPr>
              <w:jc w:val="right"/>
            </w:pPr>
            <w:r>
              <w:rPr>
                <w:rFonts w:ascii="宋体" w:eastAsia="宋体" w:hAnsi="宋体" w:cs="宋体"/>
                <w:b w:val="0"/>
                <w:i w:val="0"/>
                <w:color w:val="000000"/>
                <w:sz w:val="19"/>
              </w:rPr>
              <w:t xml:space="preserve">0.93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0.93</w:t>
            </w:r>
          </w:p>
        </w:tc>
        <w:tc>
          <w:tcPr>
            <w:tcW w:w="1600" w:type="dxa"/>
            <w:tcBorders/>
            <w:vAlign w:val="center"/>
          </w:tcPr>
          <w:p>
            <w:pPr>
              <w:jc w:val="right"/>
            </w:pPr>
            <w:r>
              <w:rPr>
                <w:rFonts w:ascii="宋体" w:eastAsia="宋体" w:hAnsi="宋体" w:cs="宋体"/>
                <w:b w:val="0"/>
                <w:i w:val="0"/>
                <w:color w:val="000000"/>
                <w:sz w:val="19"/>
              </w:rPr>
              <w:t xml:space="preserve">0.93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11.85</w:t>
            </w:r>
          </w:p>
        </w:tc>
        <w:tc>
          <w:tcPr>
            <w:tcW w:w="1600" w:type="dxa"/>
            <w:tcBorders/>
            <w:vAlign w:val="center"/>
          </w:tcPr>
          <w:p>
            <w:pPr>
              <w:jc w:val="right"/>
            </w:pPr>
            <w:r>
              <w:rPr>
                <w:rFonts w:ascii="宋体" w:eastAsia="宋体" w:hAnsi="宋体" w:cs="宋体"/>
                <w:b w:val="0"/>
                <w:i w:val="0"/>
                <w:color w:val="000000"/>
                <w:sz w:val="19"/>
              </w:rPr>
              <w:t xml:space="preserve">11.85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11.85</w:t>
            </w:r>
          </w:p>
        </w:tc>
        <w:tc>
          <w:tcPr>
            <w:tcW w:w="1600" w:type="dxa"/>
            <w:tcBorders/>
            <w:vAlign w:val="center"/>
          </w:tcPr>
          <w:p>
            <w:pPr>
              <w:jc w:val="right"/>
            </w:pPr>
            <w:r>
              <w:rPr>
                <w:rFonts w:ascii="宋体" w:eastAsia="宋体" w:hAnsi="宋体" w:cs="宋体"/>
                <w:b w:val="0"/>
                <w:i w:val="0"/>
                <w:color w:val="000000"/>
                <w:sz w:val="19"/>
              </w:rPr>
              <w:t xml:space="preserve">11.85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60.15</w:t>
            </w:r>
          </w:p>
        </w:tc>
        <w:tc>
          <w:tcPr>
            <w:tcW w:w="1600" w:type="dxa"/>
            <w:tcBorders/>
            <w:vAlign w:val="center"/>
          </w:tcPr>
          <w:p>
            <w:pPr>
              <w:jc w:val="right"/>
            </w:pPr>
            <w:r>
              <w:rPr>
                <w:rFonts w:ascii="宋体" w:eastAsia="宋体" w:hAnsi="宋体" w:cs="宋体"/>
                <w:b w:val="0"/>
                <w:i w:val="0"/>
                <w:color w:val="000000"/>
                <w:sz w:val="19"/>
              </w:rPr>
              <w:t xml:space="preserve">60.15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59.30</w:t>
            </w:r>
          </w:p>
        </w:tc>
        <w:tc>
          <w:tcPr>
            <w:tcW w:w="1600" w:type="dxa"/>
            <w:tcBorders/>
            <w:vAlign w:val="center"/>
          </w:tcPr>
          <w:p>
            <w:pPr>
              <w:jc w:val="right"/>
            </w:pPr>
            <w:r>
              <w:rPr>
                <w:rFonts w:ascii="宋体" w:eastAsia="宋体" w:hAnsi="宋体" w:cs="宋体"/>
                <w:b w:val="0"/>
                <w:i w:val="0"/>
                <w:color w:val="000000"/>
                <w:sz w:val="19"/>
              </w:rPr>
              <w:t xml:space="preserve">59.30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46.80</w:t>
            </w:r>
          </w:p>
        </w:tc>
        <w:tc>
          <w:tcPr>
            <w:tcW w:w="1600" w:type="dxa"/>
            <w:tcBorders/>
            <w:vAlign w:val="center"/>
          </w:tcPr>
          <w:p>
            <w:pPr>
              <w:jc w:val="right"/>
            </w:pPr>
            <w:r>
              <w:rPr>
                <w:rFonts w:ascii="宋体" w:eastAsia="宋体" w:hAnsi="宋体" w:cs="宋体"/>
                <w:b w:val="0"/>
                <w:i w:val="0"/>
                <w:color w:val="000000"/>
                <w:sz w:val="19"/>
              </w:rPr>
              <w:t xml:space="preserve">46.80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12.50</w:t>
            </w:r>
          </w:p>
        </w:tc>
        <w:tc>
          <w:tcPr>
            <w:tcW w:w="1600" w:type="dxa"/>
            <w:tcBorders/>
            <w:vAlign w:val="center"/>
          </w:tcPr>
          <w:p>
            <w:pPr>
              <w:jc w:val="right"/>
            </w:pPr>
            <w:r>
              <w:rPr>
                <w:rFonts w:ascii="宋体" w:eastAsia="宋体" w:hAnsi="宋体" w:cs="宋体"/>
                <w:b w:val="0"/>
                <w:i w:val="0"/>
                <w:color w:val="000000"/>
                <w:sz w:val="19"/>
              </w:rPr>
              <w:t xml:space="preserve">12.50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12.23</w:t>
            </w:r>
          </w:p>
        </w:tc>
        <w:tc>
          <w:tcPr>
            <w:tcW w:w="1600" w:type="dxa"/>
            <w:tcBorders/>
            <w:vAlign w:val="center"/>
          </w:tcPr>
          <w:p>
            <w:pPr>
              <w:jc w:val="right"/>
            </w:pPr>
            <w:r>
              <w:rPr>
                <w:rFonts w:ascii="宋体" w:eastAsia="宋体" w:hAnsi="宋体" w:cs="宋体"/>
                <w:b w:val="0"/>
                <w:i w:val="0"/>
                <w:color w:val="000000"/>
                <w:sz w:val="19"/>
              </w:rPr>
              <w:t xml:space="preserve">12.23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12.23</w:t>
            </w:r>
          </w:p>
        </w:tc>
        <w:tc>
          <w:tcPr>
            <w:tcW w:w="1600" w:type="dxa"/>
            <w:tcBorders/>
            <w:vAlign w:val="center"/>
          </w:tcPr>
          <w:p>
            <w:pPr>
              <w:jc w:val="right"/>
            </w:pPr>
            <w:r>
              <w:rPr>
                <w:rFonts w:ascii="宋体" w:eastAsia="宋体" w:hAnsi="宋体" w:cs="宋体"/>
                <w:b w:val="0"/>
                <w:i w:val="0"/>
                <w:color w:val="000000"/>
                <w:sz w:val="19"/>
              </w:rPr>
              <w:t xml:space="preserve">12.23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5.85</w:t>
            </w:r>
          </w:p>
        </w:tc>
        <w:tc>
          <w:tcPr>
            <w:tcW w:w="1600" w:type="dxa"/>
            <w:tcBorders/>
            <w:vAlign w:val="center"/>
          </w:tcPr>
          <w:p>
            <w:pPr>
              <w:jc w:val="right"/>
            </w:pPr>
            <w:r>
              <w:rPr>
                <w:rFonts w:ascii="宋体" w:eastAsia="宋体" w:hAnsi="宋体" w:cs="宋体"/>
                <w:b w:val="0"/>
                <w:i w:val="0"/>
                <w:color w:val="000000"/>
                <w:sz w:val="19"/>
              </w:rPr>
              <w:t xml:space="preserve">5.85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6.38</w:t>
            </w:r>
          </w:p>
        </w:tc>
        <w:tc>
          <w:tcPr>
            <w:tcW w:w="1600" w:type="dxa"/>
            <w:tcBorders/>
            <w:vAlign w:val="center"/>
          </w:tcPr>
          <w:p>
            <w:pPr>
              <w:jc w:val="right"/>
            </w:pPr>
            <w:r>
              <w:rPr>
                <w:rFonts w:ascii="宋体" w:eastAsia="宋体" w:hAnsi="宋体" w:cs="宋体"/>
                <w:b w:val="0"/>
                <w:i w:val="0"/>
                <w:color w:val="000000"/>
                <w:sz w:val="19"/>
              </w:rPr>
              <w:t xml:space="preserve">6.38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11.06</w:t>
            </w:r>
          </w:p>
        </w:tc>
        <w:tc>
          <w:tcPr>
            <w:tcW w:w="1600" w:type="dxa"/>
            <w:tcBorders/>
            <w:vAlign w:val="center"/>
          </w:tcPr>
          <w:p>
            <w:pPr>
              <w:jc w:val="right"/>
            </w:pPr>
            <w:r>
              <w:rPr>
                <w:rFonts w:ascii="宋体" w:eastAsia="宋体" w:hAnsi="宋体" w:cs="宋体"/>
                <w:b w:val="0"/>
                <w:i w:val="0"/>
                <w:color w:val="000000"/>
                <w:sz w:val="19"/>
              </w:rPr>
              <w:t xml:space="preserve">11.06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11.06</w:t>
            </w:r>
          </w:p>
        </w:tc>
        <w:tc>
          <w:tcPr>
            <w:tcW w:w="1600" w:type="dxa"/>
            <w:tcBorders/>
            <w:vAlign w:val="center"/>
          </w:tcPr>
          <w:p>
            <w:pPr>
              <w:jc w:val="right"/>
            </w:pPr>
            <w:r>
              <w:rPr>
                <w:rFonts w:ascii="宋体" w:eastAsia="宋体" w:hAnsi="宋体" w:cs="宋体"/>
                <w:b w:val="0"/>
                <w:i w:val="0"/>
                <w:color w:val="000000"/>
                <w:sz w:val="19"/>
              </w:rPr>
              <w:t xml:space="preserve">11.06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11.06</w:t>
            </w:r>
          </w:p>
        </w:tc>
        <w:tc>
          <w:tcPr>
            <w:tcW w:w="1600" w:type="dxa"/>
            <w:tcBorders/>
            <w:vAlign w:val="center"/>
          </w:tcPr>
          <w:p>
            <w:pPr>
              <w:jc w:val="right"/>
            </w:pPr>
            <w:r>
              <w:rPr>
                <w:rFonts w:ascii="宋体" w:eastAsia="宋体" w:hAnsi="宋体" w:cs="宋体"/>
                <w:b w:val="0"/>
                <w:i w:val="0"/>
                <w:color w:val="000000"/>
                <w:sz w:val="19"/>
              </w:rPr>
              <w:t xml:space="preserve">11.06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部门：许昌市工商业联合会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291.04</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207.60</w:t>
            </w:r>
          </w:p>
        </w:tc>
        <w:tc>
          <w:tcPr>
            <w:tcW w:w="1420" w:type="dxa"/>
            <w:tcBorders/>
            <w:vAlign w:val="center"/>
          </w:tcPr>
          <w:p>
            <w:pPr>
              <w:jc w:val="right"/>
            </w:pPr>
            <w:r>
              <w:rPr>
                <w:rFonts w:ascii="宋体" w:eastAsia="宋体" w:hAnsi="宋体" w:cs="宋体"/>
                <w:b w:val="0"/>
                <w:i w:val="0"/>
                <w:color w:val="000000"/>
                <w:sz w:val="18"/>
              </w:rPr>
              <w:t xml:space="preserve">207.60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60.15</w:t>
            </w:r>
          </w:p>
        </w:tc>
        <w:tc>
          <w:tcPr>
            <w:tcW w:w="1420" w:type="dxa"/>
            <w:tcBorders/>
            <w:vAlign w:val="center"/>
          </w:tcPr>
          <w:p>
            <w:pPr>
              <w:jc w:val="right"/>
            </w:pPr>
            <w:r>
              <w:rPr>
                <w:rFonts w:ascii="宋体" w:eastAsia="宋体" w:hAnsi="宋体" w:cs="宋体"/>
                <w:b w:val="0"/>
                <w:i w:val="0"/>
                <w:color w:val="000000"/>
                <w:sz w:val="18"/>
              </w:rPr>
              <w:t xml:space="preserve">60.15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12.23</w:t>
            </w:r>
          </w:p>
        </w:tc>
        <w:tc>
          <w:tcPr>
            <w:tcW w:w="1420" w:type="dxa"/>
            <w:tcBorders/>
            <w:vAlign w:val="center"/>
          </w:tcPr>
          <w:p>
            <w:pPr>
              <w:jc w:val="right"/>
            </w:pPr>
            <w:r>
              <w:rPr>
                <w:rFonts w:ascii="宋体" w:eastAsia="宋体" w:hAnsi="宋体" w:cs="宋体"/>
                <w:b w:val="0"/>
                <w:i w:val="0"/>
                <w:color w:val="000000"/>
                <w:sz w:val="18"/>
              </w:rPr>
              <w:t xml:space="preserve">12.23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11.06</w:t>
            </w:r>
          </w:p>
        </w:tc>
        <w:tc>
          <w:tcPr>
            <w:tcW w:w="1420" w:type="dxa"/>
            <w:tcBorders/>
            <w:vAlign w:val="center"/>
          </w:tcPr>
          <w:p>
            <w:pPr>
              <w:jc w:val="right"/>
            </w:pPr>
            <w:r>
              <w:rPr>
                <w:rFonts w:ascii="宋体" w:eastAsia="宋体" w:hAnsi="宋体" w:cs="宋体"/>
                <w:b w:val="0"/>
                <w:i w:val="0"/>
                <w:color w:val="000000"/>
                <w:sz w:val="18"/>
              </w:rPr>
              <w:t xml:space="preserve">11.06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291.04</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291.04</w:t>
            </w:r>
          </w:p>
        </w:tc>
        <w:tc>
          <w:tcPr>
            <w:tcW w:w="1420" w:type="dxa"/>
            <w:tcBorders/>
            <w:vAlign w:val="center"/>
          </w:tcPr>
          <w:p>
            <w:pPr>
              <w:jc w:val="right"/>
            </w:pPr>
            <w:r>
              <w:rPr>
                <w:rFonts w:ascii="宋体" w:eastAsia="宋体" w:hAnsi="宋体" w:cs="宋体"/>
                <w:b w:val="0"/>
                <w:i w:val="0"/>
                <w:color w:val="000000"/>
                <w:sz w:val="18"/>
              </w:rPr>
              <w:t xml:space="preserve">291.04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291.04</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291.04</w:t>
            </w:r>
          </w:p>
        </w:tc>
        <w:tc>
          <w:tcPr>
            <w:tcW w:w="1420" w:type="dxa"/>
            <w:tcBorders/>
            <w:vAlign w:val="center"/>
          </w:tcPr>
          <w:p>
            <w:pPr>
              <w:jc w:val="right"/>
            </w:pPr>
            <w:r>
              <w:rPr>
                <w:rFonts w:ascii="宋体" w:eastAsia="宋体" w:hAnsi="宋体" w:cs="宋体"/>
                <w:b w:val="0"/>
                <w:i w:val="0"/>
                <w:color w:val="000000"/>
                <w:sz w:val="18"/>
              </w:rPr>
              <w:t xml:space="preserve">291.04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部门：许昌市工商业联合会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291.04</w:t>
            </w:r>
          </w:p>
        </w:tc>
        <w:tc>
          <w:tcPr>
            <w:tcW w:w="2700" w:type="dxa"/>
            <w:tcBorders/>
            <w:vAlign w:val="center"/>
          </w:tcPr>
          <w:p>
            <w:pPr>
              <w:jc w:val="right"/>
            </w:pPr>
            <w:r>
              <w:rPr>
                <w:rFonts w:ascii="宋体" w:eastAsia="宋体" w:hAnsi="宋体" w:cs="宋体"/>
                <w:b/>
                <w:i w:val="0"/>
                <w:color w:val="000000"/>
                <w:sz w:val="25"/>
              </w:rPr>
              <w:t xml:space="preserve">279.12</w:t>
            </w:r>
          </w:p>
        </w:tc>
        <w:tc>
          <w:tcPr>
            <w:tcW w:w="2658" w:type="dxa"/>
            <w:tcBorders/>
            <w:vAlign w:val="center"/>
          </w:tcPr>
          <w:p>
            <w:pPr>
              <w:jc w:val="right"/>
            </w:pPr>
            <w:r>
              <w:rPr>
                <w:rFonts w:ascii="宋体" w:eastAsia="宋体" w:hAnsi="宋体" w:cs="宋体"/>
                <w:b/>
                <w:i w:val="0"/>
                <w:color w:val="000000"/>
                <w:sz w:val="25"/>
              </w:rPr>
              <w:t xml:space="preserve">11.91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207.60</w:t>
            </w:r>
          </w:p>
        </w:tc>
        <w:tc>
          <w:tcPr>
            <w:tcW w:w="2700" w:type="dxa"/>
            <w:tcBorders/>
            <w:vAlign w:val="center"/>
          </w:tcPr>
          <w:p>
            <w:pPr>
              <w:jc w:val="right"/>
            </w:pPr>
            <w:r>
              <w:rPr>
                <w:rFonts w:ascii="宋体" w:eastAsia="宋体" w:hAnsi="宋体" w:cs="宋体"/>
                <w:b w:val="0"/>
                <w:i w:val="0"/>
                <w:color w:val="000000"/>
                <w:sz w:val="25"/>
              </w:rPr>
              <w:t xml:space="preserve">195.69</w:t>
            </w:r>
          </w:p>
        </w:tc>
        <w:tc>
          <w:tcPr>
            <w:tcW w:w="2658" w:type="dxa"/>
            <w:tcBorders/>
            <w:vAlign w:val="center"/>
          </w:tcPr>
          <w:p>
            <w:pPr>
              <w:jc w:val="right"/>
            </w:pPr>
            <w:r>
              <w:rPr>
                <w:rFonts w:ascii="宋体" w:eastAsia="宋体" w:hAnsi="宋体" w:cs="宋体"/>
                <w:b w:val="0"/>
                <w:i w:val="0"/>
                <w:color w:val="000000"/>
                <w:sz w:val="25"/>
              </w:rPr>
              <w:t xml:space="preserve">11.91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民主党派及工商联事务</w:t>
            </w:r>
          </w:p>
        </w:tc>
        <w:tc>
          <w:tcPr>
            <w:tcW w:w="2700" w:type="dxa"/>
            <w:tcBorders/>
            <w:vAlign w:val="center"/>
          </w:tcPr>
          <w:p>
            <w:pPr>
              <w:jc w:val="right"/>
            </w:pPr>
            <w:r>
              <w:rPr>
                <w:rFonts w:ascii="宋体" w:eastAsia="宋体" w:hAnsi="宋体" w:cs="宋体"/>
                <w:b w:val="0"/>
                <w:i w:val="0"/>
                <w:color w:val="000000"/>
                <w:sz w:val="25"/>
              </w:rPr>
              <w:t xml:space="preserve">194.82</w:t>
            </w:r>
          </w:p>
        </w:tc>
        <w:tc>
          <w:tcPr>
            <w:tcW w:w="2700" w:type="dxa"/>
            <w:tcBorders/>
            <w:vAlign w:val="center"/>
          </w:tcPr>
          <w:p>
            <w:pPr>
              <w:jc w:val="right"/>
            </w:pPr>
            <w:r>
              <w:rPr>
                <w:rFonts w:ascii="宋体" w:eastAsia="宋体" w:hAnsi="宋体" w:cs="宋体"/>
                <w:b w:val="0"/>
                <w:i w:val="0"/>
                <w:color w:val="000000"/>
                <w:sz w:val="25"/>
              </w:rPr>
              <w:t xml:space="preserve">182.91</w:t>
            </w:r>
          </w:p>
        </w:tc>
        <w:tc>
          <w:tcPr>
            <w:tcW w:w="2658" w:type="dxa"/>
            <w:tcBorders/>
            <w:vAlign w:val="center"/>
          </w:tcPr>
          <w:p>
            <w:pPr>
              <w:jc w:val="right"/>
            </w:pPr>
            <w:r>
              <w:rPr>
                <w:rFonts w:ascii="宋体" w:eastAsia="宋体" w:hAnsi="宋体" w:cs="宋体"/>
                <w:b w:val="0"/>
                <w:i w:val="0"/>
                <w:color w:val="000000"/>
                <w:sz w:val="25"/>
              </w:rPr>
              <w:t xml:space="preserve">11.91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182.91</w:t>
            </w:r>
          </w:p>
        </w:tc>
        <w:tc>
          <w:tcPr>
            <w:tcW w:w="2700" w:type="dxa"/>
            <w:tcBorders/>
            <w:vAlign w:val="center"/>
          </w:tcPr>
          <w:p>
            <w:pPr>
              <w:jc w:val="right"/>
            </w:pPr>
            <w:r>
              <w:rPr>
                <w:rFonts w:ascii="宋体" w:eastAsia="宋体" w:hAnsi="宋体" w:cs="宋体"/>
                <w:b w:val="0"/>
                <w:i w:val="0"/>
                <w:color w:val="000000"/>
                <w:sz w:val="25"/>
              </w:rPr>
              <w:t xml:space="preserve">182.91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2012802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11.91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11.91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0.93</w:t>
            </w:r>
          </w:p>
        </w:tc>
        <w:tc>
          <w:tcPr>
            <w:tcW w:w="2700" w:type="dxa"/>
            <w:tcBorders/>
            <w:vAlign w:val="center"/>
          </w:tcPr>
          <w:p>
            <w:pPr>
              <w:jc w:val="right"/>
            </w:pPr>
            <w:r>
              <w:rPr>
                <w:rFonts w:ascii="宋体" w:eastAsia="宋体" w:hAnsi="宋体" w:cs="宋体"/>
                <w:b w:val="0"/>
                <w:i w:val="0"/>
                <w:color w:val="000000"/>
                <w:sz w:val="25"/>
              </w:rPr>
              <w:t xml:space="preserve">0.93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0.93</w:t>
            </w:r>
          </w:p>
        </w:tc>
        <w:tc>
          <w:tcPr>
            <w:tcW w:w="2700" w:type="dxa"/>
            <w:tcBorders/>
            <w:vAlign w:val="center"/>
          </w:tcPr>
          <w:p>
            <w:pPr>
              <w:jc w:val="right"/>
            </w:pPr>
            <w:r>
              <w:rPr>
                <w:rFonts w:ascii="宋体" w:eastAsia="宋体" w:hAnsi="宋体" w:cs="宋体"/>
                <w:b w:val="0"/>
                <w:i w:val="0"/>
                <w:color w:val="000000"/>
                <w:sz w:val="25"/>
              </w:rPr>
              <w:t xml:space="preserve">0.93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11.85</w:t>
            </w:r>
          </w:p>
        </w:tc>
        <w:tc>
          <w:tcPr>
            <w:tcW w:w="2700" w:type="dxa"/>
            <w:tcBorders/>
            <w:vAlign w:val="center"/>
          </w:tcPr>
          <w:p>
            <w:pPr>
              <w:jc w:val="right"/>
            </w:pPr>
            <w:r>
              <w:rPr>
                <w:rFonts w:ascii="宋体" w:eastAsia="宋体" w:hAnsi="宋体" w:cs="宋体"/>
                <w:b w:val="0"/>
                <w:i w:val="0"/>
                <w:color w:val="000000"/>
                <w:sz w:val="25"/>
              </w:rPr>
              <w:t xml:space="preserve">11.85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11.85</w:t>
            </w:r>
          </w:p>
        </w:tc>
        <w:tc>
          <w:tcPr>
            <w:tcW w:w="2700" w:type="dxa"/>
            <w:tcBorders/>
            <w:vAlign w:val="center"/>
          </w:tcPr>
          <w:p>
            <w:pPr>
              <w:jc w:val="right"/>
            </w:pPr>
            <w:r>
              <w:rPr>
                <w:rFonts w:ascii="宋体" w:eastAsia="宋体" w:hAnsi="宋体" w:cs="宋体"/>
                <w:b w:val="0"/>
                <w:i w:val="0"/>
                <w:color w:val="000000"/>
                <w:sz w:val="25"/>
              </w:rPr>
              <w:t xml:space="preserve">11.85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60.15</w:t>
            </w:r>
          </w:p>
        </w:tc>
        <w:tc>
          <w:tcPr>
            <w:tcW w:w="2700" w:type="dxa"/>
            <w:tcBorders/>
            <w:vAlign w:val="center"/>
          </w:tcPr>
          <w:p>
            <w:pPr>
              <w:jc w:val="right"/>
            </w:pPr>
            <w:r>
              <w:rPr>
                <w:rFonts w:ascii="宋体" w:eastAsia="宋体" w:hAnsi="宋体" w:cs="宋体"/>
                <w:b w:val="0"/>
                <w:i w:val="0"/>
                <w:color w:val="000000"/>
                <w:sz w:val="25"/>
              </w:rPr>
              <w:t xml:space="preserve">60.15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59.30</w:t>
            </w:r>
          </w:p>
        </w:tc>
        <w:tc>
          <w:tcPr>
            <w:tcW w:w="2700" w:type="dxa"/>
            <w:tcBorders/>
            <w:vAlign w:val="center"/>
          </w:tcPr>
          <w:p>
            <w:pPr>
              <w:jc w:val="right"/>
            </w:pPr>
            <w:r>
              <w:rPr>
                <w:rFonts w:ascii="宋体" w:eastAsia="宋体" w:hAnsi="宋体" w:cs="宋体"/>
                <w:b w:val="0"/>
                <w:i w:val="0"/>
                <w:color w:val="000000"/>
                <w:sz w:val="25"/>
              </w:rPr>
              <w:t xml:space="preserve">59.30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46.80</w:t>
            </w:r>
          </w:p>
        </w:tc>
        <w:tc>
          <w:tcPr>
            <w:tcW w:w="2700" w:type="dxa"/>
            <w:tcBorders/>
            <w:vAlign w:val="center"/>
          </w:tcPr>
          <w:p>
            <w:pPr>
              <w:jc w:val="right"/>
            </w:pPr>
            <w:r>
              <w:rPr>
                <w:rFonts w:ascii="宋体" w:eastAsia="宋体" w:hAnsi="宋体" w:cs="宋体"/>
                <w:b w:val="0"/>
                <w:i w:val="0"/>
                <w:color w:val="000000"/>
                <w:sz w:val="25"/>
              </w:rPr>
              <w:t xml:space="preserve">46.80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12.50</w:t>
            </w:r>
          </w:p>
        </w:tc>
        <w:tc>
          <w:tcPr>
            <w:tcW w:w="2700" w:type="dxa"/>
            <w:tcBorders/>
            <w:vAlign w:val="center"/>
          </w:tcPr>
          <w:p>
            <w:pPr>
              <w:jc w:val="right"/>
            </w:pPr>
            <w:r>
              <w:rPr>
                <w:rFonts w:ascii="宋体" w:eastAsia="宋体" w:hAnsi="宋体" w:cs="宋体"/>
                <w:b w:val="0"/>
                <w:i w:val="0"/>
                <w:color w:val="000000"/>
                <w:sz w:val="25"/>
              </w:rPr>
              <w:t xml:space="preserve">12.50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12.23</w:t>
            </w:r>
          </w:p>
        </w:tc>
        <w:tc>
          <w:tcPr>
            <w:tcW w:w="2700" w:type="dxa"/>
            <w:tcBorders/>
            <w:vAlign w:val="center"/>
          </w:tcPr>
          <w:p>
            <w:pPr>
              <w:jc w:val="right"/>
            </w:pPr>
            <w:r>
              <w:rPr>
                <w:rFonts w:ascii="宋体" w:eastAsia="宋体" w:hAnsi="宋体" w:cs="宋体"/>
                <w:b w:val="0"/>
                <w:i w:val="0"/>
                <w:color w:val="000000"/>
                <w:sz w:val="25"/>
              </w:rPr>
              <w:t xml:space="preserve">12.23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12.23</w:t>
            </w:r>
          </w:p>
        </w:tc>
        <w:tc>
          <w:tcPr>
            <w:tcW w:w="2700" w:type="dxa"/>
            <w:tcBorders/>
            <w:vAlign w:val="center"/>
          </w:tcPr>
          <w:p>
            <w:pPr>
              <w:jc w:val="right"/>
            </w:pPr>
            <w:r>
              <w:rPr>
                <w:rFonts w:ascii="宋体" w:eastAsia="宋体" w:hAnsi="宋体" w:cs="宋体"/>
                <w:b w:val="0"/>
                <w:i w:val="0"/>
                <w:color w:val="000000"/>
                <w:sz w:val="25"/>
              </w:rPr>
              <w:t xml:space="preserve">12.23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5.85</w:t>
            </w:r>
          </w:p>
        </w:tc>
        <w:tc>
          <w:tcPr>
            <w:tcW w:w="2700" w:type="dxa"/>
            <w:tcBorders/>
            <w:vAlign w:val="center"/>
          </w:tcPr>
          <w:p>
            <w:pPr>
              <w:jc w:val="right"/>
            </w:pPr>
            <w:r>
              <w:rPr>
                <w:rFonts w:ascii="宋体" w:eastAsia="宋体" w:hAnsi="宋体" w:cs="宋体"/>
                <w:b w:val="0"/>
                <w:i w:val="0"/>
                <w:color w:val="000000"/>
                <w:sz w:val="25"/>
              </w:rPr>
              <w:t xml:space="preserve">5.85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6.38</w:t>
            </w:r>
          </w:p>
        </w:tc>
        <w:tc>
          <w:tcPr>
            <w:tcW w:w="2700" w:type="dxa"/>
            <w:tcBorders/>
            <w:vAlign w:val="center"/>
          </w:tcPr>
          <w:p>
            <w:pPr>
              <w:jc w:val="right"/>
            </w:pPr>
            <w:r>
              <w:rPr>
                <w:rFonts w:ascii="宋体" w:eastAsia="宋体" w:hAnsi="宋体" w:cs="宋体"/>
                <w:b w:val="0"/>
                <w:i w:val="0"/>
                <w:color w:val="000000"/>
                <w:sz w:val="25"/>
              </w:rPr>
              <w:t xml:space="preserve">6.38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11.06</w:t>
            </w:r>
          </w:p>
        </w:tc>
        <w:tc>
          <w:tcPr>
            <w:tcW w:w="2700" w:type="dxa"/>
            <w:tcBorders/>
            <w:vAlign w:val="center"/>
          </w:tcPr>
          <w:p>
            <w:pPr>
              <w:jc w:val="right"/>
            </w:pPr>
            <w:r>
              <w:rPr>
                <w:rFonts w:ascii="宋体" w:eastAsia="宋体" w:hAnsi="宋体" w:cs="宋体"/>
                <w:b w:val="0"/>
                <w:i w:val="0"/>
                <w:color w:val="000000"/>
                <w:sz w:val="25"/>
              </w:rPr>
              <w:t xml:space="preserve">11.06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11.06</w:t>
            </w:r>
          </w:p>
        </w:tc>
        <w:tc>
          <w:tcPr>
            <w:tcW w:w="2700" w:type="dxa"/>
            <w:tcBorders/>
            <w:vAlign w:val="center"/>
          </w:tcPr>
          <w:p>
            <w:pPr>
              <w:jc w:val="right"/>
            </w:pPr>
            <w:r>
              <w:rPr>
                <w:rFonts w:ascii="宋体" w:eastAsia="宋体" w:hAnsi="宋体" w:cs="宋体"/>
                <w:b w:val="0"/>
                <w:i w:val="0"/>
                <w:color w:val="000000"/>
                <w:sz w:val="25"/>
              </w:rPr>
              <w:t xml:space="preserve">11.06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11.06</w:t>
            </w:r>
          </w:p>
        </w:tc>
        <w:tc>
          <w:tcPr>
            <w:tcW w:w="2700" w:type="dxa"/>
            <w:tcBorders/>
            <w:vAlign w:val="center"/>
          </w:tcPr>
          <w:p>
            <w:pPr>
              <w:jc w:val="right"/>
            </w:pPr>
            <w:r>
              <w:rPr>
                <w:rFonts w:ascii="宋体" w:eastAsia="宋体" w:hAnsi="宋体" w:cs="宋体"/>
                <w:b w:val="0"/>
                <w:i w:val="0"/>
                <w:color w:val="000000"/>
                <w:sz w:val="25"/>
              </w:rPr>
              <w:t xml:space="preserve">11.06</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部门：许昌市工商业联合会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207.26</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25.07</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57.52</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3.52</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50.02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62.99</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0.20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12.50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0.36</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5.85</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6.38</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1.88</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0.09</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0.34</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11.06</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0.85</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46.80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0.48</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46.80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0.30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1.41</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0.93</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1.15</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2.06</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9.92</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1.53</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254.05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25.07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部门：许昌市工商业联合会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说明：我部门没有政府性基金收入，也没有使用政府性基金安排的支出，故本表无数据。</w:t>
      </w: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部门：许昌市工商业联合会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部门：许昌市工商业联合会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4.30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0.30</w:t>
            </w:r>
          </w:p>
        </w:tc>
        <w:tc>
          <w:tcPr>
            <w:tcW w:w="1160" w:type="dxa"/>
            <w:tcBorders/>
            <w:vAlign w:val="center"/>
          </w:tcPr>
          <w:p>
            <w:pPr>
              <w:jc w:val="right"/>
            </w:pPr>
            <w:r>
              <w:rPr>
                <w:rFonts w:ascii="宋体" w:eastAsia="宋体" w:hAnsi="宋体" w:cs="宋体"/>
                <w:b w:val="0"/>
                <w:i w:val="0"/>
                <w:color w:val="000000"/>
                <w:sz w:val="17"/>
              </w:rPr>
              <w:t xml:space="preserve">2.36</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2.06</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2.06</w:t>
            </w:r>
          </w:p>
        </w:tc>
        <w:tc>
          <w:tcPr>
            <w:tcW w:w="1198" w:type="dxa"/>
            <w:tcBorders/>
            <w:vAlign w:val="center"/>
          </w:tcPr>
          <w:p>
            <w:pPr>
              <w:jc w:val="right"/>
            </w:pPr>
            <w:r>
              <w:rPr>
                <w:rFonts w:ascii="宋体" w:eastAsia="宋体" w:hAnsi="宋体" w:cs="宋体"/>
                <w:b w:val="0"/>
                <w:i w:val="0"/>
                <w:color w:val="000000"/>
                <w:sz w:val="17"/>
              </w:rPr>
              <w:t xml:space="preserve">0.30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291.04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增加58.97万元，增长25.41%</w:t>
      </w:r>
      <w:r>
        <w:rPr>
          <w:rFonts w:ascii="仿宋" w:eastAsia="仿宋" w:hAnsi="仿宋" w:cs="仿宋" w:hint="eastAsia"/>
          <w:kern w:val="0"/>
          <w:sz w:val="32"/>
          <w:szCs w:val="32"/>
          <w:lang w:val="en-US" w:eastAsia="zh-CN"/>
        </w:rPr>
        <w:t xml:space="preserve">。主要原因是人员增加2名。</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291.04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财政拨款收入291.04万元，占100.00%；上级补助收入0.00万元，占0.00%；事业收入0.00万元，占0.00%；经营收入0.00万元，占0.00%；附属单位上缴收入0.00万元，占0.00%；其他收入0.00万元，占0.00%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291.04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基本支出279.12万元，占95.90%；项目支出11.91万元，占4.09%；上缴上级支出0.00万元，占0.00%；经营支出0.00万元，占0.00%；对附属单位补助支出0.00万元，占0.00%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291.04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增加58.97万元，增长25.41%</w:t>
      </w:r>
      <w:r>
        <w:rPr>
          <w:rFonts w:ascii="仿宋" w:eastAsia="仿宋" w:hAnsi="仿宋" w:cs="仿宋" w:hint="eastAsia"/>
          <w:kern w:val="0"/>
          <w:sz w:val="32"/>
          <w:szCs w:val="32"/>
          <w:lang w:val="en-US" w:eastAsia="zh-CN"/>
        </w:rPr>
        <w:t xml:space="preserve">。主要原因是人员增加2名。</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291.04</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增加58.97万元，增长25.41%</w:t>
      </w:r>
      <w:r>
        <w:rPr>
          <w:rFonts w:ascii="仿宋" w:eastAsia="仿宋" w:hAnsi="仿宋" w:cs="仿宋" w:hint="eastAsia"/>
          <w:kern w:val="0"/>
          <w:sz w:val="32"/>
          <w:szCs w:val="32"/>
          <w:lang w:val="en-US" w:eastAsia="zh-CN"/>
        </w:rPr>
        <w:t xml:space="preserve">。主要原因是人员增加2名。</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291.04</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一般公共服务支出（类）207.60万元，占71.33%；社会保障和就业支出（类）60.15万元，占20.67%；卫生健康支出（类）12.23万元，占4.20%；住房保障支出（类）11.06万元，占3.80%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229.02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291.04</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127.08</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1.一般公共服务支出（类）民主党派及工商联事务（款）行政运行（项）</w:t>
      </w:r>
      <w:r>
        <w:rPr>
          <w:rFonts w:ascii="仿宋" w:eastAsia="仿宋" w:hAnsi="仿宋" w:cs="仿宋" w:hint="default"/>
          <w:kern w:val="0"/>
          <w:sz w:val="32"/>
          <w:szCs w:val="32"/>
          <w:lang w:val="en-US" w:eastAsia="zh-CN"/>
        </w:rPr>
        <w:t xml:space="preserve">年初预算数为182.91万元，决算数182.91万元,完成年初预算的100.00%，决算数与年初预算数不存在差异。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2.一般公共服务支出（类）民主党派及工商联事务（款）一般行政管理事务（项）</w:t>
      </w:r>
      <w:r>
        <w:rPr>
          <w:rFonts w:ascii="仿宋" w:eastAsia="仿宋" w:hAnsi="仿宋" w:cs="仿宋" w:hint="default"/>
          <w:kern w:val="0"/>
          <w:sz w:val="32"/>
          <w:szCs w:val="32"/>
          <w:lang w:val="en-US" w:eastAsia="zh-CN"/>
        </w:rPr>
        <w:t xml:space="preserve">年初预算数为11.91万元，决算数11.91万元,完成年初预算的100.00%，决算数与年初预算数不存在差异。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3.一般公共服务支出（类）群众团体事务（款）工会事务（项）</w:t>
      </w:r>
      <w:r>
        <w:rPr>
          <w:rFonts w:ascii="仿宋" w:eastAsia="仿宋" w:hAnsi="仿宋" w:cs="仿宋" w:hint="default"/>
          <w:kern w:val="0"/>
          <w:sz w:val="32"/>
          <w:szCs w:val="32"/>
          <w:lang w:val="en-US" w:eastAsia="zh-CN"/>
        </w:rPr>
        <w:t xml:space="preserve">年初预算数为0.93万元，决算数0.93万元,完成年初预算的100.00%，决算数与年初预算数不存在差异。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4.一般公共服务支出（类）其他一般公共服务支出（款）其他一般公共服务支出（项）</w:t>
      </w:r>
      <w:r>
        <w:rPr>
          <w:rFonts w:ascii="仿宋" w:eastAsia="仿宋" w:hAnsi="仿宋" w:cs="仿宋" w:hint="default"/>
          <w:kern w:val="0"/>
          <w:sz w:val="32"/>
          <w:szCs w:val="32"/>
          <w:lang w:val="en-US" w:eastAsia="zh-CN"/>
        </w:rPr>
        <w:t xml:space="preserve">年初预算数为11.85万元，决算数11.85万元,完成年初预算的100.00%，决算数与年初预算数不存在差异。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年初预算数为46.80万元，决算数46.80万元,完成年初预算的100.00%，决算数与年初预算数不存在差异。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年初预算数为12.50万元，决算数12.50万元,完成年初预算的100.00%，决算数与年初预算数不存在差异。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7.社会保障和就业支出（类）就业补助（款）其他就业补助支出（项）</w:t>
      </w:r>
      <w:r>
        <w:rPr>
          <w:rFonts w:ascii="仿宋" w:eastAsia="仿宋" w:hAnsi="仿宋" w:cs="仿宋" w:hint="default"/>
          <w:kern w:val="0"/>
          <w:sz w:val="32"/>
          <w:szCs w:val="32"/>
          <w:lang w:val="en-US" w:eastAsia="zh-CN"/>
        </w:rPr>
        <w:t xml:space="preserve">年初预算数为0.85万元，决算数0.85万元,完成年初预算的100.00%，决算数与年初预算数不存在差异。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8.卫生健康支出（类）行政事业单位医疗（款）行政单位医疗（项）</w:t>
      </w:r>
      <w:r>
        <w:rPr>
          <w:rFonts w:ascii="仿宋" w:eastAsia="仿宋" w:hAnsi="仿宋" w:cs="仿宋" w:hint="default"/>
          <w:kern w:val="0"/>
          <w:sz w:val="32"/>
          <w:szCs w:val="32"/>
          <w:lang w:val="en-US" w:eastAsia="zh-CN"/>
        </w:rPr>
        <w:t xml:space="preserve">年初预算数为5.85万元，决算数5.85万元,完成年初预算的100.00%，决算数与年初预算数不存在差异。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9.卫生健康支出（类）行政事业单位医疗（款）公务员医疗补助（项）</w:t>
      </w:r>
      <w:r>
        <w:rPr>
          <w:rFonts w:ascii="仿宋" w:eastAsia="仿宋" w:hAnsi="仿宋" w:cs="仿宋" w:hint="default"/>
          <w:kern w:val="0"/>
          <w:sz w:val="32"/>
          <w:szCs w:val="32"/>
          <w:lang w:val="en-US" w:eastAsia="zh-CN"/>
        </w:rPr>
        <w:t xml:space="preserve">年初预算数为6.38万元，决算数6.38万元,完成年初预算的100.00%，决算数与年初预算数不存在差异。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10.住房保障支出（类）住房改革支出（款）住房公积金（项）</w:t>
      </w:r>
      <w:r>
        <w:rPr>
          <w:rFonts w:ascii="仿宋" w:eastAsia="仿宋" w:hAnsi="仿宋" w:cs="仿宋" w:hint="default"/>
          <w:kern w:val="0"/>
          <w:sz w:val="32"/>
          <w:szCs w:val="32"/>
          <w:lang w:val="en-US" w:eastAsia="zh-CN"/>
        </w:rPr>
        <w:t xml:space="preserve">年初预算数为11.06万元，决算数11.06万元,完成年初预算的100.00%，决算数与年初预算数不存在差异。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279.12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其中：人员经费254.05万元，主要包括：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公用经费25.07万元，主要包括：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4.30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2.36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，完成预算的54.88%</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2023年度“三公”经费支出决算数与预算数存在差异的主要原因是厉行节约，削减财政资金支出。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2.06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,完成预算的51.50%</w:t>
      </w:r>
      <w:r>
        <w:rPr>
          <w:rFonts w:ascii="仿宋" w:eastAsia="仿宋" w:hAnsi="仿宋" w:cs="仿宋" w:hint="eastAsia"/>
          <w:kern w:val="0"/>
          <w:sz w:val="32"/>
          <w:szCs w:val="32"/>
          <w:lang w:val="en-US" w:eastAsia="zh-CN"/>
        </w:rPr>
        <w:t xml:space="preserve">，占87.29%</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0.30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，占12.71%</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2.06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，完成预算的51.50%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决算数与预算数存在差异的主要原因是厉行节约，削减财政资金支出。</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2.06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主要用于公务用车日常消耗和维护。</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0.30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0.30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0.30</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主要用于接待上级单位来访调研。</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13</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2023年度机关运行经费支出25.07万元，</w:t>
      </w:r>
      <w:r>
        <w:rPr>
          <w:rFonts w:ascii="仿宋" w:eastAsia="仿宋" w:hAnsi="仿宋" w:cs="仿宋" w:hint="eastAsia"/>
          <w:kern w:val="0"/>
          <w:sz w:val="32"/>
          <w:szCs w:val="32"/>
          <w:lang w:val="en-US" w:eastAsia="zh-CN"/>
        </w:rPr>
        <w:t xml:space="preserve">较2022年度增长1.26万元，</w:t>
      </w:r>
      <w:r>
        <w:rPr>
          <w:rFonts w:ascii="仿宋" w:eastAsia="仿宋" w:hAnsi="仿宋" w:cs="仿宋" w:hint="eastAsia"/>
          <w:kern w:val="0"/>
          <w:sz w:val="32"/>
          <w:szCs w:val="32"/>
          <w:lang w:val="en-US" w:eastAsia="zh-CN"/>
        </w:rPr>
        <w:t xml:space="preserve">增长5.29%，</w:t>
      </w:r>
      <w:r>
        <w:rPr>
          <w:rFonts w:ascii="仿宋" w:eastAsia="仿宋" w:hAnsi="仿宋" w:cs="仿宋" w:hint="eastAsia"/>
          <w:kern w:val="0"/>
          <w:sz w:val="32"/>
          <w:szCs w:val="32"/>
          <w:lang w:val="en-US" w:eastAsia="zh-CN"/>
        </w:rPr>
        <w:t xml:space="preserve">主要原因是人员增长2名。</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311.08</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99</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2023年度我部门各项工作稳步推进，严格按照各项绩效目标，加强绩效管理，完成绩效目标。</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bookmarkStart w:id="0" w:name="_GoBack"/>
      <w:bookmarkEnd w:id="0"/>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基于项目预期目标的实现程度，我部门对2023年度部门预算项目支出（含部门参与分配的转移支付项目）开展绩效自评，涉及项目1个，项目金额11.91万元。其中：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（1）市工商联第七次代表大会换届经费（结转本级资金），自评得分为100分，等级为“优”。预算执行率100%，许昌市工商业联合会换届会议圆满完成。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从项目绩效自评情况来看，项目工作完成情况良好。</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509"/>
        <w:gridCol w:w="541"/>
        <w:gridCol w:w="1106"/>
        <w:gridCol w:w="661"/>
        <w:gridCol w:w="819"/>
        <w:gridCol w:w="398"/>
        <w:gridCol w:w="940"/>
        <w:gridCol w:w="342"/>
        <w:gridCol w:w="1067"/>
        <w:gridCol w:w="462"/>
        <w:gridCol w:w="414"/>
        <w:gridCol w:w="414"/>
        <w:gridCol w:w="1177"/>
        <w:gridCol w:w="1058"/>
      </w:tblGrid>
      <w:tr>
        <w:trPr>
          <w:trHeight w:hRule="exact" w:val="259"/>
          <w:jc w:val="center"/>
        </w:trPr>
        <w:tc>
          <w:tcPr>
            <w:tcW w:w="99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部门整体支出绩效自评情况表</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0"/>
          <w:jc w:val="center"/>
        </w:trPr>
        <w:tc>
          <w:tcPr>
            <w:tcW w:w="9908"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2024年09月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0"/>
          <w:jc w:val="center"/>
        </w:trPr>
        <w:tc>
          <w:tcPr>
            <w:tcW w:w="28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091"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许昌市工商业联合会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0"/>
          <w:jc w:val="center"/>
        </w:trPr>
        <w:tc>
          <w:tcPr>
            <w:tcW w:w="50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部门整体支出情况(万元)</w:t>
            </w:r>
          </w:p>
        </w:tc>
        <w:tc>
          <w:tcPr>
            <w:tcW w:w="23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r>
      <w:tr>
        <w:trPr>
          <w:trHeight w:hRule="exact" w:val="126"/>
          <w:jc w:val="center"/>
        </w:trPr>
        <w:tc>
          <w:tcPr>
            <w:tcW w:w="50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部门预算总额</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229.02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311.08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305.26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98.13 %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r>
      <w:tr>
        <w:trPr>
          <w:trHeight w:hRule="exact" w:val="120"/>
          <w:jc w:val="center"/>
        </w:trPr>
        <w:tc>
          <w:tcPr>
            <w:tcW w:w="50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     资金来源：（1）财政拨款</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229.02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296.86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291.04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98.04 %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r>
      <w:tr>
        <w:trPr>
          <w:trHeight w:hRule="exact" w:val="126"/>
          <w:jc w:val="center"/>
        </w:trPr>
        <w:tc>
          <w:tcPr>
            <w:tcW w:w="50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0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       （2）财政专户管理资金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r>
      <w:tr>
        <w:trPr>
          <w:trHeight w:hRule="exact" w:val="120"/>
          <w:jc w:val="center"/>
        </w:trPr>
        <w:tc>
          <w:tcPr>
            <w:tcW w:w="50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0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              （3）单位资金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14.22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14.22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100.0 %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r>
      <w:tr>
        <w:trPr>
          <w:trHeight w:hRule="exact" w:val="120"/>
          <w:jc w:val="center"/>
        </w:trPr>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年度履职目标</w:t>
            </w:r>
          </w:p>
        </w:tc>
        <w:tc>
          <w:tcPr>
            <w:tcW w:w="48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26"/>
          <w:jc w:val="center"/>
        </w:trPr>
        <w:tc>
          <w:tcPr>
            <w:tcW w:w="5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807"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目标1：围绕全市工作大局，突出两个健康主题，开展“增光添彩”活动，推动民营企业创新驱动、转型升级、提质增效，促进经济发展。</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目标2：加强民主监督，搞好调查研究，积极参政议政。</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目标3：发展会员和建立基层商会、同业公会、行业协会等商会组织工作</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目标4：为会员和非公有制经济人士提供信息和科技、管理、法律、会计、审计、融资、咨询等服务。</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目标5：承办市委、市政府交办的其他事宜。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1：围绕全市工作大局，突出两个健康主题，开展“增光添彩”活动，推动民营企业创新驱动、转型升级、提质增效，促进经济发展。</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2：加强民主监督，搞好调查研究，积极参政议政。</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3：发展会员和建立基层商会、同业公会、行业协会等商会组织工作</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4：为会员和非公有制经济人士提供信息和科技、管理、法律、会计、审计、融资、咨询等服务。</w:t>
            </w:r>
          </w:p>
          <w:p>
            <w:pPr>
              <w:snapToGrid w:val="0"/>
              <w:spacing w:before="0" w:beforeAutospacing="0" w:after="0" w:afterAutospacing="0" w:line="240" w:lineRule="auto"/>
              <w:jc w:val="center"/>
              <w:rPr/>
            </w:pPr>
            <w:r>
              <w:rPr>
                <w:rFonts w:ascii="宋体" w:eastAsia="宋体" w:hAnsi="宋体" w:cs="宋体"/>
                <w:b w:val="0"/>
                <w:i w:val="0"/>
                <w:color w:val="000000"/>
                <w:sz w:val="10"/>
              </w:rPr>
              <w:t xml:space="preserve">5：承办市委、市政府交办的其他事宜。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6"/>
          <w:jc w:val="center"/>
        </w:trPr>
        <w:tc>
          <w:tcPr>
            <w:tcW w:w="990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年度主要任务</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38"/>
          <w:jc w:val="center"/>
        </w:trPr>
        <w:tc>
          <w:tcPr>
            <w:tcW w:w="990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215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任务名称</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6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主要内容</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21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深入推进理想信念教育</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6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深入推进理想信念教育</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精心组织企业家培训活动。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21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新型政商关系</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6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持续推动构建亲清新型政商关系</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一是做好民营企业调查点建设；二是开展“大走访大调研大服务”活动。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215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两个健康</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6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全面推进民营经济“两个行动”深入开展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禹州市被评为民营经济“两个健康”示范县。</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990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0"/>
          <w:jc w:val="center"/>
        </w:trPr>
        <w:tc>
          <w:tcPr>
            <w:tcW w:w="990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0"/>
          <w:jc w:val="center"/>
        </w:trPr>
        <w:tc>
          <w:tcPr>
            <w:tcW w:w="10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投入管理指标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工作目标管理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年度履职目标相关性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相关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工作任务科学性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绩效指标合理性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预算和财务管理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预算编制完整性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专项资金细化率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预算调整率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29.6%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492.00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1.人员工资结构调整，按照全市部署统一调整；2.人员调入导致人员经费增加。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结转结余率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“三公经费”控制率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政府采购执行率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决算真实性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真实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资金使用合规性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管理制度健全性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健全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预决算信息公开性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公开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资产管理规范性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绩效目标编制完成率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绩效监控完成率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绩效自评完成率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部门绩效评价完成率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评价结果应用率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重点工作任务完成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按要求做好“两个健康”工作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7</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深入推进理想信念教育</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深入推进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持续推动新型政商关系</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持续推动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履职目标实现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年度履职目标实现率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履职效益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不断提高服务质量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提高</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促进非公有制经济发展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促进</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不断提升履职效能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提升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上级部门、会员暨经济人士满意度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638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545"/>
        <w:gridCol w:w="907"/>
        <w:gridCol w:w="1088"/>
        <w:gridCol w:w="1199"/>
        <w:gridCol w:w="656"/>
        <w:gridCol w:w="349"/>
        <w:gridCol w:w="991"/>
        <w:gridCol w:w="976"/>
        <w:gridCol w:w="628"/>
        <w:gridCol w:w="697"/>
        <w:gridCol w:w="461"/>
        <w:gridCol w:w="1409"/>
      </w:tblGrid>
      <w:tr>
        <w:trPr>
          <w:trHeight w:hRule="exact" w:val="193"/>
          <w:jc w:val="center"/>
        </w:trPr>
        <w:tc>
          <w:tcPr>
            <w:tcW w:w="9906" w:type="dxa"/>
            <w:hMerge w:val="restart"/>
            <w:shd w:val="clear" w:color="auto" w:fill="auto"/>
          </w:tcPr>
          <w:p>
            <w:pPr>
              <w:snapToGrid w:val="0"/>
              <w:spacing w:before="0" w:beforeAutospacing="0" w:after="0" w:afterAutospacing="0" w:line="240" w:lineRule="auto"/>
              <w:jc w:val="left"/>
            </w:pPr>
            <w:r>
              <w:rPr>
                <w:rFonts w:ascii="SimHei" w:eastAsia="SimHei" w:hAnsi="SimHei" w:cs="SimHei"/>
                <w:b w:val="0"/>
                <w:i w:val="0"/>
                <w:color w:val="000000"/>
                <w:sz w:val="13"/>
              </w:rPr>
              <w:t xml:space="preserve">附件1</w:t>
            </w:r>
          </w:p>
        </w:tc>
        <w:tc>
          <w:tcPr>
            <w:tcW w:type="auto" w:w="0"/>
            <w:hMerge/>
            <w:shd w:val="clear" w:color="auto" w:fill="auto"/>
          </w:tcPr>
          <w:p>
            <w:pPr>
              <w:snapToGrid w:val="0"/>
              <w:spacing w:before="0" w:beforeAutospacing="0" w:after="0" w:afterAutospacing="0" w:line="240" w:lineRule="auto"/>
              <w:jc w:val="left"/>
            </w:pPr>
          </w:p>
        </w:tc>
        <w:tc>
          <w:tcPr>
            <w:tcW w:type="auto" w:w="0"/>
            <w:hMerge/>
            <w:shd w:val="clear" w:color="auto" w:fill="auto"/>
          </w:tcPr>
          <w:p>
            <w:pPr>
              <w:snapToGrid w:val="0"/>
              <w:spacing w:before="0" w:beforeAutospacing="0" w:after="0" w:afterAutospacing="0" w:line="240" w:lineRule="auto"/>
              <w:jc w:val="left"/>
            </w:pPr>
          </w:p>
        </w:tc>
        <w:tc>
          <w:tcPr>
            <w:tcW w:type="auto" w:w="0"/>
            <w:hMerge/>
            <w:shd w:val="clear" w:color="auto" w:fill="auto"/>
          </w:tcPr>
          <w:p>
            <w:pPr>
              <w:snapToGrid w:val="0"/>
              <w:spacing w:before="0" w:beforeAutospacing="0" w:after="0" w:afterAutospacing="0" w:line="240" w:lineRule="auto"/>
              <w:jc w:val="left"/>
            </w:pPr>
          </w:p>
        </w:tc>
        <w:tc>
          <w:tcPr>
            <w:tcW w:type="auto" w:w="0"/>
            <w:hMerge/>
            <w:shd w:val="clear" w:color="auto" w:fill="auto"/>
          </w:tcPr>
          <w:p>
            <w:pPr>
              <w:snapToGrid w:val="0"/>
              <w:spacing w:before="0" w:beforeAutospacing="0" w:after="0" w:afterAutospacing="0" w:line="240" w:lineRule="auto"/>
              <w:jc w:val="left"/>
            </w:pPr>
          </w:p>
        </w:tc>
        <w:tc>
          <w:tcPr>
            <w:tcW w:type="auto" w:w="0"/>
            <w:hMerge/>
            <w:shd w:val="clear" w:color="auto" w:fill="auto"/>
          </w:tcPr>
          <w:p>
            <w:pPr>
              <w:snapToGrid w:val="0"/>
              <w:spacing w:before="0" w:beforeAutospacing="0" w:after="0" w:afterAutospacing="0" w:line="240" w:lineRule="auto"/>
              <w:jc w:val="left"/>
            </w:pPr>
          </w:p>
        </w:tc>
        <w:tc>
          <w:tcPr>
            <w:tcW w:type="auto" w:w="0"/>
            <w:hMerge/>
            <w:shd w:val="clear" w:color="auto" w:fill="auto"/>
          </w:tcPr>
          <w:p>
            <w:pPr>
              <w:snapToGrid w:val="0"/>
              <w:spacing w:before="0" w:beforeAutospacing="0" w:after="0" w:afterAutospacing="0" w:line="240" w:lineRule="auto"/>
              <w:jc w:val="left"/>
            </w:pPr>
          </w:p>
        </w:tc>
        <w:tc>
          <w:tcPr>
            <w:tcW w:type="auto" w:w="0"/>
            <w:hMerge/>
            <w:shd w:val="clear" w:color="auto" w:fill="auto"/>
          </w:tcPr>
          <w:p>
            <w:pPr>
              <w:snapToGrid w:val="0"/>
              <w:spacing w:before="0" w:beforeAutospacing="0" w:after="0" w:afterAutospacing="0" w:line="240" w:lineRule="auto"/>
              <w:jc w:val="left"/>
            </w:pPr>
          </w:p>
        </w:tc>
        <w:tc>
          <w:tcPr>
            <w:tcW w:type="auto" w:w="0"/>
            <w:hMerge/>
            <w:shd w:val="clear" w:color="auto" w:fill="auto"/>
          </w:tcPr>
          <w:p>
            <w:pPr>
              <w:snapToGrid w:val="0"/>
              <w:spacing w:before="0" w:beforeAutospacing="0" w:after="0" w:afterAutospacing="0" w:line="240" w:lineRule="auto"/>
              <w:jc w:val="left"/>
            </w:pPr>
          </w:p>
        </w:tc>
        <w:tc>
          <w:tcPr>
            <w:tcW w:type="auto" w:w="0"/>
            <w:hMerge/>
            <w:shd w:val="clear" w:color="auto" w:fill="auto"/>
          </w:tcPr>
          <w:p>
            <w:pPr>
              <w:snapToGrid w:val="0"/>
              <w:spacing w:before="0" w:beforeAutospacing="0" w:after="0" w:afterAutospacing="0" w:line="240" w:lineRule="auto"/>
              <w:jc w:val="left"/>
            </w:pPr>
          </w:p>
        </w:tc>
        <w:tc>
          <w:tcPr>
            <w:tcW w:type="auto" w:w="0"/>
            <w:hMerge/>
            <w:shd w:val="clear" w:color="auto" w:fill="auto"/>
          </w:tcPr>
          <w:p>
            <w:pPr>
              <w:snapToGrid w:val="0"/>
              <w:spacing w:before="0" w:beforeAutospacing="0" w:after="0" w:afterAutospacing="0" w:line="240" w:lineRule="auto"/>
              <w:jc w:val="left"/>
            </w:pPr>
          </w:p>
        </w:tc>
        <w:tc>
          <w:tcPr>
            <w:tcW w:type="auto" w:w="0"/>
            <w:hMerge/>
            <w:shd w:val="clear" w:color="auto" w:fill="auto"/>
          </w:tcPr>
          <w:p>
            <w:pPr>
              <w:snapToGrid w:val="0"/>
              <w:spacing w:before="0" w:beforeAutospacing="0" w:after="0" w:afterAutospacing="0" w:line="240" w:lineRule="auto"/>
              <w:jc w:val="left"/>
            </w:pPr>
          </w:p>
        </w:tc>
      </w:tr>
      <w:tr>
        <w:trPr>
          <w:trHeight w:hRule="exact" w:val="314"/>
          <w:jc w:val="center"/>
        </w:trPr>
        <w:tc>
          <w:tcPr>
            <w:tcW w:w="4395" w:type="dxa"/>
            <w:hMerge w:val="restart"/>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c>
          <w:tcPr>
            <w:tcW w:w="5511" w:type="dxa"/>
            <w:hMerge w:val="restart"/>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i w:val="0"/>
                <w:color w:val="000000"/>
                <w:sz w:val="21"/>
              </w:rPr>
              <w:t xml:space="preserve">项目自评表</w:t>
            </w:r>
          </w:p>
        </w:tc>
        <w:tc>
          <w:tcPr>
            <w:tcW w:type="auto" w:w="0"/>
            <w:hMerge/>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r>
      <w:tr>
        <w:trPr>
          <w:trHeight w:hRule="exact" w:val="217"/>
          <w:jc w:val="center"/>
        </w:trPr>
        <w:tc>
          <w:tcPr>
            <w:tcW w:w="4395" w:type="dxa"/>
            <w:hMerge w:val="restart"/>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c>
          <w:tcPr>
            <w:tcW w:w="5511" w:type="dxa"/>
            <w:hMerge w:val="restart"/>
            <w:tcBorders/>
            <w:shd w:val="clear" w:color="auto" w:fill="auto"/>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3"/>
              </w:rPr>
              <w:t xml:space="preserve">（ 2023年度）</w:t>
            </w:r>
          </w:p>
        </w:tc>
        <w:tc>
          <w:tcPr>
            <w:tcW w:type="auto" w:w="0"/>
            <w:hMerge/>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c>
          <w:tcPr>
            <w:tcW w:type="auto" w:w="0"/>
            <w:hMerge/>
            <w:tcBorders/>
            <w:shd w:val="clear" w:color="auto" w:fill="auto"/>
          </w:tcPr>
          <w:p>
            <w:pPr>
              <w:snapToGrid w:val="0"/>
              <w:spacing w:before="0" w:beforeAutospacing="0" w:after="0" w:afterAutospacing="0" w:line="240" w:lineRule="auto"/>
              <w:jc w:val="left"/>
            </w:pPr>
          </w:p>
        </w:tc>
      </w:tr>
      <w:tr>
        <w:trPr>
          <w:trHeight w:hRule="exact" w:val="229"/>
          <w:jc w:val="center"/>
        </w:trPr>
        <w:tc>
          <w:tcPr>
            <w:tcW w:w="4395" w:type="dxa"/>
            <w:hMerge w:val="restart"/>
            <w:tcBorders>
              <w:bottom w:val="single" w:sz="4" w:space="0" w:color="000000"/>
            </w:tcBorders>
            <w:shd w:val="clear" w:color="auto" w:fill="auto"/>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auto"/>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auto"/>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auto"/>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auto"/>
          </w:tcPr>
          <w:p>
            <w:pPr>
              <w:snapToGrid w:val="0"/>
              <w:spacing w:before="0" w:beforeAutospacing="0" w:after="0" w:afterAutospacing="0" w:line="240" w:lineRule="auto"/>
              <w:jc w:val="left"/>
            </w:pPr>
          </w:p>
        </w:tc>
        <w:tc>
          <w:tcPr>
            <w:tcW w:w="1340" w:type="dxa"/>
            <w:hMerge w:val="restart"/>
            <w:tcBorders>
              <w:bottom w:val="single" w:sz="4" w:space="0" w:color="000000"/>
            </w:tcBorders>
            <w:shd w:val="clear" w:color="auto" w:fill="auto"/>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auto"/>
          </w:tcPr>
          <w:p>
            <w:pPr>
              <w:snapToGrid w:val="0"/>
              <w:spacing w:before="0" w:beforeAutospacing="0" w:after="0" w:afterAutospacing="0" w:line="240" w:lineRule="auto"/>
              <w:jc w:val="left"/>
            </w:pPr>
          </w:p>
        </w:tc>
        <w:tc>
          <w:tcPr>
            <w:tcW w:w="4171" w:type="dxa"/>
            <w:hMerge w:val="restart"/>
            <w:tcBorders>
              <w:bottom w:val="single" w:sz="4" w:space="0" w:color="000000"/>
            </w:tcBorders>
            <w:shd w:val="clear" w:color="auto" w:fill="auto"/>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填表人及联系方式 ：张梦路 2621077</w:t>
            </w:r>
          </w:p>
        </w:tc>
        <w:tc>
          <w:tcPr>
            <w:tcW w:type="auto" w:w="0"/>
            <w:hMerge/>
            <w:tcBorders>
              <w:bottom w:val="single" w:sz="4" w:space="0" w:color="000000"/>
            </w:tcBorders>
            <w:shd w:val="clear" w:color="auto" w:fill="auto"/>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auto"/>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auto"/>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auto"/>
          </w:tcPr>
          <w:p>
            <w:pPr>
              <w:snapToGrid w:val="0"/>
              <w:spacing w:before="0" w:beforeAutospacing="0" w:after="0" w:afterAutospacing="0" w:line="240" w:lineRule="auto"/>
              <w:jc w:val="left"/>
            </w:pPr>
          </w:p>
        </w:tc>
      </w:tr>
      <w:tr>
        <w:trPr>
          <w:trHeight w:hRule="exact" w:val="253"/>
          <w:jc w:val="center"/>
        </w:trPr>
        <w:tc>
          <w:tcPr>
            <w:tcW w:w="14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4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市工商联第七次代表大会换届经费（结转本级资金）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53"/>
          <w:jc w:val="center"/>
        </w:trPr>
        <w:tc>
          <w:tcPr>
            <w:tcW w:w="145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主管部门及代码</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28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许昌市工商业联合会026001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实施单位</w:t>
            </w:r>
          </w:p>
        </w:tc>
        <w:tc>
          <w:tcPr>
            <w:tcW w:w="319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许昌市工商业联合会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58"/>
          <w:jc w:val="center"/>
        </w:trPr>
        <w:tc>
          <w:tcPr>
            <w:tcW w:w="1452"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项目资金</w:t>
            </w:r>
          </w:p>
          <w:p>
            <w:pPr>
              <w:snapToGrid w:val="0"/>
              <w:spacing w:before="0" w:beforeAutospacing="0" w:after="0" w:afterAutospacing="0" w:line="240" w:lineRule="auto"/>
              <w:jc w:val="center"/>
              <w:rPr/>
            </w:pPr>
            <w:r>
              <w:rPr>
                <w:rFonts w:ascii="Microsoft YaHei" w:eastAsia="Microsoft YaHei" w:hAnsi="Microsoft YaHei" w:cs="Microsoft YaHei"/>
                <w:b w:val="0"/>
                <w:i w:val="0"/>
                <w:color w:val="000000"/>
                <w:sz w:val="11"/>
              </w:rPr>
              <w:t xml:space="preserve">（万元）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87"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w="10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全年预算数</w:t>
            </w:r>
          </w:p>
          <w:p>
            <w:pPr>
              <w:snapToGrid w:val="0"/>
              <w:spacing w:before="0" w:beforeAutospacing="0" w:after="0" w:afterAutospacing="0" w:line="240" w:lineRule="auto"/>
              <w:jc w:val="center"/>
              <w:rPr/>
            </w:pPr>
            <w:r>
              <w:rPr>
                <w:rFonts w:ascii="Microsoft YaHei" w:eastAsia="Microsoft YaHei" w:hAnsi="Microsoft YaHei" w:cs="Microsoft YaHei"/>
                <w:b w:val="0"/>
                <w:i w:val="0"/>
                <w:color w:val="000000"/>
                <w:sz w:val="11"/>
              </w:rPr>
              <w:t xml:space="preserve">（A）</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全年执行数</w:t>
            </w:r>
          </w:p>
          <w:p>
            <w:pPr>
              <w:snapToGrid w:val="0"/>
              <w:spacing w:before="0" w:beforeAutospacing="0" w:after="0" w:afterAutospacing="0" w:line="240" w:lineRule="auto"/>
              <w:jc w:val="center"/>
              <w:rPr/>
            </w:pPr>
            <w:r>
              <w:rPr>
                <w:rFonts w:ascii="Microsoft YaHei" w:eastAsia="Microsoft YaHei" w:hAnsi="Microsoft YaHei" w:cs="Microsoft YaHei"/>
                <w:b w:val="0"/>
                <w:i w:val="0"/>
                <w:color w:val="000000"/>
                <w:sz w:val="11"/>
              </w:rPr>
              <w:t xml:space="preserve">（B）</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分值</w:t>
            </w:r>
          </w:p>
        </w:tc>
        <w:tc>
          <w:tcPr>
            <w:tcW w:w="11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执行率</w:t>
            </w:r>
          </w:p>
          <w:p>
            <w:pPr>
              <w:snapToGrid w:val="0"/>
              <w:spacing w:before="0" w:beforeAutospacing="0" w:after="0" w:afterAutospacing="0" w:line="240" w:lineRule="auto"/>
              <w:jc w:val="center"/>
              <w:rPr/>
            </w:pPr>
            <w:r>
              <w:rPr>
                <w:rFonts w:ascii="Microsoft YaHei" w:eastAsia="Microsoft YaHei" w:hAnsi="Microsoft YaHei" w:cs="Microsoft YaHei"/>
                <w:b w:val="0"/>
                <w:i w:val="0"/>
                <w:color w:val="000000"/>
                <w:sz w:val="11"/>
              </w:rPr>
              <w:t xml:space="preserve">（B/Ax100%）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得分</w:t>
            </w:r>
          </w:p>
        </w:tc>
      </w:tr>
      <w:tr>
        <w:trPr>
          <w:trHeight w:hRule="exact" w:val="265"/>
          <w:jc w:val="center"/>
        </w:trPr>
        <w:tc>
          <w:tcPr>
            <w:tcW w:w="1452"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00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right"/>
            </w:pPr>
            <w:r>
              <w:rPr>
                <w:rFonts w:ascii="Microsoft YaHei" w:eastAsia="Microsoft YaHei" w:hAnsi="Microsoft YaHei" w:cs="Microsoft YaHei"/>
                <w:b w:val="0"/>
                <w:i w:val="0"/>
                <w:color w:val="000000"/>
                <w:sz w:val="13"/>
              </w:rPr>
              <w:t xml:space="preserve">0</w:t>
            </w:r>
          </w:p>
          <w:p>
            <w:pPr>
              <w:snapToGrid w:val="0"/>
              <w:spacing w:before="0" w:beforeAutospacing="0" w:after="0" w:afterAutospacing="0" w:line="240" w:lineRule="auto"/>
              <w:jc w:val="right"/>
              <w:rPr/>
            </w:pPr>
            <w:r>
              <w:rPr>
                <w:rFonts w:ascii="Microsoft YaHei" w:eastAsia="Microsoft YaHei" w:hAnsi="Microsoft YaHei" w:cs="Microsoft YaHei"/>
                <w:b w:val="0"/>
                <w:i w:val="0"/>
                <w:color w:val="000000"/>
                <w:sz w:val="13"/>
              </w:rPr>
            </w:r>
          </w:p>
          <w:p>
            <w:pPr>
              <w:snapToGrid w:val="0"/>
              <w:spacing w:before="0" w:beforeAutospacing="0" w:after="0" w:afterAutospacing="0" w:line="240" w:lineRule="auto"/>
              <w:jc w:val="right"/>
              <w:rPr/>
            </w:pPr>
            <w:r>
              <w:rPr>
                <w:rFonts w:ascii="Microsoft YaHei" w:eastAsia="Microsoft YaHei" w:hAnsi="Microsoft YaHei" w:cs="Microsoft YaHei"/>
                <w:b w:val="0"/>
                <w:i w:val="0"/>
                <w:color w:val="000000"/>
                <w:sz w:val="13"/>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right"/>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11.91</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11.91</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10</w:t>
            </w:r>
          </w:p>
        </w:tc>
        <w:tc>
          <w:tcPr>
            <w:tcW w:w="11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10</w:t>
            </w:r>
          </w:p>
        </w:tc>
      </w:tr>
      <w:tr>
        <w:trPr>
          <w:trHeight w:hRule="exact" w:val="265"/>
          <w:jc w:val="center"/>
        </w:trPr>
        <w:tc>
          <w:tcPr>
            <w:tcW w:w="1452"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其中 ：政府预算资金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005" w:type="dxa"/>
            <w:hMerge w:val="restart"/>
            <w:v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righ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right"/>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11.91</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11.91</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w:t>
            </w:r>
          </w:p>
        </w:tc>
        <w:tc>
          <w:tcPr>
            <w:tcW w:w="11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w:t>
            </w:r>
          </w:p>
        </w:tc>
      </w:tr>
      <w:tr>
        <w:trPr>
          <w:trHeight w:hRule="exact" w:val="253"/>
          <w:jc w:val="center"/>
        </w:trPr>
        <w:tc>
          <w:tcPr>
            <w:tcW w:w="1452"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0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0</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0</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w:t>
            </w:r>
          </w:p>
        </w:tc>
        <w:tc>
          <w:tcPr>
            <w:tcW w:w="11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w:t>
            </w:r>
          </w:p>
        </w:tc>
      </w:tr>
      <w:tr>
        <w:trPr>
          <w:trHeight w:hRule="exact" w:val="253"/>
          <w:jc w:val="center"/>
        </w:trPr>
        <w:tc>
          <w:tcPr>
            <w:tcW w:w="1452"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0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0</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0</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w:t>
            </w:r>
          </w:p>
        </w:tc>
        <w:tc>
          <w:tcPr>
            <w:tcW w:w="11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w:t>
            </w:r>
          </w:p>
        </w:tc>
      </w:tr>
      <w:tr>
        <w:trPr>
          <w:trHeight w:hRule="exact" w:val="458"/>
          <w:jc w:val="center"/>
        </w:trPr>
        <w:tc>
          <w:tcPr>
            <w:tcW w:w="1452"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87"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w="29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分值</w:t>
            </w:r>
          </w:p>
          <w:p>
            <w:pPr>
              <w:snapToGrid w:val="0"/>
              <w:spacing w:before="0" w:beforeAutospacing="0" w:after="0" w:afterAutospacing="0" w:line="240" w:lineRule="auto"/>
              <w:jc w:val="center"/>
              <w:rPr/>
            </w:pPr>
            <w:r>
              <w:rPr>
                <w:rFonts w:ascii="Microsoft YaHei" w:eastAsia="Microsoft YaHei" w:hAnsi="Microsoft YaHei" w:cs="Microsoft YaHei"/>
                <w:b w:val="0"/>
                <w:i w:val="0"/>
                <w:color w:val="000000"/>
                <w:sz w:val="11"/>
              </w:rPr>
              <w:t xml:space="preserve">（20）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得分</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53"/>
          <w:jc w:val="center"/>
        </w:trPr>
        <w:tc>
          <w:tcPr>
            <w:tcW w:w="1452"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9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安排科学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5</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253"/>
          <w:jc w:val="center"/>
        </w:trPr>
        <w:tc>
          <w:tcPr>
            <w:tcW w:w="1452"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9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符合相关政策规定</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5</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253"/>
          <w:jc w:val="center"/>
        </w:trPr>
        <w:tc>
          <w:tcPr>
            <w:tcW w:w="1452"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9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严格按照财经相关纪律使用资金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5</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253"/>
          <w:jc w:val="center"/>
        </w:trPr>
        <w:tc>
          <w:tcPr>
            <w:tcW w:w="1452"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8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97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程序规范，重点突出 ，客观公正</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5</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253"/>
          <w:jc w:val="center"/>
        </w:trPr>
        <w:tc>
          <w:tcPr>
            <w:tcW w:w="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年度总</w:t>
            </w:r>
          </w:p>
          <w:p>
            <w:pPr>
              <w:snapToGrid w:val="0"/>
              <w:spacing w:before="0" w:beforeAutospacing="0" w:after="0" w:afterAutospacing="0" w:line="240" w:lineRule="auto"/>
              <w:jc w:val="center"/>
              <w:rPr/>
            </w:pPr>
            <w:r>
              <w:rPr>
                <w:rFonts w:ascii="Microsoft YaHei" w:eastAsia="Microsoft YaHei" w:hAnsi="Microsoft YaHei" w:cs="Microsoft YaHei"/>
                <w:b w:val="0"/>
                <w:i w:val="0"/>
                <w:color w:val="000000"/>
                <w:sz w:val="11"/>
              </w:rPr>
              <w:t xml:space="preserve">体目标</w:t>
            </w:r>
          </w:p>
        </w:tc>
        <w:tc>
          <w:tcPr>
            <w:tcW w:w="51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1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27"/>
          <w:jc w:val="center"/>
        </w:trPr>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1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许昌市工商业联合会换届会议圆满完成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17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许昌市工商业联合会换届会议圆满完成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62"/>
          <w:jc w:val="center"/>
        </w:trPr>
        <w:tc>
          <w:tcPr>
            <w:tcW w:w="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绩效指标</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一级指标</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二级指标</w:t>
            </w:r>
          </w:p>
        </w:tc>
        <w:tc>
          <w:tcPr>
            <w:tcW w:w="220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年度指标值</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实际完成值</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分值</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得分</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偏差原因分析及改进措施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29"/>
          <w:jc w:val="center"/>
        </w:trPr>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成本指标</w:t>
            </w:r>
          </w:p>
          <w:p>
            <w:pPr>
              <w:snapToGrid w:val="0"/>
              <w:spacing w:before="0" w:beforeAutospacing="0" w:after="0" w:afterAutospacing="0" w:line="240" w:lineRule="auto"/>
              <w:jc w:val="center"/>
              <w:rPr/>
            </w:pPr>
            <w:r>
              <w:rPr>
                <w:rFonts w:ascii="Microsoft YaHei" w:eastAsia="Microsoft YaHei" w:hAnsi="Microsoft YaHei" w:cs="Microsoft YaHei"/>
                <w:b w:val="0"/>
                <w:i w:val="0"/>
                <w:color w:val="000000"/>
                <w:sz w:val="11"/>
              </w:rPr>
              <w:t xml:space="preserve">（10分）</w:t>
            </w:r>
          </w:p>
        </w:tc>
        <w:tc>
          <w:tcPr>
            <w:tcW w:w="1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经济成本指标</w:t>
            </w:r>
          </w:p>
        </w:tc>
        <w:tc>
          <w:tcPr>
            <w:tcW w:w="220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指标1 ：会议室租赁费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≤1.7万元</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1.7万元</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229"/>
          <w:jc w:val="center"/>
        </w:trPr>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指标2 ：会议期间住宿费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≤4.928万元</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4.9万元</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229"/>
          <w:jc w:val="center"/>
        </w:trPr>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指标3 ：材料打印费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≤3.18万元</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3.1万元</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229"/>
          <w:jc w:val="center"/>
        </w:trPr>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指标4 ：会议期间餐费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≤2.11万元</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2.1万元</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4</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4</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229"/>
          <w:jc w:val="center"/>
        </w:trPr>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产出指标</w:t>
            </w:r>
          </w:p>
          <w:p>
            <w:pPr>
              <w:snapToGrid w:val="0"/>
              <w:spacing w:before="0" w:beforeAutospacing="0" w:after="0" w:afterAutospacing="0" w:line="240" w:lineRule="auto"/>
              <w:jc w:val="center"/>
              <w:rPr/>
            </w:pPr>
            <w:r>
              <w:rPr>
                <w:rFonts w:ascii="Microsoft YaHei" w:eastAsia="Microsoft YaHei" w:hAnsi="Microsoft YaHei" w:cs="Microsoft YaHei"/>
                <w:b w:val="0"/>
                <w:i w:val="0"/>
                <w:color w:val="000000"/>
                <w:sz w:val="11"/>
              </w:rPr>
              <w:t xml:space="preserve">（30分）</w:t>
            </w:r>
          </w:p>
        </w:tc>
        <w:tc>
          <w:tcPr>
            <w:tcW w:w="1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数量指标</w:t>
            </w:r>
          </w:p>
        </w:tc>
        <w:tc>
          <w:tcPr>
            <w:tcW w:w="220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指标1 ：会议天数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≤1天</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1天</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3</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3</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229"/>
          <w:jc w:val="center"/>
        </w:trPr>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指标2 ：参会人数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≥298人</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298人</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8</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229"/>
          <w:jc w:val="center"/>
        </w:trPr>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指标3 ：会议总成本</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≤11.92万元</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11.92万元</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8</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229"/>
          <w:jc w:val="center"/>
        </w:trPr>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指标4 ：会议数量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≥2场</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2场</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229"/>
          <w:jc w:val="center"/>
        </w:trPr>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质量指标</w:t>
            </w:r>
          </w:p>
        </w:tc>
        <w:tc>
          <w:tcPr>
            <w:tcW w:w="220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指标1 ：会议成果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圆满完成</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229"/>
          <w:jc w:val="center"/>
        </w:trPr>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指标2 ：实到参会人数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≤100%</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7</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7</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458"/>
          <w:jc w:val="center"/>
        </w:trPr>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效益指标</w:t>
            </w:r>
          </w:p>
          <w:p>
            <w:pPr>
              <w:snapToGrid w:val="0"/>
              <w:spacing w:before="0" w:beforeAutospacing="0" w:after="0" w:afterAutospacing="0" w:line="240" w:lineRule="auto"/>
              <w:jc w:val="center"/>
              <w:rPr/>
            </w:pPr>
            <w:r>
              <w:rPr>
                <w:rFonts w:ascii="Microsoft YaHei" w:eastAsia="Microsoft YaHei" w:hAnsi="Microsoft YaHei" w:cs="Microsoft YaHei"/>
                <w:b w:val="0"/>
                <w:i w:val="0"/>
                <w:color w:val="000000"/>
                <w:sz w:val="11"/>
              </w:rPr>
              <w:t xml:space="preserve">（25分）</w:t>
            </w:r>
          </w:p>
        </w:tc>
        <w:tc>
          <w:tcPr>
            <w:tcW w:w="1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社会效益指标</w:t>
            </w:r>
          </w:p>
        </w:tc>
        <w:tc>
          <w:tcPr>
            <w:tcW w:w="220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指标1 ：落实党委政府决策的</w:t>
            </w:r>
          </w:p>
          <w:p>
            <w:pPr>
              <w:snapToGrid w:val="0"/>
              <w:spacing w:before="0" w:beforeAutospacing="0" w:after="0" w:afterAutospacing="0" w:line="240" w:lineRule="auto"/>
              <w:jc w:val="left"/>
              <w:rPr/>
            </w:pPr>
            <w:r>
              <w:rPr>
                <w:rFonts w:ascii="Microsoft YaHei" w:eastAsia="Microsoft YaHei" w:hAnsi="Microsoft YaHei" w:cs="Microsoft YaHei"/>
                <w:b w:val="0"/>
                <w:i w:val="0"/>
                <w:color w:val="000000"/>
                <w:sz w:val="11"/>
              </w:rPr>
              <w:t xml:space="preserve">持续影响程度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落实</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15</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15</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458"/>
          <w:jc w:val="center"/>
        </w:trPr>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指标2 ：履职 、促进事业发展</w:t>
            </w:r>
          </w:p>
          <w:p>
            <w:pPr>
              <w:snapToGrid w:val="0"/>
              <w:spacing w:before="0" w:beforeAutospacing="0" w:after="0" w:afterAutospacing="0" w:line="240" w:lineRule="auto"/>
              <w:jc w:val="left"/>
              <w:rPr/>
            </w:pPr>
            <w:r>
              <w:rPr>
                <w:rFonts w:ascii="Microsoft YaHei" w:eastAsia="Microsoft YaHei" w:hAnsi="Microsoft YaHei" w:cs="Microsoft YaHei"/>
                <w:b w:val="0"/>
                <w:i w:val="0"/>
                <w:color w:val="000000"/>
                <w:sz w:val="11"/>
              </w:rPr>
              <w:t xml:space="preserve">持续影响程度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促进</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10</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229"/>
          <w:jc w:val="center"/>
        </w:trPr>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满意度指标</w:t>
            </w:r>
          </w:p>
          <w:p>
            <w:pPr>
              <w:snapToGrid w:val="0"/>
              <w:spacing w:before="0" w:beforeAutospacing="0" w:after="0" w:afterAutospacing="0" w:line="240" w:lineRule="auto"/>
              <w:jc w:val="center"/>
              <w:rPr/>
            </w:pPr>
            <w:r>
              <w:rPr>
                <w:rFonts w:ascii="Microsoft YaHei" w:eastAsia="Microsoft YaHei" w:hAnsi="Microsoft YaHei" w:cs="Microsoft YaHei"/>
                <w:b w:val="0"/>
                <w:i w:val="0"/>
                <w:color w:val="000000"/>
                <w:sz w:val="11"/>
              </w:rPr>
              <w:t xml:space="preserve">（5分）</w:t>
            </w:r>
          </w:p>
        </w:tc>
        <w:tc>
          <w:tcPr>
            <w:tcW w:w="1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服务对象满意</w:t>
            </w:r>
          </w:p>
          <w:p>
            <w:pPr>
              <w:snapToGrid w:val="0"/>
              <w:spacing w:before="0" w:beforeAutospacing="0" w:after="0" w:afterAutospacing="0" w:line="240" w:lineRule="auto"/>
              <w:jc w:val="center"/>
              <w:rPr/>
            </w:pPr>
            <w:r>
              <w:rPr>
                <w:rFonts w:ascii="Microsoft YaHei" w:eastAsia="Microsoft YaHei" w:hAnsi="Microsoft YaHei" w:cs="Microsoft YaHei"/>
                <w:b w:val="0"/>
                <w:i w:val="0"/>
                <w:color w:val="000000"/>
                <w:sz w:val="11"/>
              </w:rPr>
              <w:t xml:space="preserve">度指标</w:t>
            </w:r>
          </w:p>
        </w:tc>
        <w:tc>
          <w:tcPr>
            <w:tcW w:w="220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指标1 ：非公有制人士满意度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≥95%</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0.95</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229"/>
          <w:jc w:val="center"/>
        </w:trPr>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指标2 ：会员满意度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≥95%</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0.95</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2</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229"/>
          <w:jc w:val="center"/>
        </w:trPr>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指标3 ：上级部门满意度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≥95%</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0.95</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253"/>
          <w:jc w:val="center"/>
        </w:trPr>
        <w:tc>
          <w:tcPr>
            <w:tcW w:w="671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100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Microsoft YaHei" w:eastAsia="Microsoft YaHei" w:hAnsi="Microsoft YaHei" w:cs="Microsoft YaHei"/>
                <w:b w:val="0"/>
                <w:i w:val="0"/>
                <w:color w:val="000000"/>
                <w:sz w:val="11"/>
              </w:rPr>
              <w:t xml:space="preserve">100</w:t>
            </w:r>
          </w:p>
        </w:tc>
        <w:tc>
          <w:tcPr>
            <w:tcW w:w="1870"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left"/>
            </w:pPr>
          </w:p>
        </w:tc>
      </w:tr>
      <w:tr>
        <w:trPr>
          <w:trHeight w:hRule="exact" w:val="1375"/>
          <w:jc w:val="center"/>
        </w:trPr>
        <w:tc>
          <w:tcPr>
            <w:tcW w:w="99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Microsoft YaHei" w:eastAsia="Microsoft YaHei" w:hAnsi="Microsoft YaHei" w:cs="Microsoft YaHei"/>
                <w:b w:val="0"/>
                <w:i w:val="0"/>
                <w:color w:val="000000"/>
                <w:sz w:val="11"/>
              </w:rPr>
              <w:t xml:space="preserve">注：1.资金管理情况的考核，对违反预算管理规定行为的 ，原则上每发现1例扣1分，扣完为止。</w:t>
            </w:r>
          </w:p>
          <w:p>
            <w:pPr>
              <w:snapToGrid w:val="0"/>
              <w:spacing w:before="0" w:beforeAutospacing="0" w:after="0" w:afterAutospacing="0" w:line="240" w:lineRule="auto"/>
              <w:jc w:val="left"/>
              <w:rPr/>
            </w:pPr>
            <w:r>
              <w:rPr>
                <w:rFonts w:ascii="Microsoft YaHei" w:eastAsia="Microsoft YaHei" w:hAnsi="Microsoft YaHei" w:cs="Microsoft YaHei"/>
                <w:b w:val="0"/>
                <w:i w:val="0"/>
                <w:color w:val="000000"/>
                <w:sz w:val="11"/>
              </w:rPr>
              <w:t xml:space="preserve">2.绩效自评采取打分评价的形式 ，满分为100分 ，项目单位自评原则上统一按以下方式设置 ：预算执行率10分、资金管理情况20分 、成本指标10分、</w:t>
            </w:r>
          </w:p>
          <w:p>
            <w:pPr>
              <w:snapToGrid w:val="0"/>
              <w:spacing w:before="0" w:beforeAutospacing="0" w:after="0" w:afterAutospacing="0" w:line="240" w:lineRule="auto"/>
              <w:jc w:val="left"/>
              <w:rPr/>
            </w:pPr>
            <w:r>
              <w:rPr>
                <w:rFonts w:ascii="Microsoft YaHei" w:eastAsia="Microsoft YaHei" w:hAnsi="Microsoft YaHei" w:cs="Microsoft YaHei"/>
                <w:b w:val="0"/>
                <w:i w:val="0"/>
                <w:color w:val="000000"/>
                <w:sz w:val="11"/>
              </w:rPr>
              <w:t xml:space="preserve">产出指标30分 、效益指标25分 、满意度指标5分。二三级指标的分值权重由各单位根据项目实际情况和指标重要程度合理设置。</w:t>
            </w:r>
          </w:p>
          <w:p>
            <w:pPr>
              <w:snapToGrid w:val="0"/>
              <w:spacing w:before="0" w:beforeAutospacing="0" w:after="0" w:afterAutospacing="0" w:line="240" w:lineRule="auto"/>
              <w:jc w:val="left"/>
              <w:rPr/>
            </w:pPr>
            <w:r>
              <w:rPr>
                <w:rFonts w:ascii="Microsoft YaHei" w:eastAsia="Microsoft YaHei" w:hAnsi="Microsoft YaHei" w:cs="Microsoft YaHei"/>
                <w:b w:val="0"/>
                <w:i w:val="0"/>
                <w:color w:val="000000"/>
                <w:sz w:val="11"/>
              </w:rPr>
              <w:t xml:space="preserve">3.偏差原因分析及改进措施 ：说明偏离目标、不能完成目标的原因及改进措施。</w:t>
            </w:r>
          </w:p>
          <w:p>
            <w:pPr>
              <w:snapToGrid w:val="0"/>
              <w:spacing w:before="0" w:beforeAutospacing="0" w:after="0" w:afterAutospacing="0" w:line="240" w:lineRule="auto"/>
              <w:jc w:val="left"/>
              <w:rPr/>
            </w:pPr>
            <w:r>
              <w:rPr>
                <w:rFonts w:ascii="Microsoft YaHei" w:eastAsia="Microsoft YaHei" w:hAnsi="Microsoft YaHei" w:cs="Microsoft YaHei"/>
                <w:b w:val="0"/>
                <w:i w:val="0"/>
                <w:color w:val="000000"/>
                <w:sz w:val="11"/>
              </w:rPr>
              <w:t xml:space="preserve">4.定性指标完成情况分为好、较好 、一般 、较差四档 ，在相应档次分别按照100％-90%(含) 、90%-80％(含) 、80％-60％(含) 、60％-0％合理确定分值</w:t>
            </w:r>
          </w:p>
          <w:p>
            <w:pPr>
              <w:snapToGrid w:val="0"/>
              <w:spacing w:before="0" w:beforeAutospacing="0" w:after="0" w:afterAutospacing="0" w:line="240" w:lineRule="auto"/>
              <w:jc w:val="left"/>
              <w:rPr/>
            </w:pPr>
            <w:r>
              <w:rPr>
                <w:rFonts w:ascii="Microsoft YaHei" w:eastAsia="Microsoft YaHei" w:hAnsi="Microsoft YaHei" w:cs="Microsoft YaHei"/>
                <w:b w:val="0"/>
                <w:i w:val="0"/>
                <w:color w:val="000000"/>
                <w:sz w:val="11"/>
              </w:rPr>
              <w:t xml:space="preserve">。 定量指标完成指标值的 ，记该指标所赋全部分值；未完成的 ，按照完成值与指标值的比例计分。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699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44</Pages>
  <Words>6696</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