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许昌市工伤保险中心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许昌市工伤保险中心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许昌市工伤保险中心概况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我单位的主要职责是：承担市直工伤保险登记、保险费征缴、工伤待遇审核、费用支付等工作。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许昌市工伤保险中心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许昌市工伤保险中心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1、许昌市工伤保险中心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169.26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6.75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144.80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9.26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169.26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169.26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169.26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169.26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169.26</w:t>
            </w:r>
          </w:p>
        </w:tc>
        <w:tc>
          <w:tcPr>
            <w:tcW w:w="1440" w:type="dxa"/>
            <w:tcBorders/>
            <w:vAlign w:val="center"/>
          </w:tcPr>
          <w:p>
            <w:pPr>
              <w:jc w:val="right"/>
            </w:pPr>
            <w:r>
              <w:rPr>
                <w:rFonts w:ascii="宋体" w:eastAsia="宋体" w:hAnsi="宋体" w:cs="宋体"/>
                <w:b/>
                <w:i w:val="0"/>
                <w:color w:val="000000"/>
                <w:sz w:val="17"/>
              </w:rPr>
              <w:t xml:space="preserve">169.26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6.04</w:t>
            </w:r>
          </w:p>
        </w:tc>
        <w:tc>
          <w:tcPr>
            <w:tcW w:w="1440" w:type="dxa"/>
            <w:tcBorders/>
            <w:vAlign w:val="center"/>
          </w:tcPr>
          <w:p>
            <w:pPr>
              <w:jc w:val="right"/>
            </w:pPr>
            <w:r>
              <w:rPr>
                <w:rFonts w:ascii="宋体" w:eastAsia="宋体" w:hAnsi="宋体" w:cs="宋体"/>
                <w:b w:val="0"/>
                <w:i w:val="0"/>
                <w:color w:val="000000"/>
                <w:sz w:val="17"/>
              </w:rPr>
              <w:t xml:space="preserve">6.04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6.04</w:t>
            </w:r>
          </w:p>
        </w:tc>
        <w:tc>
          <w:tcPr>
            <w:tcW w:w="1440" w:type="dxa"/>
            <w:tcBorders/>
            <w:vAlign w:val="center"/>
          </w:tcPr>
          <w:p>
            <w:pPr>
              <w:jc w:val="right"/>
            </w:pPr>
            <w:r>
              <w:rPr>
                <w:rFonts w:ascii="宋体" w:eastAsia="宋体" w:hAnsi="宋体" w:cs="宋体"/>
                <w:b w:val="0"/>
                <w:i w:val="0"/>
                <w:color w:val="000000"/>
                <w:sz w:val="17"/>
              </w:rPr>
              <w:t xml:space="preserve">6.04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144.80</w:t>
            </w:r>
          </w:p>
        </w:tc>
        <w:tc>
          <w:tcPr>
            <w:tcW w:w="1440" w:type="dxa"/>
            <w:tcBorders/>
            <w:vAlign w:val="center"/>
          </w:tcPr>
          <w:p>
            <w:pPr>
              <w:jc w:val="right"/>
            </w:pPr>
            <w:r>
              <w:rPr>
                <w:rFonts w:ascii="宋体" w:eastAsia="宋体" w:hAnsi="宋体" w:cs="宋体"/>
                <w:b w:val="0"/>
                <w:i w:val="0"/>
                <w:color w:val="000000"/>
                <w:sz w:val="17"/>
              </w:rPr>
              <w:t xml:space="preserve">144.80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人力资源和社会保障管理事务</w:t>
            </w:r>
          </w:p>
        </w:tc>
        <w:tc>
          <w:tcPr>
            <w:tcW w:w="1440" w:type="dxa"/>
            <w:tcBorders/>
            <w:vAlign w:val="center"/>
          </w:tcPr>
          <w:p>
            <w:pPr>
              <w:jc w:val="right"/>
            </w:pPr>
            <w:r>
              <w:rPr>
                <w:rFonts w:ascii="宋体" w:eastAsia="宋体" w:hAnsi="宋体" w:cs="宋体"/>
                <w:b w:val="0"/>
                <w:i w:val="0"/>
                <w:color w:val="000000"/>
                <w:sz w:val="17"/>
              </w:rPr>
              <w:t xml:space="preserve">132.99</w:t>
            </w:r>
          </w:p>
        </w:tc>
        <w:tc>
          <w:tcPr>
            <w:tcW w:w="1440" w:type="dxa"/>
            <w:tcBorders/>
            <w:vAlign w:val="center"/>
          </w:tcPr>
          <w:p>
            <w:pPr>
              <w:jc w:val="right"/>
            </w:pPr>
            <w:r>
              <w:rPr>
                <w:rFonts w:ascii="宋体" w:eastAsia="宋体" w:hAnsi="宋体" w:cs="宋体"/>
                <w:b w:val="0"/>
                <w:i w:val="0"/>
                <w:color w:val="000000"/>
                <w:sz w:val="17"/>
              </w:rPr>
              <w:t xml:space="preserve">132.99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5.60</w:t>
            </w:r>
          </w:p>
        </w:tc>
        <w:tc>
          <w:tcPr>
            <w:tcW w:w="1440" w:type="dxa"/>
            <w:tcBorders/>
            <w:vAlign w:val="center"/>
          </w:tcPr>
          <w:p>
            <w:pPr>
              <w:jc w:val="right"/>
            </w:pPr>
            <w:r>
              <w:rPr>
                <w:rFonts w:ascii="宋体" w:eastAsia="宋体" w:hAnsi="宋体" w:cs="宋体"/>
                <w:b w:val="0"/>
                <w:i w:val="0"/>
                <w:color w:val="000000"/>
                <w:sz w:val="17"/>
              </w:rPr>
              <w:t xml:space="preserve">5.60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其他人力资源和社会保障管理事务支出</w:t>
            </w:r>
          </w:p>
        </w:tc>
        <w:tc>
          <w:tcPr>
            <w:tcW w:w="1440" w:type="dxa"/>
            <w:tcBorders/>
            <w:vAlign w:val="center"/>
          </w:tcPr>
          <w:p>
            <w:pPr>
              <w:jc w:val="right"/>
            </w:pPr>
            <w:r>
              <w:rPr>
                <w:rFonts w:ascii="宋体" w:eastAsia="宋体" w:hAnsi="宋体" w:cs="宋体"/>
                <w:b w:val="0"/>
                <w:i w:val="0"/>
                <w:color w:val="000000"/>
                <w:sz w:val="17"/>
              </w:rPr>
              <w:t xml:space="preserve">127.39</w:t>
            </w:r>
          </w:p>
        </w:tc>
        <w:tc>
          <w:tcPr>
            <w:tcW w:w="1440" w:type="dxa"/>
            <w:tcBorders/>
            <w:vAlign w:val="center"/>
          </w:tcPr>
          <w:p>
            <w:pPr>
              <w:jc w:val="right"/>
            </w:pPr>
            <w:r>
              <w:rPr>
                <w:rFonts w:ascii="宋体" w:eastAsia="宋体" w:hAnsi="宋体" w:cs="宋体"/>
                <w:b w:val="0"/>
                <w:i w:val="0"/>
                <w:color w:val="000000"/>
                <w:sz w:val="17"/>
              </w:rPr>
              <w:t xml:space="preserve">127.39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11.81</w:t>
            </w:r>
          </w:p>
        </w:tc>
        <w:tc>
          <w:tcPr>
            <w:tcW w:w="1440" w:type="dxa"/>
            <w:tcBorders/>
            <w:vAlign w:val="center"/>
          </w:tcPr>
          <w:p>
            <w:pPr>
              <w:jc w:val="right"/>
            </w:pPr>
            <w:r>
              <w:rPr>
                <w:rFonts w:ascii="宋体" w:eastAsia="宋体" w:hAnsi="宋体" w:cs="宋体"/>
                <w:b w:val="0"/>
                <w:i w:val="0"/>
                <w:color w:val="000000"/>
                <w:sz w:val="17"/>
              </w:rPr>
              <w:t xml:space="preserve">11.81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8.66</w:t>
            </w:r>
          </w:p>
        </w:tc>
        <w:tc>
          <w:tcPr>
            <w:tcW w:w="1440" w:type="dxa"/>
            <w:tcBorders/>
            <w:vAlign w:val="center"/>
          </w:tcPr>
          <w:p>
            <w:pPr>
              <w:jc w:val="right"/>
            </w:pPr>
            <w:r>
              <w:rPr>
                <w:rFonts w:ascii="宋体" w:eastAsia="宋体" w:hAnsi="宋体" w:cs="宋体"/>
                <w:b w:val="0"/>
                <w:i w:val="0"/>
                <w:color w:val="000000"/>
                <w:sz w:val="17"/>
              </w:rPr>
              <w:t xml:space="preserve">8.66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9.26</w:t>
            </w:r>
          </w:p>
        </w:tc>
        <w:tc>
          <w:tcPr>
            <w:tcW w:w="1440" w:type="dxa"/>
            <w:tcBorders/>
            <w:vAlign w:val="center"/>
          </w:tcPr>
          <w:p>
            <w:pPr>
              <w:jc w:val="right"/>
            </w:pPr>
            <w:r>
              <w:rPr>
                <w:rFonts w:ascii="宋体" w:eastAsia="宋体" w:hAnsi="宋体" w:cs="宋体"/>
                <w:b w:val="0"/>
                <w:i w:val="0"/>
                <w:color w:val="000000"/>
                <w:sz w:val="17"/>
              </w:rPr>
              <w:t xml:space="preserve">9.26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9.26</w:t>
            </w:r>
          </w:p>
        </w:tc>
        <w:tc>
          <w:tcPr>
            <w:tcW w:w="1440" w:type="dxa"/>
            <w:tcBorders/>
            <w:vAlign w:val="center"/>
          </w:tcPr>
          <w:p>
            <w:pPr>
              <w:jc w:val="right"/>
            </w:pPr>
            <w:r>
              <w:rPr>
                <w:rFonts w:ascii="宋体" w:eastAsia="宋体" w:hAnsi="宋体" w:cs="宋体"/>
                <w:b w:val="0"/>
                <w:i w:val="0"/>
                <w:color w:val="000000"/>
                <w:sz w:val="17"/>
              </w:rPr>
              <w:t xml:space="preserve">9.26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4.38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4.87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8.45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169.26</w:t>
            </w:r>
          </w:p>
        </w:tc>
        <w:tc>
          <w:tcPr>
            <w:tcW w:w="1600" w:type="dxa"/>
            <w:tcBorders/>
            <w:vAlign w:val="center"/>
          </w:tcPr>
          <w:p>
            <w:pPr>
              <w:jc w:val="right"/>
            </w:pPr>
            <w:r>
              <w:rPr>
                <w:rFonts w:ascii="宋体" w:eastAsia="宋体" w:hAnsi="宋体" w:cs="宋体"/>
                <w:b/>
                <w:i w:val="0"/>
                <w:color w:val="000000"/>
                <w:sz w:val="19"/>
              </w:rPr>
              <w:t xml:space="preserve">169.26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6.04</w:t>
            </w:r>
          </w:p>
        </w:tc>
        <w:tc>
          <w:tcPr>
            <w:tcW w:w="1600" w:type="dxa"/>
            <w:tcBorders/>
            <w:vAlign w:val="center"/>
          </w:tcPr>
          <w:p>
            <w:pPr>
              <w:jc w:val="right"/>
            </w:pPr>
            <w:r>
              <w:rPr>
                <w:rFonts w:ascii="宋体" w:eastAsia="宋体" w:hAnsi="宋体" w:cs="宋体"/>
                <w:b w:val="0"/>
                <w:i w:val="0"/>
                <w:color w:val="000000"/>
                <w:sz w:val="19"/>
              </w:rPr>
              <w:t xml:space="preserve">6.04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6.04</w:t>
            </w:r>
          </w:p>
        </w:tc>
        <w:tc>
          <w:tcPr>
            <w:tcW w:w="1600" w:type="dxa"/>
            <w:tcBorders/>
            <w:vAlign w:val="center"/>
          </w:tcPr>
          <w:p>
            <w:pPr>
              <w:jc w:val="right"/>
            </w:pPr>
            <w:r>
              <w:rPr>
                <w:rFonts w:ascii="宋体" w:eastAsia="宋体" w:hAnsi="宋体" w:cs="宋体"/>
                <w:b w:val="0"/>
                <w:i w:val="0"/>
                <w:color w:val="000000"/>
                <w:sz w:val="19"/>
              </w:rPr>
              <w:t xml:space="preserve">6.04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144.80</w:t>
            </w:r>
          </w:p>
        </w:tc>
        <w:tc>
          <w:tcPr>
            <w:tcW w:w="1600" w:type="dxa"/>
            <w:tcBorders/>
            <w:vAlign w:val="center"/>
          </w:tcPr>
          <w:p>
            <w:pPr>
              <w:jc w:val="right"/>
            </w:pPr>
            <w:r>
              <w:rPr>
                <w:rFonts w:ascii="宋体" w:eastAsia="宋体" w:hAnsi="宋体" w:cs="宋体"/>
                <w:b w:val="0"/>
                <w:i w:val="0"/>
                <w:color w:val="000000"/>
                <w:sz w:val="19"/>
              </w:rPr>
              <w:t xml:space="preserve">144.80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人力资源和社会保障管理事务</w:t>
            </w:r>
          </w:p>
        </w:tc>
        <w:tc>
          <w:tcPr>
            <w:tcW w:w="1600" w:type="dxa"/>
            <w:tcBorders/>
            <w:vAlign w:val="center"/>
          </w:tcPr>
          <w:p>
            <w:pPr>
              <w:jc w:val="right"/>
            </w:pPr>
            <w:r>
              <w:rPr>
                <w:rFonts w:ascii="宋体" w:eastAsia="宋体" w:hAnsi="宋体" w:cs="宋体"/>
                <w:b w:val="0"/>
                <w:i w:val="0"/>
                <w:color w:val="000000"/>
                <w:sz w:val="19"/>
              </w:rPr>
              <w:t xml:space="preserve">132.99</w:t>
            </w:r>
          </w:p>
        </w:tc>
        <w:tc>
          <w:tcPr>
            <w:tcW w:w="1600" w:type="dxa"/>
            <w:tcBorders/>
            <w:vAlign w:val="center"/>
          </w:tcPr>
          <w:p>
            <w:pPr>
              <w:jc w:val="right"/>
            </w:pPr>
            <w:r>
              <w:rPr>
                <w:rFonts w:ascii="宋体" w:eastAsia="宋体" w:hAnsi="宋体" w:cs="宋体"/>
                <w:b w:val="0"/>
                <w:i w:val="0"/>
                <w:color w:val="000000"/>
                <w:sz w:val="19"/>
              </w:rPr>
              <w:t xml:space="preserve">132.99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5.60</w:t>
            </w:r>
          </w:p>
        </w:tc>
        <w:tc>
          <w:tcPr>
            <w:tcW w:w="1600" w:type="dxa"/>
            <w:tcBorders/>
            <w:vAlign w:val="center"/>
          </w:tcPr>
          <w:p>
            <w:pPr>
              <w:jc w:val="right"/>
            </w:pPr>
            <w:r>
              <w:rPr>
                <w:rFonts w:ascii="宋体" w:eastAsia="宋体" w:hAnsi="宋体" w:cs="宋体"/>
                <w:b w:val="0"/>
                <w:i w:val="0"/>
                <w:color w:val="000000"/>
                <w:sz w:val="19"/>
              </w:rPr>
              <w:t xml:space="preserve">5.60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其他人力资源和社会保障管理事务支出</w:t>
            </w:r>
          </w:p>
        </w:tc>
        <w:tc>
          <w:tcPr>
            <w:tcW w:w="1600" w:type="dxa"/>
            <w:tcBorders/>
            <w:vAlign w:val="center"/>
          </w:tcPr>
          <w:p>
            <w:pPr>
              <w:jc w:val="right"/>
            </w:pPr>
            <w:r>
              <w:rPr>
                <w:rFonts w:ascii="宋体" w:eastAsia="宋体" w:hAnsi="宋体" w:cs="宋体"/>
                <w:b w:val="0"/>
                <w:i w:val="0"/>
                <w:color w:val="000000"/>
                <w:sz w:val="19"/>
              </w:rPr>
              <w:t xml:space="preserve">127.39</w:t>
            </w:r>
          </w:p>
        </w:tc>
        <w:tc>
          <w:tcPr>
            <w:tcW w:w="1600" w:type="dxa"/>
            <w:tcBorders/>
            <w:vAlign w:val="center"/>
          </w:tcPr>
          <w:p>
            <w:pPr>
              <w:jc w:val="right"/>
            </w:pPr>
            <w:r>
              <w:rPr>
                <w:rFonts w:ascii="宋体" w:eastAsia="宋体" w:hAnsi="宋体" w:cs="宋体"/>
                <w:b w:val="0"/>
                <w:i w:val="0"/>
                <w:color w:val="000000"/>
                <w:sz w:val="19"/>
              </w:rPr>
              <w:t xml:space="preserve">127.39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11.81</w:t>
            </w:r>
          </w:p>
        </w:tc>
        <w:tc>
          <w:tcPr>
            <w:tcW w:w="1600" w:type="dxa"/>
            <w:tcBorders/>
            <w:vAlign w:val="center"/>
          </w:tcPr>
          <w:p>
            <w:pPr>
              <w:jc w:val="right"/>
            </w:pPr>
            <w:r>
              <w:rPr>
                <w:rFonts w:ascii="宋体" w:eastAsia="宋体" w:hAnsi="宋体" w:cs="宋体"/>
                <w:b w:val="0"/>
                <w:i w:val="0"/>
                <w:color w:val="000000"/>
                <w:sz w:val="19"/>
              </w:rPr>
              <w:t xml:space="preserve">11.81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3.15</w:t>
            </w:r>
          </w:p>
        </w:tc>
        <w:tc>
          <w:tcPr>
            <w:tcW w:w="1600" w:type="dxa"/>
            <w:tcBorders/>
            <w:vAlign w:val="center"/>
          </w:tcPr>
          <w:p>
            <w:pPr>
              <w:jc w:val="right"/>
            </w:pPr>
            <w:r>
              <w:rPr>
                <w:rFonts w:ascii="宋体" w:eastAsia="宋体" w:hAnsi="宋体" w:cs="宋体"/>
                <w:b w:val="0"/>
                <w:i w:val="0"/>
                <w:color w:val="000000"/>
                <w:sz w:val="19"/>
              </w:rPr>
              <w:t xml:space="preserve">3.15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8.66</w:t>
            </w:r>
          </w:p>
        </w:tc>
        <w:tc>
          <w:tcPr>
            <w:tcW w:w="1600" w:type="dxa"/>
            <w:tcBorders/>
            <w:vAlign w:val="center"/>
          </w:tcPr>
          <w:p>
            <w:pPr>
              <w:jc w:val="right"/>
            </w:pPr>
            <w:r>
              <w:rPr>
                <w:rFonts w:ascii="宋体" w:eastAsia="宋体" w:hAnsi="宋体" w:cs="宋体"/>
                <w:b w:val="0"/>
                <w:i w:val="0"/>
                <w:color w:val="000000"/>
                <w:sz w:val="19"/>
              </w:rPr>
              <w:t xml:space="preserve">8.66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9.26</w:t>
            </w:r>
          </w:p>
        </w:tc>
        <w:tc>
          <w:tcPr>
            <w:tcW w:w="1600" w:type="dxa"/>
            <w:tcBorders/>
            <w:vAlign w:val="center"/>
          </w:tcPr>
          <w:p>
            <w:pPr>
              <w:jc w:val="right"/>
            </w:pPr>
            <w:r>
              <w:rPr>
                <w:rFonts w:ascii="宋体" w:eastAsia="宋体" w:hAnsi="宋体" w:cs="宋体"/>
                <w:b w:val="0"/>
                <w:i w:val="0"/>
                <w:color w:val="000000"/>
                <w:sz w:val="19"/>
              </w:rPr>
              <w:t xml:space="preserve">9.26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9.26</w:t>
            </w:r>
          </w:p>
        </w:tc>
        <w:tc>
          <w:tcPr>
            <w:tcW w:w="1600" w:type="dxa"/>
            <w:tcBorders/>
            <w:vAlign w:val="center"/>
          </w:tcPr>
          <w:p>
            <w:pPr>
              <w:jc w:val="right"/>
            </w:pPr>
            <w:r>
              <w:rPr>
                <w:rFonts w:ascii="宋体" w:eastAsia="宋体" w:hAnsi="宋体" w:cs="宋体"/>
                <w:b w:val="0"/>
                <w:i w:val="0"/>
                <w:color w:val="000000"/>
                <w:sz w:val="19"/>
              </w:rPr>
              <w:t xml:space="preserve">9.26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4.38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4.87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8.45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6.75</w:t>
            </w:r>
          </w:p>
        </w:tc>
        <w:tc>
          <w:tcPr>
            <w:tcW w:w="1420" w:type="dxa"/>
            <w:tcBorders/>
            <w:vAlign w:val="center"/>
          </w:tcPr>
          <w:p>
            <w:pPr>
              <w:jc w:val="right"/>
            </w:pPr>
            <w:r>
              <w:rPr>
                <w:rFonts w:ascii="宋体" w:eastAsia="宋体" w:hAnsi="宋体" w:cs="宋体"/>
                <w:b w:val="0"/>
                <w:i w:val="0"/>
                <w:color w:val="000000"/>
                <w:sz w:val="18"/>
              </w:rPr>
              <w:t xml:space="preserve">6.75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144.80</w:t>
            </w:r>
          </w:p>
        </w:tc>
        <w:tc>
          <w:tcPr>
            <w:tcW w:w="1420" w:type="dxa"/>
            <w:tcBorders/>
            <w:vAlign w:val="center"/>
          </w:tcPr>
          <w:p>
            <w:pPr>
              <w:jc w:val="right"/>
            </w:pPr>
            <w:r>
              <w:rPr>
                <w:rFonts w:ascii="宋体" w:eastAsia="宋体" w:hAnsi="宋体" w:cs="宋体"/>
                <w:b w:val="0"/>
                <w:i w:val="0"/>
                <w:color w:val="000000"/>
                <w:sz w:val="18"/>
              </w:rPr>
              <w:t xml:space="preserve">144.80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9.26</w:t>
            </w:r>
          </w:p>
        </w:tc>
        <w:tc>
          <w:tcPr>
            <w:tcW w:w="1420" w:type="dxa"/>
            <w:tcBorders/>
            <w:vAlign w:val="center"/>
          </w:tcPr>
          <w:p>
            <w:pPr>
              <w:jc w:val="right"/>
            </w:pPr>
            <w:r>
              <w:rPr>
                <w:rFonts w:ascii="宋体" w:eastAsia="宋体" w:hAnsi="宋体" w:cs="宋体"/>
                <w:b w:val="0"/>
                <w:i w:val="0"/>
                <w:color w:val="000000"/>
                <w:sz w:val="18"/>
              </w:rPr>
              <w:t xml:space="preserve">9.26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8.45</w:t>
            </w:r>
          </w:p>
        </w:tc>
        <w:tc>
          <w:tcPr>
            <w:tcW w:w="1420" w:type="dxa"/>
            <w:tcBorders/>
            <w:vAlign w:val="center"/>
          </w:tcPr>
          <w:p>
            <w:pPr>
              <w:jc w:val="right"/>
            </w:pPr>
            <w:r>
              <w:rPr>
                <w:rFonts w:ascii="宋体" w:eastAsia="宋体" w:hAnsi="宋体" w:cs="宋体"/>
                <w:b w:val="0"/>
                <w:i w:val="0"/>
                <w:color w:val="000000"/>
                <w:sz w:val="18"/>
              </w:rPr>
              <w:t xml:space="preserve">8.45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1420" w:type="dxa"/>
            <w:tcBorders/>
            <w:vAlign w:val="center"/>
          </w:tcPr>
          <w:p>
            <w:pPr>
              <w:jc w:val="right"/>
            </w:pPr>
            <w:r>
              <w:rPr>
                <w:rFonts w:ascii="宋体" w:eastAsia="宋体" w:hAnsi="宋体" w:cs="宋体"/>
                <w:b w:val="0"/>
                <w:i w:val="0"/>
                <w:color w:val="000000"/>
                <w:sz w:val="18"/>
              </w:rPr>
              <w:t xml:space="preserve">169.26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169.26</w:t>
            </w:r>
          </w:p>
        </w:tc>
        <w:tc>
          <w:tcPr>
            <w:tcW w:w="2700" w:type="dxa"/>
            <w:tcBorders/>
            <w:vAlign w:val="center"/>
          </w:tcPr>
          <w:p>
            <w:pPr>
              <w:jc w:val="right"/>
            </w:pPr>
            <w:r>
              <w:rPr>
                <w:rFonts w:ascii="宋体" w:eastAsia="宋体" w:hAnsi="宋体" w:cs="宋体"/>
                <w:b/>
                <w:i w:val="0"/>
                <w:color w:val="000000"/>
                <w:sz w:val="25"/>
              </w:rPr>
              <w:t xml:space="preserve">169.26</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700" w:type="dxa"/>
            <w:tcBorders/>
            <w:vAlign w:val="center"/>
          </w:tcPr>
          <w:p>
            <w:pPr>
              <w:jc w:val="right"/>
            </w:pPr>
            <w:r>
              <w:rPr>
                <w:rFonts w:ascii="宋体" w:eastAsia="宋体" w:hAnsi="宋体" w:cs="宋体"/>
                <w:b w:val="0"/>
                <w:i w:val="0"/>
                <w:color w:val="000000"/>
                <w:sz w:val="25"/>
              </w:rPr>
              <w:t xml:space="preserve">0.71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6.04</w:t>
            </w:r>
          </w:p>
        </w:tc>
        <w:tc>
          <w:tcPr>
            <w:tcW w:w="2700" w:type="dxa"/>
            <w:tcBorders/>
            <w:vAlign w:val="center"/>
          </w:tcPr>
          <w:p>
            <w:pPr>
              <w:jc w:val="right"/>
            </w:pPr>
            <w:r>
              <w:rPr>
                <w:rFonts w:ascii="宋体" w:eastAsia="宋体" w:hAnsi="宋体" w:cs="宋体"/>
                <w:b w:val="0"/>
                <w:i w:val="0"/>
                <w:color w:val="000000"/>
                <w:sz w:val="25"/>
              </w:rPr>
              <w:t xml:space="preserve">6.04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6.04</w:t>
            </w:r>
          </w:p>
        </w:tc>
        <w:tc>
          <w:tcPr>
            <w:tcW w:w="2700" w:type="dxa"/>
            <w:tcBorders/>
            <w:vAlign w:val="center"/>
          </w:tcPr>
          <w:p>
            <w:pPr>
              <w:jc w:val="right"/>
            </w:pPr>
            <w:r>
              <w:rPr>
                <w:rFonts w:ascii="宋体" w:eastAsia="宋体" w:hAnsi="宋体" w:cs="宋体"/>
                <w:b w:val="0"/>
                <w:i w:val="0"/>
                <w:color w:val="000000"/>
                <w:sz w:val="25"/>
              </w:rPr>
              <w:t xml:space="preserve">6.04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144.80</w:t>
            </w:r>
          </w:p>
        </w:tc>
        <w:tc>
          <w:tcPr>
            <w:tcW w:w="2700" w:type="dxa"/>
            <w:tcBorders/>
            <w:vAlign w:val="center"/>
          </w:tcPr>
          <w:p>
            <w:pPr>
              <w:jc w:val="right"/>
            </w:pPr>
            <w:r>
              <w:rPr>
                <w:rFonts w:ascii="宋体" w:eastAsia="宋体" w:hAnsi="宋体" w:cs="宋体"/>
                <w:b w:val="0"/>
                <w:i w:val="0"/>
                <w:color w:val="000000"/>
                <w:sz w:val="25"/>
              </w:rPr>
              <w:t xml:space="preserve">144.80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人力资源和社会保障管理事务</w:t>
            </w:r>
          </w:p>
        </w:tc>
        <w:tc>
          <w:tcPr>
            <w:tcW w:w="2700" w:type="dxa"/>
            <w:tcBorders/>
            <w:vAlign w:val="center"/>
          </w:tcPr>
          <w:p>
            <w:pPr>
              <w:jc w:val="right"/>
            </w:pPr>
            <w:r>
              <w:rPr>
                <w:rFonts w:ascii="宋体" w:eastAsia="宋体" w:hAnsi="宋体" w:cs="宋体"/>
                <w:b w:val="0"/>
                <w:i w:val="0"/>
                <w:color w:val="000000"/>
                <w:sz w:val="25"/>
              </w:rPr>
              <w:t xml:space="preserve">132.99</w:t>
            </w:r>
          </w:p>
        </w:tc>
        <w:tc>
          <w:tcPr>
            <w:tcW w:w="2700" w:type="dxa"/>
            <w:tcBorders/>
            <w:vAlign w:val="center"/>
          </w:tcPr>
          <w:p>
            <w:pPr>
              <w:jc w:val="right"/>
            </w:pPr>
            <w:r>
              <w:rPr>
                <w:rFonts w:ascii="宋体" w:eastAsia="宋体" w:hAnsi="宋体" w:cs="宋体"/>
                <w:b w:val="0"/>
                <w:i w:val="0"/>
                <w:color w:val="000000"/>
                <w:sz w:val="25"/>
              </w:rPr>
              <w:t xml:space="preserve">132.99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5.60</w:t>
            </w:r>
          </w:p>
        </w:tc>
        <w:tc>
          <w:tcPr>
            <w:tcW w:w="2700" w:type="dxa"/>
            <w:tcBorders/>
            <w:vAlign w:val="center"/>
          </w:tcPr>
          <w:p>
            <w:pPr>
              <w:jc w:val="right"/>
            </w:pPr>
            <w:r>
              <w:rPr>
                <w:rFonts w:ascii="宋体" w:eastAsia="宋体" w:hAnsi="宋体" w:cs="宋体"/>
                <w:b w:val="0"/>
                <w:i w:val="0"/>
                <w:color w:val="000000"/>
                <w:sz w:val="25"/>
              </w:rPr>
              <w:t xml:space="preserve">5.60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其他人力资源和社会保障管理事务支出</w:t>
            </w:r>
          </w:p>
        </w:tc>
        <w:tc>
          <w:tcPr>
            <w:tcW w:w="2700" w:type="dxa"/>
            <w:tcBorders/>
            <w:vAlign w:val="center"/>
          </w:tcPr>
          <w:p>
            <w:pPr>
              <w:jc w:val="right"/>
            </w:pPr>
            <w:r>
              <w:rPr>
                <w:rFonts w:ascii="宋体" w:eastAsia="宋体" w:hAnsi="宋体" w:cs="宋体"/>
                <w:b w:val="0"/>
                <w:i w:val="0"/>
                <w:color w:val="000000"/>
                <w:sz w:val="25"/>
              </w:rPr>
              <w:t xml:space="preserve">127.39</w:t>
            </w:r>
          </w:p>
        </w:tc>
        <w:tc>
          <w:tcPr>
            <w:tcW w:w="2700" w:type="dxa"/>
            <w:tcBorders/>
            <w:vAlign w:val="center"/>
          </w:tcPr>
          <w:p>
            <w:pPr>
              <w:jc w:val="right"/>
            </w:pPr>
            <w:r>
              <w:rPr>
                <w:rFonts w:ascii="宋体" w:eastAsia="宋体" w:hAnsi="宋体" w:cs="宋体"/>
                <w:b w:val="0"/>
                <w:i w:val="0"/>
                <w:color w:val="000000"/>
                <w:sz w:val="25"/>
              </w:rPr>
              <w:t xml:space="preserve">127.39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11.81</w:t>
            </w:r>
          </w:p>
        </w:tc>
        <w:tc>
          <w:tcPr>
            <w:tcW w:w="2700" w:type="dxa"/>
            <w:tcBorders/>
            <w:vAlign w:val="center"/>
          </w:tcPr>
          <w:p>
            <w:pPr>
              <w:jc w:val="right"/>
            </w:pPr>
            <w:r>
              <w:rPr>
                <w:rFonts w:ascii="宋体" w:eastAsia="宋体" w:hAnsi="宋体" w:cs="宋体"/>
                <w:b w:val="0"/>
                <w:i w:val="0"/>
                <w:color w:val="000000"/>
                <w:sz w:val="25"/>
              </w:rPr>
              <w:t xml:space="preserve">11.81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3.15</w:t>
            </w:r>
          </w:p>
        </w:tc>
        <w:tc>
          <w:tcPr>
            <w:tcW w:w="2700" w:type="dxa"/>
            <w:tcBorders/>
            <w:vAlign w:val="center"/>
          </w:tcPr>
          <w:p>
            <w:pPr>
              <w:jc w:val="right"/>
            </w:pPr>
            <w:r>
              <w:rPr>
                <w:rFonts w:ascii="宋体" w:eastAsia="宋体" w:hAnsi="宋体" w:cs="宋体"/>
                <w:b w:val="0"/>
                <w:i w:val="0"/>
                <w:color w:val="000000"/>
                <w:sz w:val="25"/>
              </w:rPr>
              <w:t xml:space="preserve">3.15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8.66</w:t>
            </w:r>
          </w:p>
        </w:tc>
        <w:tc>
          <w:tcPr>
            <w:tcW w:w="2700" w:type="dxa"/>
            <w:tcBorders/>
            <w:vAlign w:val="center"/>
          </w:tcPr>
          <w:p>
            <w:pPr>
              <w:jc w:val="right"/>
            </w:pPr>
            <w:r>
              <w:rPr>
                <w:rFonts w:ascii="宋体" w:eastAsia="宋体" w:hAnsi="宋体" w:cs="宋体"/>
                <w:b w:val="0"/>
                <w:i w:val="0"/>
                <w:color w:val="000000"/>
                <w:sz w:val="25"/>
              </w:rPr>
              <w:t xml:space="preserve">8.66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9.26</w:t>
            </w:r>
          </w:p>
        </w:tc>
        <w:tc>
          <w:tcPr>
            <w:tcW w:w="2700" w:type="dxa"/>
            <w:tcBorders/>
            <w:vAlign w:val="center"/>
          </w:tcPr>
          <w:p>
            <w:pPr>
              <w:jc w:val="right"/>
            </w:pPr>
            <w:r>
              <w:rPr>
                <w:rFonts w:ascii="宋体" w:eastAsia="宋体" w:hAnsi="宋体" w:cs="宋体"/>
                <w:b w:val="0"/>
                <w:i w:val="0"/>
                <w:color w:val="000000"/>
                <w:sz w:val="25"/>
              </w:rPr>
              <w:t xml:space="preserve">9.26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9.26</w:t>
            </w:r>
          </w:p>
        </w:tc>
        <w:tc>
          <w:tcPr>
            <w:tcW w:w="2700" w:type="dxa"/>
            <w:tcBorders/>
            <w:vAlign w:val="center"/>
          </w:tcPr>
          <w:p>
            <w:pPr>
              <w:jc w:val="right"/>
            </w:pPr>
            <w:r>
              <w:rPr>
                <w:rFonts w:ascii="宋体" w:eastAsia="宋体" w:hAnsi="宋体" w:cs="宋体"/>
                <w:b w:val="0"/>
                <w:i w:val="0"/>
                <w:color w:val="000000"/>
                <w:sz w:val="25"/>
              </w:rPr>
              <w:t xml:space="preserve">9.26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700" w:type="dxa"/>
            <w:tcBorders/>
            <w:vAlign w:val="center"/>
          </w:tcPr>
          <w:p>
            <w:pPr>
              <w:jc w:val="right"/>
            </w:pPr>
            <w:r>
              <w:rPr>
                <w:rFonts w:ascii="宋体" w:eastAsia="宋体" w:hAnsi="宋体" w:cs="宋体"/>
                <w:b w:val="0"/>
                <w:i w:val="0"/>
                <w:color w:val="000000"/>
                <w:sz w:val="25"/>
              </w:rPr>
              <w:t xml:space="preserve">4.38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700" w:type="dxa"/>
            <w:tcBorders/>
            <w:vAlign w:val="center"/>
          </w:tcPr>
          <w:p>
            <w:pPr>
              <w:jc w:val="right"/>
            </w:pPr>
            <w:r>
              <w:rPr>
                <w:rFonts w:ascii="宋体" w:eastAsia="宋体" w:hAnsi="宋体" w:cs="宋体"/>
                <w:b w:val="0"/>
                <w:i w:val="0"/>
                <w:color w:val="000000"/>
                <w:sz w:val="25"/>
              </w:rPr>
              <w:t xml:space="preserve">4.87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700" w:type="dxa"/>
            <w:tcBorders/>
            <w:vAlign w:val="center"/>
          </w:tcPr>
          <w:p>
            <w:pPr>
              <w:jc w:val="right"/>
            </w:pPr>
            <w:r>
              <w:rPr>
                <w:rFonts w:ascii="宋体" w:eastAsia="宋体" w:hAnsi="宋体" w:cs="宋体"/>
                <w:b w:val="0"/>
                <w:i w:val="0"/>
                <w:color w:val="000000"/>
                <w:sz w:val="25"/>
              </w:rPr>
              <w:t xml:space="preserve">8.45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156.01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10.03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35.74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7.39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60.32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33.31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8.88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4.87</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8.45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0.32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3.22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3.15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159.23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10.03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单位：许昌市工伤保险中心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169.26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增加52.76万元，增长45.29%</w:t>
      </w:r>
      <w:r>
        <w:rPr>
          <w:rFonts w:ascii="仿宋" w:eastAsia="仿宋" w:hAnsi="仿宋" w:cs="仿宋" w:hint="eastAsia"/>
          <w:kern w:val="0"/>
          <w:sz w:val="32"/>
          <w:szCs w:val="32"/>
          <w:lang w:val="en-US" w:eastAsia="zh-CN"/>
        </w:rPr>
        <w:t xml:space="preserve">。主要原因是单位人员调资及人员增加导致人员经费增加。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169.26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财政拨款收入169.26万元，占100.00%；上级补助收入0.00万元，占0.00%；事业收入0.00万元，占0.00%；经营收入0.00万元，占0.00%；附属单位上缴收入0.00万元，占0.00%；其他收入0.00万元，占0.00%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169.26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基本支出169.26万元，占100.00%；项目支出0.00万元，占0.00%；上缴上级支出0.00万元，占0.00%；经营支出0.00万元，占0.00%；对附属单位补助支出0.00万元，占0.00%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169.26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增加52.76万元，增长45.29%</w:t>
      </w:r>
      <w:r>
        <w:rPr>
          <w:rFonts w:ascii="仿宋" w:eastAsia="仿宋" w:hAnsi="仿宋" w:cs="仿宋" w:hint="eastAsia"/>
          <w:kern w:val="0"/>
          <w:sz w:val="32"/>
          <w:szCs w:val="32"/>
          <w:lang w:val="en-US" w:eastAsia="zh-CN"/>
        </w:rPr>
        <w:t xml:space="preserve">。主要原因是单位人员调资及人员增加导致人员经费增加。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169.26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增加52.76万元，增长45.29%</w:t>
      </w:r>
      <w:r>
        <w:rPr>
          <w:rFonts w:ascii="仿宋" w:eastAsia="仿宋" w:hAnsi="仿宋" w:cs="仿宋" w:hint="eastAsia"/>
          <w:kern w:val="0"/>
          <w:sz w:val="32"/>
          <w:szCs w:val="32"/>
          <w:lang w:val="en-US" w:eastAsia="zh-CN"/>
        </w:rPr>
        <w:t xml:space="preserve">。主要原因是单位人员调资及人员增加导致人员经费增加。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169.26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一般公共服务支出（类）6.75万元，占3.99%；社会保障和就业支出（类）144.80万元，占85.55%；卫生健康支出（类）9.26万元，占5.47%；住房保障支出（类）8.45万元，占4.99%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152.64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169.26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110.89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年初预算数为0.71万元，决算数0.71万元,完成年初预算的100.00%，决算数与年初预算数不存在差异。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年初预算数为6.04万元，决算数6.04万元,完成年初预算的100.00%，决算数与年初预算数不存在差异。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3.社会保障和就业支出（类）人力资源和社会保障管理事务（款）行政运行（项）</w:t>
      </w:r>
      <w:r>
        <w:rPr>
          <w:rFonts w:ascii="仿宋" w:eastAsia="仿宋" w:hAnsi="仿宋" w:cs="仿宋" w:hint="default"/>
          <w:kern w:val="2"/>
          <w:sz w:val="32"/>
          <w:szCs w:val="32"/>
          <w:lang w:val="en-US" w:eastAsia="zh-CN"/>
        </w:rPr>
        <w:t xml:space="preserve">年初预算数为5.60万元，决算数5.60万元,完成年初预算的100.00%，决算数与年初预算数不存在差异。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4.社会保障和就业支出（类）人力资源和社会保障管理事务（款）其他人力资源和社会保障管理事务支出（项）</w:t>
      </w:r>
      <w:r>
        <w:rPr>
          <w:rFonts w:ascii="仿宋" w:eastAsia="仿宋" w:hAnsi="仿宋" w:cs="仿宋" w:hint="default"/>
          <w:kern w:val="2"/>
          <w:sz w:val="32"/>
          <w:szCs w:val="32"/>
          <w:lang w:val="en-US" w:eastAsia="zh-CN"/>
        </w:rPr>
        <w:t xml:space="preserve">年初预算数为127.39万元，决算数127.39万元,完成年初预算的100.00%，决算数与年初预算数不存在差异。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年初预算数为3.15万元，决算数3.15万元,完成年初预算的100.00%，决算数与年初预算数不存在差异。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年初预算数为8.66万元，决算数8.66万元,完成年初预算的100.00%，决算数与年初预算数不存在差异。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年初预算数为4.38万元，决算数4.38万元,完成年初预算的100.00%，决算数与年初预算数不存在差异。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2"/>
          <w:sz w:val="32"/>
          <w:szCs w:val="32"/>
          <w:lang w:val="en-US" w:eastAsia="zh-CN"/>
        </w:rPr>
        <w:t xml:space="preserve">年初预算数为4.87万元，决算数4.87万元,完成年初预算的100.00%，决算数与年初预算数不存在差异。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年初预算数为8.45万元，决算数8.45万元,完成年初预算的100.00%，决算数与年初预算数不存在差异。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169.26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其中：人员经费159.23万元，主要包括：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公用经费10.03万元，主要包括：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169.26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单位履职效能进一步提升，各项工作基本完成，资产管理比较规范</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c447b708-d754-4bca-80d8-0f515f3bee0b"/>
        <w:sectPr>
          <w:pgSz w:w="11906" w:h="16838" w:orient="portrait"/>
          <w:pgMar w:top="1440" w:right="1800" w:bottom="1440" w:left="1800" w:header="851" w:footer="992" w:gutter="0"/>
          <w:cols w:num="1" w:space="425">
            <w:col w:w="8306" w:space="425"/>
          </w:cols>
          <w:docGrid w:type="lines" w:linePitch="312" w:charSpace="0"/>
        </w:sectPr>
      </w:pPr>
      <w:r>
        <w:object>
          <v:shape id="_x0000_i1025" o:spid="_x0000_i2658" type="#_x0000_t75" style="height:558.8pt;width:415.05pt" o:oleicon="f" o:ole="" o:bordertopcolor="this" o:borderleftcolor="this" o:borderbottomcolor="this" o:borderrightcolor="this" coordsize="21600,21600" o:preferrelative="t" filled="f" stroked="f">
            <v:imagedata r:id="rId6" o:title=""/>
            <w10:anchorlock/>
          </v:shape>
          <o:OLEObject Type="Embed" ProgID="Excel.Sheet.12" ShapeID="_x0000_i1025" DrawAspect="Content" ObjectID="_1003550677" r:id="rId7"/>
        </w:objec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c447b708-d754-4bca-80d8-0f515f3bee0b">
    <w:name w:val="Normal_c447b708-d754-4bca-80d8-0f515f3bee0b"/>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oleObject" Target="embeddings/Microsoft_Office_Excel_97-2003_Worksheet1.xls"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