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许昌市对外开放服务中心单位决算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许昌市对外开放服务中心概况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许昌市对外开放服务中心概况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为对外开放提供服务保障，协助许昌海关进行各项检验检疫、监管及对外开放等业务扩大。</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许昌市对外开放服务中心内设机构1个，包括：办公室。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从决算单位构成看，许昌市对外开放服务中心单位决算包括：本级决算（1个）。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许昌市对外开放服务中心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242.20</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205.75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16.93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242.20</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242.20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242.20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242.20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242.20</w:t>
            </w:r>
          </w:p>
        </w:tc>
        <w:tc>
          <w:tcPr>
            <w:tcW w:w="1440" w:type="dxa"/>
            <w:vAlign w:val="center"/>
          </w:tcPr>
          <w:p>
            <w:pPr>
              <w:jc w:val="right"/>
            </w:pPr>
            <w:r>
              <w:rPr>
                <w:rFonts w:ascii="宋体" w:hAnsi="宋体" w:eastAsia="宋体" w:cs="宋体"/>
                <w:b/>
                <w:i w:val="0"/>
                <w:color w:val="000000"/>
                <w:sz w:val="17"/>
              </w:rPr>
              <w:t>242.20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205.75</w:t>
            </w:r>
          </w:p>
        </w:tc>
        <w:tc>
          <w:tcPr>
            <w:tcW w:w="1440" w:type="dxa"/>
            <w:vAlign w:val="center"/>
          </w:tcPr>
          <w:p>
            <w:pPr>
              <w:jc w:val="right"/>
            </w:pPr>
            <w:r>
              <w:rPr>
                <w:rFonts w:ascii="宋体" w:hAnsi="宋体" w:eastAsia="宋体" w:cs="宋体"/>
                <w:b w:val="0"/>
                <w:i w:val="0"/>
                <w:color w:val="000000"/>
                <w:sz w:val="17"/>
              </w:rPr>
              <w:t>205.75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194.99</w:t>
            </w:r>
          </w:p>
        </w:tc>
        <w:tc>
          <w:tcPr>
            <w:tcW w:w="1440" w:type="dxa"/>
            <w:vAlign w:val="center"/>
          </w:tcPr>
          <w:p>
            <w:pPr>
              <w:jc w:val="right"/>
            </w:pPr>
            <w:r>
              <w:rPr>
                <w:rFonts w:ascii="宋体" w:hAnsi="宋体" w:eastAsia="宋体" w:cs="宋体"/>
                <w:b w:val="0"/>
                <w:i w:val="0"/>
                <w:color w:val="000000"/>
                <w:sz w:val="17"/>
              </w:rPr>
              <w:t>194.99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194.99</w:t>
            </w:r>
          </w:p>
        </w:tc>
        <w:tc>
          <w:tcPr>
            <w:tcW w:w="1440" w:type="dxa"/>
            <w:vAlign w:val="center"/>
          </w:tcPr>
          <w:p>
            <w:pPr>
              <w:jc w:val="right"/>
            </w:pPr>
            <w:r>
              <w:rPr>
                <w:rFonts w:ascii="宋体" w:hAnsi="宋体" w:eastAsia="宋体" w:cs="宋体"/>
                <w:b w:val="0"/>
                <w:i w:val="0"/>
                <w:color w:val="000000"/>
                <w:sz w:val="17"/>
              </w:rPr>
              <w:t>194.99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9.76</w:t>
            </w:r>
          </w:p>
        </w:tc>
        <w:tc>
          <w:tcPr>
            <w:tcW w:w="1440" w:type="dxa"/>
            <w:vAlign w:val="center"/>
          </w:tcPr>
          <w:p>
            <w:pPr>
              <w:jc w:val="right"/>
            </w:pPr>
            <w:r>
              <w:rPr>
                <w:rFonts w:ascii="宋体" w:hAnsi="宋体" w:eastAsia="宋体" w:cs="宋体"/>
                <w:b w:val="0"/>
                <w:i w:val="0"/>
                <w:color w:val="000000"/>
                <w:sz w:val="17"/>
              </w:rPr>
              <w:t>9.76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9.76</w:t>
            </w:r>
          </w:p>
        </w:tc>
        <w:tc>
          <w:tcPr>
            <w:tcW w:w="1440" w:type="dxa"/>
            <w:vAlign w:val="center"/>
          </w:tcPr>
          <w:p>
            <w:pPr>
              <w:jc w:val="right"/>
            </w:pPr>
            <w:r>
              <w:rPr>
                <w:rFonts w:ascii="宋体" w:hAnsi="宋体" w:eastAsia="宋体" w:cs="宋体"/>
                <w:b w:val="0"/>
                <w:i w:val="0"/>
                <w:color w:val="000000"/>
                <w:sz w:val="17"/>
              </w:rPr>
              <w:t>9.76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16.92</w:t>
            </w:r>
          </w:p>
        </w:tc>
        <w:tc>
          <w:tcPr>
            <w:tcW w:w="1440" w:type="dxa"/>
            <w:vAlign w:val="center"/>
          </w:tcPr>
          <w:p>
            <w:pPr>
              <w:jc w:val="right"/>
            </w:pPr>
            <w:r>
              <w:rPr>
                <w:rFonts w:ascii="宋体" w:hAnsi="宋体" w:eastAsia="宋体" w:cs="宋体"/>
                <w:b w:val="0"/>
                <w:i w:val="0"/>
                <w:color w:val="000000"/>
                <w:sz w:val="17"/>
              </w:rPr>
              <w:t>16.92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16.92</w:t>
            </w:r>
          </w:p>
        </w:tc>
        <w:tc>
          <w:tcPr>
            <w:tcW w:w="1440" w:type="dxa"/>
            <w:vAlign w:val="center"/>
          </w:tcPr>
          <w:p>
            <w:pPr>
              <w:jc w:val="right"/>
            </w:pPr>
            <w:r>
              <w:rPr>
                <w:rFonts w:ascii="宋体" w:hAnsi="宋体" w:eastAsia="宋体" w:cs="宋体"/>
                <w:b w:val="0"/>
                <w:i w:val="0"/>
                <w:color w:val="000000"/>
                <w:sz w:val="17"/>
              </w:rPr>
              <w:t>16.92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13.82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6.64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12.88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242.20</w:t>
            </w:r>
          </w:p>
        </w:tc>
        <w:tc>
          <w:tcPr>
            <w:tcW w:w="1600" w:type="dxa"/>
            <w:vAlign w:val="center"/>
          </w:tcPr>
          <w:p>
            <w:pPr>
              <w:jc w:val="right"/>
            </w:pPr>
            <w:r>
              <w:rPr>
                <w:rFonts w:ascii="宋体" w:hAnsi="宋体" w:eastAsia="宋体" w:cs="宋体"/>
                <w:b/>
                <w:i w:val="0"/>
                <w:color w:val="000000"/>
                <w:sz w:val="19"/>
              </w:rPr>
              <w:t>242.20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205.75</w:t>
            </w:r>
          </w:p>
        </w:tc>
        <w:tc>
          <w:tcPr>
            <w:tcW w:w="1600" w:type="dxa"/>
            <w:vAlign w:val="center"/>
          </w:tcPr>
          <w:p>
            <w:pPr>
              <w:jc w:val="right"/>
            </w:pPr>
            <w:r>
              <w:rPr>
                <w:rFonts w:ascii="宋体" w:hAnsi="宋体" w:eastAsia="宋体" w:cs="宋体"/>
                <w:b w:val="0"/>
                <w:i w:val="0"/>
                <w:color w:val="000000"/>
                <w:sz w:val="19"/>
              </w:rPr>
              <w:t>205.75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194.99</w:t>
            </w:r>
          </w:p>
        </w:tc>
        <w:tc>
          <w:tcPr>
            <w:tcW w:w="1600" w:type="dxa"/>
            <w:vAlign w:val="center"/>
          </w:tcPr>
          <w:p>
            <w:pPr>
              <w:jc w:val="right"/>
            </w:pPr>
            <w:r>
              <w:rPr>
                <w:rFonts w:ascii="宋体" w:hAnsi="宋体" w:eastAsia="宋体" w:cs="宋体"/>
                <w:b w:val="0"/>
                <w:i w:val="0"/>
                <w:color w:val="000000"/>
                <w:sz w:val="19"/>
              </w:rPr>
              <w:t>194.99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194.99</w:t>
            </w:r>
          </w:p>
        </w:tc>
        <w:tc>
          <w:tcPr>
            <w:tcW w:w="1600" w:type="dxa"/>
            <w:vAlign w:val="center"/>
          </w:tcPr>
          <w:p>
            <w:pPr>
              <w:jc w:val="right"/>
            </w:pPr>
            <w:r>
              <w:rPr>
                <w:rFonts w:ascii="宋体" w:hAnsi="宋体" w:eastAsia="宋体" w:cs="宋体"/>
                <w:b w:val="0"/>
                <w:i w:val="0"/>
                <w:color w:val="000000"/>
                <w:sz w:val="19"/>
              </w:rPr>
              <w:t>194.99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9.76</w:t>
            </w:r>
          </w:p>
        </w:tc>
        <w:tc>
          <w:tcPr>
            <w:tcW w:w="1600" w:type="dxa"/>
            <w:vAlign w:val="center"/>
          </w:tcPr>
          <w:p>
            <w:pPr>
              <w:jc w:val="right"/>
            </w:pPr>
            <w:r>
              <w:rPr>
                <w:rFonts w:ascii="宋体" w:hAnsi="宋体" w:eastAsia="宋体" w:cs="宋体"/>
                <w:b w:val="0"/>
                <w:i w:val="0"/>
                <w:color w:val="000000"/>
                <w:sz w:val="19"/>
              </w:rPr>
              <w:t>9.76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9.76</w:t>
            </w:r>
          </w:p>
        </w:tc>
        <w:tc>
          <w:tcPr>
            <w:tcW w:w="1600" w:type="dxa"/>
            <w:vAlign w:val="center"/>
          </w:tcPr>
          <w:p>
            <w:pPr>
              <w:jc w:val="right"/>
            </w:pPr>
            <w:r>
              <w:rPr>
                <w:rFonts w:ascii="宋体" w:hAnsi="宋体" w:eastAsia="宋体" w:cs="宋体"/>
                <w:b w:val="0"/>
                <w:i w:val="0"/>
                <w:color w:val="000000"/>
                <w:sz w:val="19"/>
              </w:rPr>
              <w:t>9.76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16.92</w:t>
            </w:r>
          </w:p>
        </w:tc>
        <w:tc>
          <w:tcPr>
            <w:tcW w:w="1600" w:type="dxa"/>
            <w:vAlign w:val="center"/>
          </w:tcPr>
          <w:p>
            <w:pPr>
              <w:jc w:val="right"/>
            </w:pPr>
            <w:r>
              <w:rPr>
                <w:rFonts w:ascii="宋体" w:hAnsi="宋体" w:eastAsia="宋体" w:cs="宋体"/>
                <w:b w:val="0"/>
                <w:i w:val="0"/>
                <w:color w:val="000000"/>
                <w:sz w:val="19"/>
              </w:rPr>
              <w:t>16.92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16.92</w:t>
            </w:r>
          </w:p>
        </w:tc>
        <w:tc>
          <w:tcPr>
            <w:tcW w:w="1600" w:type="dxa"/>
            <w:vAlign w:val="center"/>
          </w:tcPr>
          <w:p>
            <w:pPr>
              <w:jc w:val="right"/>
            </w:pPr>
            <w:r>
              <w:rPr>
                <w:rFonts w:ascii="宋体" w:hAnsi="宋体" w:eastAsia="宋体" w:cs="宋体"/>
                <w:b w:val="0"/>
                <w:i w:val="0"/>
                <w:color w:val="000000"/>
                <w:sz w:val="19"/>
              </w:rPr>
              <w:t>16.92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13.82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6.64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12.88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242.20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205.75</w:t>
            </w:r>
          </w:p>
        </w:tc>
        <w:tc>
          <w:tcPr>
            <w:tcW w:w="1420" w:type="dxa"/>
            <w:vAlign w:val="center"/>
          </w:tcPr>
          <w:p>
            <w:pPr>
              <w:jc w:val="right"/>
            </w:pPr>
            <w:r>
              <w:rPr>
                <w:rFonts w:ascii="宋体" w:hAnsi="宋体" w:eastAsia="宋体" w:cs="宋体"/>
                <w:b w:val="0"/>
                <w:i w:val="0"/>
                <w:color w:val="000000"/>
                <w:sz w:val="18"/>
              </w:rPr>
              <w:t>205.75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16.93</w:t>
            </w:r>
          </w:p>
        </w:tc>
        <w:tc>
          <w:tcPr>
            <w:tcW w:w="1420" w:type="dxa"/>
            <w:vAlign w:val="center"/>
          </w:tcPr>
          <w:p>
            <w:pPr>
              <w:jc w:val="right"/>
            </w:pPr>
            <w:r>
              <w:rPr>
                <w:rFonts w:ascii="宋体" w:hAnsi="宋体" w:eastAsia="宋体" w:cs="宋体"/>
                <w:b w:val="0"/>
                <w:i w:val="0"/>
                <w:color w:val="000000"/>
                <w:sz w:val="18"/>
              </w:rPr>
              <w:t>16.93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6.64</w:t>
            </w:r>
          </w:p>
        </w:tc>
        <w:tc>
          <w:tcPr>
            <w:tcW w:w="1420" w:type="dxa"/>
            <w:vAlign w:val="center"/>
          </w:tcPr>
          <w:p>
            <w:pPr>
              <w:jc w:val="right"/>
            </w:pPr>
            <w:r>
              <w:rPr>
                <w:rFonts w:ascii="宋体" w:hAnsi="宋体" w:eastAsia="宋体" w:cs="宋体"/>
                <w:b w:val="0"/>
                <w:i w:val="0"/>
                <w:color w:val="000000"/>
                <w:sz w:val="18"/>
              </w:rPr>
              <w:t>6.64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12.88</w:t>
            </w:r>
          </w:p>
        </w:tc>
        <w:tc>
          <w:tcPr>
            <w:tcW w:w="1420" w:type="dxa"/>
            <w:vAlign w:val="center"/>
          </w:tcPr>
          <w:p>
            <w:pPr>
              <w:jc w:val="right"/>
            </w:pPr>
            <w:r>
              <w:rPr>
                <w:rFonts w:ascii="宋体" w:hAnsi="宋体" w:eastAsia="宋体" w:cs="宋体"/>
                <w:b w:val="0"/>
                <w:i w:val="0"/>
                <w:color w:val="000000"/>
                <w:sz w:val="18"/>
              </w:rPr>
              <w:t>12.88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242.20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242.20</w:t>
            </w:r>
          </w:p>
        </w:tc>
        <w:tc>
          <w:tcPr>
            <w:tcW w:w="1420" w:type="dxa"/>
            <w:vAlign w:val="center"/>
          </w:tcPr>
          <w:p>
            <w:pPr>
              <w:jc w:val="right"/>
            </w:pPr>
            <w:r>
              <w:rPr>
                <w:rFonts w:ascii="宋体" w:hAnsi="宋体" w:eastAsia="宋体" w:cs="宋体"/>
                <w:b w:val="0"/>
                <w:i w:val="0"/>
                <w:color w:val="000000"/>
                <w:sz w:val="18"/>
              </w:rPr>
              <w:t>242.20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242.20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242.20</w:t>
            </w:r>
          </w:p>
        </w:tc>
        <w:tc>
          <w:tcPr>
            <w:tcW w:w="1420" w:type="dxa"/>
            <w:vAlign w:val="center"/>
          </w:tcPr>
          <w:p>
            <w:pPr>
              <w:jc w:val="right"/>
            </w:pPr>
            <w:r>
              <w:rPr>
                <w:rFonts w:ascii="宋体" w:hAnsi="宋体" w:eastAsia="宋体" w:cs="宋体"/>
                <w:b w:val="0"/>
                <w:i w:val="0"/>
                <w:color w:val="000000"/>
                <w:sz w:val="18"/>
              </w:rPr>
              <w:t>242.20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242.20</w:t>
            </w:r>
          </w:p>
        </w:tc>
        <w:tc>
          <w:tcPr>
            <w:tcW w:w="2700" w:type="dxa"/>
            <w:vAlign w:val="center"/>
          </w:tcPr>
          <w:p>
            <w:pPr>
              <w:jc w:val="right"/>
            </w:pPr>
            <w:r>
              <w:rPr>
                <w:rFonts w:ascii="宋体" w:hAnsi="宋体" w:eastAsia="宋体" w:cs="宋体"/>
                <w:b/>
                <w:i w:val="0"/>
                <w:color w:val="000000"/>
                <w:sz w:val="25"/>
              </w:rPr>
              <w:t>242.20</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205.75</w:t>
            </w:r>
          </w:p>
        </w:tc>
        <w:tc>
          <w:tcPr>
            <w:tcW w:w="2700" w:type="dxa"/>
            <w:vAlign w:val="center"/>
          </w:tcPr>
          <w:p>
            <w:pPr>
              <w:jc w:val="right"/>
            </w:pPr>
            <w:r>
              <w:rPr>
                <w:rFonts w:ascii="宋体" w:hAnsi="宋体" w:eastAsia="宋体" w:cs="宋体"/>
                <w:b w:val="0"/>
                <w:i w:val="0"/>
                <w:color w:val="000000"/>
                <w:sz w:val="25"/>
              </w:rPr>
              <w:t>205.75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194.99</w:t>
            </w:r>
          </w:p>
        </w:tc>
        <w:tc>
          <w:tcPr>
            <w:tcW w:w="2700" w:type="dxa"/>
            <w:vAlign w:val="center"/>
          </w:tcPr>
          <w:p>
            <w:pPr>
              <w:jc w:val="right"/>
            </w:pPr>
            <w:r>
              <w:rPr>
                <w:rFonts w:ascii="宋体" w:hAnsi="宋体" w:eastAsia="宋体" w:cs="宋体"/>
                <w:b w:val="0"/>
                <w:i w:val="0"/>
                <w:color w:val="000000"/>
                <w:sz w:val="25"/>
              </w:rPr>
              <w:t>194.99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194.99</w:t>
            </w:r>
          </w:p>
        </w:tc>
        <w:tc>
          <w:tcPr>
            <w:tcW w:w="2700" w:type="dxa"/>
            <w:vAlign w:val="center"/>
          </w:tcPr>
          <w:p>
            <w:pPr>
              <w:jc w:val="right"/>
            </w:pPr>
            <w:r>
              <w:rPr>
                <w:rFonts w:ascii="宋体" w:hAnsi="宋体" w:eastAsia="宋体" w:cs="宋体"/>
                <w:b w:val="0"/>
                <w:i w:val="0"/>
                <w:color w:val="000000"/>
                <w:sz w:val="25"/>
              </w:rPr>
              <w:t>194.99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1.00</w:t>
            </w:r>
          </w:p>
        </w:tc>
        <w:tc>
          <w:tcPr>
            <w:tcW w:w="2700" w:type="dxa"/>
            <w:vAlign w:val="center"/>
          </w:tcPr>
          <w:p>
            <w:pPr>
              <w:jc w:val="right"/>
            </w:pPr>
            <w:r>
              <w:rPr>
                <w:rFonts w:ascii="宋体" w:hAnsi="宋体" w:eastAsia="宋体" w:cs="宋体"/>
                <w:b w:val="0"/>
                <w:i w:val="0"/>
                <w:color w:val="000000"/>
                <w:sz w:val="25"/>
              </w:rPr>
              <w:t>1.00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1.00</w:t>
            </w:r>
          </w:p>
        </w:tc>
        <w:tc>
          <w:tcPr>
            <w:tcW w:w="2700" w:type="dxa"/>
            <w:vAlign w:val="center"/>
          </w:tcPr>
          <w:p>
            <w:pPr>
              <w:jc w:val="right"/>
            </w:pPr>
            <w:r>
              <w:rPr>
                <w:rFonts w:ascii="宋体" w:hAnsi="宋体" w:eastAsia="宋体" w:cs="宋体"/>
                <w:b w:val="0"/>
                <w:i w:val="0"/>
                <w:color w:val="000000"/>
                <w:sz w:val="25"/>
              </w:rPr>
              <w:t>1.00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9.76</w:t>
            </w:r>
          </w:p>
        </w:tc>
        <w:tc>
          <w:tcPr>
            <w:tcW w:w="2700" w:type="dxa"/>
            <w:vAlign w:val="center"/>
          </w:tcPr>
          <w:p>
            <w:pPr>
              <w:jc w:val="right"/>
            </w:pPr>
            <w:r>
              <w:rPr>
                <w:rFonts w:ascii="宋体" w:hAnsi="宋体" w:eastAsia="宋体" w:cs="宋体"/>
                <w:b w:val="0"/>
                <w:i w:val="0"/>
                <w:color w:val="000000"/>
                <w:sz w:val="25"/>
              </w:rPr>
              <w:t>9.76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9.76</w:t>
            </w:r>
          </w:p>
        </w:tc>
        <w:tc>
          <w:tcPr>
            <w:tcW w:w="2700" w:type="dxa"/>
            <w:vAlign w:val="center"/>
          </w:tcPr>
          <w:p>
            <w:pPr>
              <w:jc w:val="right"/>
            </w:pPr>
            <w:r>
              <w:rPr>
                <w:rFonts w:ascii="宋体" w:hAnsi="宋体" w:eastAsia="宋体" w:cs="宋体"/>
                <w:b w:val="0"/>
                <w:i w:val="0"/>
                <w:color w:val="000000"/>
                <w:sz w:val="25"/>
              </w:rPr>
              <w:t>9.76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16.92</w:t>
            </w:r>
          </w:p>
        </w:tc>
        <w:tc>
          <w:tcPr>
            <w:tcW w:w="2700" w:type="dxa"/>
            <w:vAlign w:val="center"/>
          </w:tcPr>
          <w:p>
            <w:pPr>
              <w:jc w:val="right"/>
            </w:pPr>
            <w:r>
              <w:rPr>
                <w:rFonts w:ascii="宋体" w:hAnsi="宋体" w:eastAsia="宋体" w:cs="宋体"/>
                <w:b w:val="0"/>
                <w:i w:val="0"/>
                <w:color w:val="000000"/>
                <w:sz w:val="25"/>
              </w:rPr>
              <w:t>16.92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16.92</w:t>
            </w:r>
          </w:p>
        </w:tc>
        <w:tc>
          <w:tcPr>
            <w:tcW w:w="2700" w:type="dxa"/>
            <w:vAlign w:val="center"/>
          </w:tcPr>
          <w:p>
            <w:pPr>
              <w:jc w:val="right"/>
            </w:pPr>
            <w:r>
              <w:rPr>
                <w:rFonts w:ascii="宋体" w:hAnsi="宋体" w:eastAsia="宋体" w:cs="宋体"/>
                <w:b w:val="0"/>
                <w:i w:val="0"/>
                <w:color w:val="000000"/>
                <w:sz w:val="25"/>
              </w:rPr>
              <w:t>16.92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3.10</w:t>
            </w:r>
          </w:p>
        </w:tc>
        <w:tc>
          <w:tcPr>
            <w:tcW w:w="2700" w:type="dxa"/>
            <w:vAlign w:val="center"/>
          </w:tcPr>
          <w:p>
            <w:pPr>
              <w:jc w:val="right"/>
            </w:pPr>
            <w:r>
              <w:rPr>
                <w:rFonts w:ascii="宋体" w:hAnsi="宋体" w:eastAsia="宋体" w:cs="宋体"/>
                <w:b w:val="0"/>
                <w:i w:val="0"/>
                <w:color w:val="000000"/>
                <w:sz w:val="25"/>
              </w:rPr>
              <w:t>3.10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13.82</w:t>
            </w:r>
          </w:p>
        </w:tc>
        <w:tc>
          <w:tcPr>
            <w:tcW w:w="2700" w:type="dxa"/>
            <w:vAlign w:val="center"/>
          </w:tcPr>
          <w:p>
            <w:pPr>
              <w:jc w:val="right"/>
            </w:pPr>
            <w:r>
              <w:rPr>
                <w:rFonts w:ascii="宋体" w:hAnsi="宋体" w:eastAsia="宋体" w:cs="宋体"/>
                <w:b w:val="0"/>
                <w:i w:val="0"/>
                <w:color w:val="000000"/>
                <w:sz w:val="25"/>
              </w:rPr>
              <w:t>13.82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6.64</w:t>
            </w:r>
          </w:p>
        </w:tc>
        <w:tc>
          <w:tcPr>
            <w:tcW w:w="2700" w:type="dxa"/>
            <w:vAlign w:val="center"/>
          </w:tcPr>
          <w:p>
            <w:pPr>
              <w:jc w:val="right"/>
            </w:pPr>
            <w:r>
              <w:rPr>
                <w:rFonts w:ascii="宋体" w:hAnsi="宋体" w:eastAsia="宋体" w:cs="宋体"/>
                <w:b w:val="0"/>
                <w:i w:val="0"/>
                <w:color w:val="000000"/>
                <w:sz w:val="25"/>
              </w:rPr>
              <w:t>6.64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6.64</w:t>
            </w:r>
          </w:p>
        </w:tc>
        <w:tc>
          <w:tcPr>
            <w:tcW w:w="2700" w:type="dxa"/>
            <w:vAlign w:val="center"/>
          </w:tcPr>
          <w:p>
            <w:pPr>
              <w:jc w:val="right"/>
            </w:pPr>
            <w:r>
              <w:rPr>
                <w:rFonts w:ascii="宋体" w:hAnsi="宋体" w:eastAsia="宋体" w:cs="宋体"/>
                <w:b w:val="0"/>
                <w:i w:val="0"/>
                <w:color w:val="000000"/>
                <w:sz w:val="25"/>
              </w:rPr>
              <w:t>6.64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6.64</w:t>
            </w:r>
          </w:p>
        </w:tc>
        <w:tc>
          <w:tcPr>
            <w:tcW w:w="2700" w:type="dxa"/>
            <w:vAlign w:val="center"/>
          </w:tcPr>
          <w:p>
            <w:pPr>
              <w:jc w:val="right"/>
            </w:pPr>
            <w:r>
              <w:rPr>
                <w:rFonts w:ascii="宋体" w:hAnsi="宋体" w:eastAsia="宋体" w:cs="宋体"/>
                <w:b w:val="0"/>
                <w:i w:val="0"/>
                <w:color w:val="000000"/>
                <w:sz w:val="25"/>
              </w:rPr>
              <w:t>6.64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12.88</w:t>
            </w:r>
          </w:p>
        </w:tc>
        <w:tc>
          <w:tcPr>
            <w:tcW w:w="2700" w:type="dxa"/>
            <w:vAlign w:val="center"/>
          </w:tcPr>
          <w:p>
            <w:pPr>
              <w:jc w:val="right"/>
            </w:pPr>
            <w:r>
              <w:rPr>
                <w:rFonts w:ascii="宋体" w:hAnsi="宋体" w:eastAsia="宋体" w:cs="宋体"/>
                <w:b w:val="0"/>
                <w:i w:val="0"/>
                <w:color w:val="000000"/>
                <w:sz w:val="25"/>
              </w:rPr>
              <w:t>12.88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12.88</w:t>
            </w:r>
          </w:p>
        </w:tc>
        <w:tc>
          <w:tcPr>
            <w:tcW w:w="2700" w:type="dxa"/>
            <w:vAlign w:val="center"/>
          </w:tcPr>
          <w:p>
            <w:pPr>
              <w:jc w:val="right"/>
            </w:pPr>
            <w:r>
              <w:rPr>
                <w:rFonts w:ascii="宋体" w:hAnsi="宋体" w:eastAsia="宋体" w:cs="宋体"/>
                <w:b w:val="0"/>
                <w:i w:val="0"/>
                <w:color w:val="000000"/>
                <w:sz w:val="25"/>
              </w:rPr>
              <w:t>12.88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12.88</w:t>
            </w:r>
          </w:p>
        </w:tc>
        <w:tc>
          <w:tcPr>
            <w:tcW w:w="2700" w:type="dxa"/>
            <w:vAlign w:val="center"/>
          </w:tcPr>
          <w:p>
            <w:pPr>
              <w:jc w:val="right"/>
            </w:pPr>
            <w:r>
              <w:rPr>
                <w:rFonts w:ascii="宋体" w:hAnsi="宋体" w:eastAsia="宋体" w:cs="宋体"/>
                <w:b w:val="0"/>
                <w:i w:val="0"/>
                <w:color w:val="000000"/>
                <w:sz w:val="25"/>
              </w:rPr>
              <w:t>12.88</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226.76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8.58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58.60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1.71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38.94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60.24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33.89</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13.82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6.64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1.46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2.34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12.88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0.28</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3.10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3.10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1.34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1.40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229.86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12.34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单位：许昌市对外开放服务中心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1.40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1.40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1.40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2023年度收、支总计均为242.20万元。与上年度相比，收、支总计各增加54.68万元，增长29.16%。主要原因是事业单位重塑性改革，有单位并入，新增在编职工1人，退休职工3人。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242.20万元，其中：财政拨款收入242.20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2023年度支出合计242.20万元，其中：基本支出242.20万元，占100.00%；项目支出0.00万元，占0.00%；上缴上级支出0.00万元，占0.00%；经营支出0.00万元，占0.00%；对附属单位补助支出0.00万元，占0.00%。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2023年度财政拨款收、支总计均为242.20万元。与上年度相比，财政拨款收、支总计各增加54.68万元，增长29.16%。主要原因是事业单位重塑性改革，有单位并入，新增在编职工1人，退休职工3人。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242.20万元，占支出合计的100.00%。与上年度相比，一般公共预算财政拨款支出增加54.68万元，增长29.16%。主要原因是事业单位重塑性改革，有单位并入，新增在编职工1人，退休职工3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242.20万元，主要用于以下方面：一般公共服务支出（类）205.75万元，占84.95%；社会保障和就业支出（类）16.93万元，占6.99%；卫生健康支出（类）6.64万元，占2.74%；住房保障支出（类）12.88万元，占5.32%。</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2023年度一般公共预算财政拨款支出年初预算为212.39万元，支出决算为242.20万元，完成年初预算的114.04%。其中：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1.一般公共服务支出（类）商贸事务（款）事业运行（项）</w:t>
      </w:r>
      <w:r>
        <w:rPr>
          <w:rFonts w:hint="default" w:ascii="仿宋" w:hAnsi="仿宋" w:eastAsia="仿宋" w:cs="仿宋"/>
          <w:kern w:val="2"/>
          <w:sz w:val="32"/>
          <w:szCs w:val="32"/>
          <w:lang w:val="en-US" w:eastAsia="zh-CN"/>
        </w:rPr>
        <w:t>年初预算数为180.08万元，决算数194.99万元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完成年初预算的108.28%，决算数与年初预算数存在差异的主要原因是事业单位重塑性改革，有单位并入，新增在编职工1人，退休职工3人。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年初预算数为1.00万元，决算数1.00万元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年初预算数为0.00万元，决算数9.76万元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决算数与年初预算数存在差异的主要原因是预算追加。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2"/>
          <w:sz w:val="32"/>
          <w:szCs w:val="32"/>
          <w:lang w:val="en-US" w:eastAsia="zh-CN"/>
        </w:rPr>
        <w:t>年初预算数为0.00万元，决算数3.10万元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决算数与年初预算数存在差异的主要原因是事业单位重塑性改革，有单位并入，新增退休职工3人。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年初预算数为13.63万元，决算数13.82万元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完成年初预算的101.39%，决算数与年初预算数存在差异的主要原因是事业单位重塑性改革，有单位并入，新增在编职工1人。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年初预算数为6.08万元，决算数6.64万元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完成年初预算的109.21%，决算数与年初预算数存在差异的主要原因是事业单位重塑性改革，有单位并入，新增在编职工1人。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年初预算数为11.59万元，决算数12.88万元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完成年初预算的111.13%，决算数与年初预算数存在差异的主要原因是事业单位重塑性改革，有单位并入，新增在编职工1人。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242.20万元。其中：人员经费229.86万元，主要包括：基本工资、津贴补贴、奖金、绩效工资、机关事业单位基本养老保险缴费、职工基本医疗保险缴费、其他社会保障缴费、住房公积金、其他工资福利支出、退休费。公用经费12.34万元，主要包括：办公费、印刷费、差旅费、委托业务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2023年度“三公”经费财政拨款支出预算为2.00万元，支出决算为1.40万元，完成预算的70.00%。2023年度“三公”经费支出决算数与预算数存在差异的主要原因是严格贯彻中央八项规定，加强支出管理，厉行节约。</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1.40万元，完成预算的70.00%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预算为2.00万元，支出决算为1.40万元，完成预算的70.00%。决算数与预算数存在差异的主要原因是严格贯彻中央八项规定，加强支出管理，厉行节约。其中：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1.40万元。主要用于公务车辆保险及运行维护。2023年期末，单位开支财政拨款的公务用车保有量为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涉及预算资金242.2万元。自评得分为98分，等次为优。从单位整体自评情况来看，2023年度我单位各项工作稳步推进，严格按照各项绩效目标加强绩效管理，完成绩效目标。。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widowControl/>
        <w:suppressLineNumbers w:val="0"/>
        <w:spacing w:before="0" w:beforeAutospacing="0" w:after="0" w:afterAutospacing="0" w:line="590" w:lineRule="exact"/>
        <w:ind w:left="0" w:right="0" w:firstLine="640" w:firstLineChars="200"/>
        <w:jc w:val="both"/>
        <w:outlineLvl w:val="2"/>
        <w:rPr>
          <w:rFonts w:hint="default" w:ascii="楷体_GB2312" w:hAnsi="Times New Roman" w:eastAsia="楷体_GB2312" w:cs="楷体_GB2312"/>
          <w:b/>
          <w:bCs/>
          <w:kern w:val="2"/>
          <w:sz w:val="32"/>
          <w:szCs w:val="32"/>
          <w:lang w:val="en-US" w:eastAsia="zh-CN"/>
        </w:rPr>
      </w:pPr>
      <w:r>
        <w:rPr>
          <w:rFonts w:hint="default" w:ascii="仿宋" w:hAnsi="仿宋" w:eastAsia="仿宋" w:cs="仿宋"/>
          <w:kern w:val="2"/>
          <w:sz w:val="32"/>
          <w:szCs w:val="32"/>
          <w:lang w:val="en-US" w:eastAsia="zh-CN"/>
        </w:rPr>
        <w:t>根据工作实际，主管部门未选取我单位项目开展重点绩效评价。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1382"/>
        <w:gridCol w:w="407"/>
        <w:gridCol w:w="407"/>
        <w:gridCol w:w="1337"/>
        <w:gridCol w:w="1009"/>
        <w:gridCol w:w="2551"/>
        <w:gridCol w:w="1406"/>
        <w:gridCol w:w="1347"/>
        <w:gridCol w:w="1874"/>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许昌市对外开放服务中心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2</w:t>
            </w:r>
            <w:r>
              <w:rPr>
                <w:rFonts w:hint="eastAsia" w:ascii="宋体" w:hAnsi="宋体" w:eastAsia="宋体" w:cs="宋体"/>
                <w:i w:val="0"/>
                <w:iCs w:val="0"/>
                <w:color w:val="000000"/>
                <w:kern w:val="0"/>
                <w:sz w:val="18"/>
                <w:szCs w:val="18"/>
                <w:u w:val="none"/>
                <w:lang w:val="en-US" w:eastAsia="zh-CN"/>
              </w:rPr>
              <w:t>12.39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212.39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全力协助许昌海关处理好各项检验检疫、监管以及扩大对外开放等业务。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协助许昌海关处理本年度各项检验检疫、监管以及扩大对外开放等业务。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协助海关扩大对外开放，积极推动口岸平台建设；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协助许昌海关全力推动许昌市B型保税物流中心、保税仓库的相关工作。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协助海关优化监管服务，大力支持跨境电商出口；</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协助许昌海关积极探索“市场采购贸易试点”新型通关模式，引导发制品跨境电商企业在当地申报通关，阳光结汇、退税，提升贸易便利化水平，进一步促进贸易数据回流。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协助海关开展监测抽样，严格保障出口食品安全；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协助许昌海关，贯彻落实习近平总书记重要指示批示精神，认真开展禁止洋垃圾入境、打击象牙等濒危物种及其制品走私，强化完善非洲猪瘟联防联控机制，认真开展外来有害生物监测工作，切实筑牢国门生物安全、进出口商品安全、进出口食品安全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12.3</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事业单位重塑性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474" w:right="1587" w:bottom="1474" w:left="1587"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m2nvju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E25A0"/>
    <w:multiLevelType w:val="multilevel"/>
    <w:tmpl w:val="D75E25A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E4DF910C"/>
    <w:rsid w:val="FFFFD86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fa5631e-de89-49d8-a136-6aca7b69b96f"/>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20a40ba3-4494-497d-81db-d66fa6606c06"/>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6689</Words>
  <Characters>19173</Characters>
  <Lines>1</Lines>
  <Paragraphs>1</Paragraphs>
  <TotalTime>4</TotalTime>
  <ScaleCrop>false</ScaleCrop>
  <LinksUpToDate>false</LinksUpToDate>
  <CharactersWithSpaces>19415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2024-10-15T18:52:23Z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