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许昌市墙体材料发展服务中心单位决算</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4" w:type="default"/>
          <w:pgSz w:w="11906" w:h="16838"/>
          <w:pgMar w:top="2098" w:right="1474" w:bottom="1984" w:left="1587" w:header="850" w:footer="992" w:gutter="0"/>
          <w:pgNumType w:fmt="numberInDash"/>
          <w:cols w:space="720" w:num="1"/>
          <w:docGrid w:type="lines" w:linePitch="317" w:charSpace="0"/>
        </w:sectPr>
      </w:pPr>
    </w:p>
    <w:p>
      <w:pPr>
        <w:widowControl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widowControl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许昌市墙体材料发展服务中心概况</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charSpace="0"/>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 xml:space="preserve"> 许昌市墙体材料发展服务中心概况</w:t>
      </w:r>
    </w:p>
    <w:p>
      <w:pPr>
        <w:rPr>
          <w:rFonts w:hint="eastAsia"/>
        </w:r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贯彻落实国家和省有关墙改的法规、政策；推进新型墙体材料的研制、生产和应用；协助住建局编制墙改中长期发展规划；协助住建局对全市墙改工作进行监督、检查、鉴定、验收；协助住建局做好新型墙体材料专项基金的管理和使用工作。</w:t>
      </w:r>
    </w:p>
    <w:p>
      <w:pPr>
        <w:widowControl/>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许昌市墙体材料发展服务中心内设机构5个,包括：综合科、人事科、企业发展科、推广应用科、执法监察科。</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从决算单位构成看，许昌市墙体材料发展服务中心单位决算包括：本级决算（1个）。</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w:t>
      </w:r>
      <w:bookmarkStart w:id="0" w:name="_GoBack"/>
      <w:bookmarkEnd w:id="0"/>
      <w:r>
        <w:rPr>
          <w:rFonts w:hint="eastAsia" w:ascii="仿宋" w:hAnsi="仿宋" w:eastAsia="仿宋" w:cs="仿宋"/>
          <w:kern w:val="0"/>
          <w:sz w:val="32"/>
          <w:szCs w:val="32"/>
          <w:lang w:val="en-US" w:eastAsia="zh-CN"/>
        </w:rPr>
        <w:t>纳入本单位2023年度单位决算编制范围的单位共1个，具体是：</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仿宋"/>
          <w:kern w:val="0"/>
          <w:sz w:val="32"/>
          <w:szCs w:val="32"/>
          <w:lang w:val="en-US" w:eastAsia="zh-CN"/>
        </w:rPr>
        <w:t>1.许昌市墙体材料发展服务中心</w:t>
      </w: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2023年度单位决算表</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13958" w:type="dxa"/>
            <w:gridSpan w:val="6"/>
            <w:vAlign w:val="center"/>
          </w:tcPr>
          <w:p>
            <w:pPr>
              <w:jc w:val="center"/>
            </w:pPr>
            <w:r>
              <w:rPr>
                <w:rFonts w:ascii="宋体" w:hAnsi="宋体" w:eastAsia="宋体" w:cs="宋体"/>
                <w:b w:val="0"/>
                <w:i w:val="0"/>
                <w:color w:val="000000"/>
                <w:sz w:val="21"/>
              </w:rPr>
              <w:t>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307.56</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234.10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15.37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307.56</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307.56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307.56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307.56</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392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307.56</w:t>
            </w:r>
          </w:p>
        </w:tc>
        <w:tc>
          <w:tcPr>
            <w:tcW w:w="1440" w:type="dxa"/>
            <w:vAlign w:val="center"/>
          </w:tcPr>
          <w:p>
            <w:pPr>
              <w:jc w:val="right"/>
            </w:pPr>
            <w:r>
              <w:rPr>
                <w:rFonts w:ascii="宋体" w:hAnsi="宋体" w:eastAsia="宋体" w:cs="宋体"/>
                <w:b/>
                <w:i w:val="0"/>
                <w:color w:val="000000"/>
                <w:sz w:val="17"/>
              </w:rPr>
              <w:t>307.56</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1.34</w:t>
            </w:r>
          </w:p>
        </w:tc>
        <w:tc>
          <w:tcPr>
            <w:tcW w:w="1440" w:type="dxa"/>
            <w:vAlign w:val="center"/>
          </w:tcPr>
          <w:p>
            <w:pPr>
              <w:jc w:val="right"/>
            </w:pPr>
            <w:r>
              <w:rPr>
                <w:rFonts w:ascii="宋体" w:hAnsi="宋体" w:eastAsia="宋体" w:cs="宋体"/>
                <w:b w:val="0"/>
                <w:i w:val="0"/>
                <w:color w:val="000000"/>
                <w:sz w:val="17"/>
              </w:rPr>
              <w:t>1.34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1.34</w:t>
            </w:r>
          </w:p>
        </w:tc>
        <w:tc>
          <w:tcPr>
            <w:tcW w:w="1440" w:type="dxa"/>
            <w:vAlign w:val="center"/>
          </w:tcPr>
          <w:p>
            <w:pPr>
              <w:jc w:val="right"/>
            </w:pPr>
            <w:r>
              <w:rPr>
                <w:rFonts w:ascii="宋体" w:hAnsi="宋体" w:eastAsia="宋体" w:cs="宋体"/>
                <w:b w:val="0"/>
                <w:i w:val="0"/>
                <w:color w:val="000000"/>
                <w:sz w:val="17"/>
              </w:rPr>
              <w:t>1.34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1.34</w:t>
            </w:r>
          </w:p>
        </w:tc>
        <w:tc>
          <w:tcPr>
            <w:tcW w:w="1440" w:type="dxa"/>
            <w:vAlign w:val="center"/>
          </w:tcPr>
          <w:p>
            <w:pPr>
              <w:jc w:val="right"/>
            </w:pPr>
            <w:r>
              <w:rPr>
                <w:rFonts w:ascii="宋体" w:hAnsi="宋体" w:eastAsia="宋体" w:cs="宋体"/>
                <w:b w:val="0"/>
                <w:i w:val="0"/>
                <w:color w:val="000000"/>
                <w:sz w:val="17"/>
              </w:rPr>
              <w:t>1.34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39.72</w:t>
            </w:r>
          </w:p>
        </w:tc>
        <w:tc>
          <w:tcPr>
            <w:tcW w:w="1440" w:type="dxa"/>
            <w:vAlign w:val="center"/>
          </w:tcPr>
          <w:p>
            <w:pPr>
              <w:jc w:val="right"/>
            </w:pPr>
            <w:r>
              <w:rPr>
                <w:rFonts w:ascii="宋体" w:hAnsi="宋体" w:eastAsia="宋体" w:cs="宋体"/>
                <w:b w:val="0"/>
                <w:i w:val="0"/>
                <w:color w:val="000000"/>
                <w:sz w:val="17"/>
              </w:rPr>
              <w:t>39.72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39.72</w:t>
            </w:r>
          </w:p>
        </w:tc>
        <w:tc>
          <w:tcPr>
            <w:tcW w:w="1440" w:type="dxa"/>
            <w:vAlign w:val="center"/>
          </w:tcPr>
          <w:p>
            <w:pPr>
              <w:jc w:val="right"/>
            </w:pPr>
            <w:r>
              <w:rPr>
                <w:rFonts w:ascii="宋体" w:hAnsi="宋体" w:eastAsia="宋体" w:cs="宋体"/>
                <w:b w:val="0"/>
                <w:i w:val="0"/>
                <w:color w:val="000000"/>
                <w:sz w:val="17"/>
              </w:rPr>
              <w:t>39.72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24.25</w:t>
            </w:r>
          </w:p>
        </w:tc>
        <w:tc>
          <w:tcPr>
            <w:tcW w:w="1440" w:type="dxa"/>
            <w:vAlign w:val="center"/>
          </w:tcPr>
          <w:p>
            <w:pPr>
              <w:jc w:val="right"/>
            </w:pPr>
            <w:r>
              <w:rPr>
                <w:rFonts w:ascii="宋体" w:hAnsi="宋体" w:eastAsia="宋体" w:cs="宋体"/>
                <w:b w:val="0"/>
                <w:i w:val="0"/>
                <w:color w:val="000000"/>
                <w:sz w:val="17"/>
              </w:rPr>
              <w:t>24.25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15.46</w:t>
            </w:r>
          </w:p>
        </w:tc>
        <w:tc>
          <w:tcPr>
            <w:tcW w:w="1440" w:type="dxa"/>
            <w:vAlign w:val="center"/>
          </w:tcPr>
          <w:p>
            <w:pPr>
              <w:jc w:val="right"/>
            </w:pPr>
            <w:r>
              <w:rPr>
                <w:rFonts w:ascii="宋体" w:hAnsi="宋体" w:eastAsia="宋体" w:cs="宋体"/>
                <w:b w:val="0"/>
                <w:i w:val="0"/>
                <w:color w:val="000000"/>
                <w:sz w:val="17"/>
              </w:rPr>
              <w:t>15.46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17.03</w:t>
            </w:r>
          </w:p>
        </w:tc>
        <w:tc>
          <w:tcPr>
            <w:tcW w:w="1440" w:type="dxa"/>
            <w:vAlign w:val="center"/>
          </w:tcPr>
          <w:p>
            <w:pPr>
              <w:jc w:val="right"/>
            </w:pPr>
            <w:r>
              <w:rPr>
                <w:rFonts w:ascii="宋体" w:hAnsi="宋体" w:eastAsia="宋体" w:cs="宋体"/>
                <w:b w:val="0"/>
                <w:i w:val="0"/>
                <w:color w:val="000000"/>
                <w:sz w:val="17"/>
              </w:rPr>
              <w:t>17.03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17.03</w:t>
            </w:r>
          </w:p>
        </w:tc>
        <w:tc>
          <w:tcPr>
            <w:tcW w:w="1440" w:type="dxa"/>
            <w:vAlign w:val="center"/>
          </w:tcPr>
          <w:p>
            <w:pPr>
              <w:jc w:val="right"/>
            </w:pPr>
            <w:r>
              <w:rPr>
                <w:rFonts w:ascii="宋体" w:hAnsi="宋体" w:eastAsia="宋体" w:cs="宋体"/>
                <w:b w:val="0"/>
                <w:i w:val="0"/>
                <w:color w:val="000000"/>
                <w:sz w:val="17"/>
              </w:rPr>
              <w:t>17.03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8.07</w:t>
            </w:r>
          </w:p>
        </w:tc>
        <w:tc>
          <w:tcPr>
            <w:tcW w:w="1440" w:type="dxa"/>
            <w:vAlign w:val="center"/>
          </w:tcPr>
          <w:p>
            <w:pPr>
              <w:jc w:val="right"/>
            </w:pPr>
            <w:r>
              <w:rPr>
                <w:rFonts w:ascii="宋体" w:hAnsi="宋体" w:eastAsia="宋体" w:cs="宋体"/>
                <w:b w:val="0"/>
                <w:i w:val="0"/>
                <w:color w:val="000000"/>
                <w:sz w:val="17"/>
              </w:rPr>
              <w:t>8.07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8.97</w:t>
            </w:r>
          </w:p>
        </w:tc>
        <w:tc>
          <w:tcPr>
            <w:tcW w:w="1440" w:type="dxa"/>
            <w:vAlign w:val="center"/>
          </w:tcPr>
          <w:p>
            <w:pPr>
              <w:jc w:val="right"/>
            </w:pPr>
            <w:r>
              <w:rPr>
                <w:rFonts w:ascii="宋体" w:hAnsi="宋体" w:eastAsia="宋体" w:cs="宋体"/>
                <w:b w:val="0"/>
                <w:i w:val="0"/>
                <w:color w:val="000000"/>
                <w:sz w:val="17"/>
              </w:rPr>
              <w:t>8.97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215</w:t>
            </w:r>
          </w:p>
        </w:tc>
        <w:tc>
          <w:tcPr>
            <w:tcW w:w="3140" w:type="dxa"/>
            <w:vAlign w:val="center"/>
          </w:tcPr>
          <w:p>
            <w:pPr>
              <w:jc w:val="left"/>
            </w:pPr>
            <w:r>
              <w:rPr>
                <w:rFonts w:ascii="宋体" w:hAnsi="宋体" w:eastAsia="宋体" w:cs="宋体"/>
                <w:b w:val="0"/>
                <w:i w:val="0"/>
                <w:color w:val="000000"/>
                <w:sz w:val="17"/>
              </w:rPr>
              <w:t>资源勘探工业信息等支出</w:t>
            </w:r>
          </w:p>
        </w:tc>
        <w:tc>
          <w:tcPr>
            <w:tcW w:w="1440" w:type="dxa"/>
            <w:vAlign w:val="center"/>
          </w:tcPr>
          <w:p>
            <w:pPr>
              <w:jc w:val="right"/>
            </w:pPr>
            <w:r>
              <w:rPr>
                <w:rFonts w:ascii="宋体" w:hAnsi="宋体" w:eastAsia="宋体" w:cs="宋体"/>
                <w:b w:val="0"/>
                <w:i w:val="0"/>
                <w:color w:val="000000"/>
                <w:sz w:val="17"/>
              </w:rPr>
              <w:t>234.10</w:t>
            </w:r>
          </w:p>
        </w:tc>
        <w:tc>
          <w:tcPr>
            <w:tcW w:w="1440" w:type="dxa"/>
            <w:vAlign w:val="center"/>
          </w:tcPr>
          <w:p>
            <w:pPr>
              <w:jc w:val="right"/>
            </w:pPr>
            <w:r>
              <w:rPr>
                <w:rFonts w:ascii="宋体" w:hAnsi="宋体" w:eastAsia="宋体" w:cs="宋体"/>
                <w:b w:val="0"/>
                <w:i w:val="0"/>
                <w:color w:val="000000"/>
                <w:sz w:val="17"/>
              </w:rPr>
              <w:t>234.10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21503</w:t>
            </w:r>
          </w:p>
        </w:tc>
        <w:tc>
          <w:tcPr>
            <w:tcW w:w="3140" w:type="dxa"/>
            <w:vAlign w:val="center"/>
          </w:tcPr>
          <w:p>
            <w:pPr>
              <w:jc w:val="left"/>
            </w:pPr>
            <w:r>
              <w:rPr>
                <w:rFonts w:ascii="宋体" w:hAnsi="宋体" w:eastAsia="宋体" w:cs="宋体"/>
                <w:b w:val="0"/>
                <w:i w:val="0"/>
                <w:color w:val="000000"/>
                <w:sz w:val="17"/>
              </w:rPr>
              <w:t>建筑业</w:t>
            </w:r>
          </w:p>
        </w:tc>
        <w:tc>
          <w:tcPr>
            <w:tcW w:w="1440" w:type="dxa"/>
            <w:vAlign w:val="center"/>
          </w:tcPr>
          <w:p>
            <w:pPr>
              <w:jc w:val="right"/>
            </w:pPr>
            <w:r>
              <w:rPr>
                <w:rFonts w:ascii="宋体" w:hAnsi="宋体" w:eastAsia="宋体" w:cs="宋体"/>
                <w:b w:val="0"/>
                <w:i w:val="0"/>
                <w:color w:val="000000"/>
                <w:sz w:val="17"/>
              </w:rPr>
              <w:t>234.10</w:t>
            </w:r>
          </w:p>
        </w:tc>
        <w:tc>
          <w:tcPr>
            <w:tcW w:w="1440" w:type="dxa"/>
            <w:vAlign w:val="center"/>
          </w:tcPr>
          <w:p>
            <w:pPr>
              <w:jc w:val="right"/>
            </w:pPr>
            <w:r>
              <w:rPr>
                <w:rFonts w:ascii="宋体" w:hAnsi="宋体" w:eastAsia="宋体" w:cs="宋体"/>
                <w:b w:val="0"/>
                <w:i w:val="0"/>
                <w:color w:val="000000"/>
                <w:sz w:val="17"/>
              </w:rPr>
              <w:t>234.10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2150399</w:t>
            </w:r>
          </w:p>
        </w:tc>
        <w:tc>
          <w:tcPr>
            <w:tcW w:w="3140" w:type="dxa"/>
            <w:vAlign w:val="center"/>
          </w:tcPr>
          <w:p>
            <w:pPr>
              <w:jc w:val="left"/>
            </w:pPr>
            <w:r>
              <w:rPr>
                <w:rFonts w:ascii="宋体" w:hAnsi="宋体" w:eastAsia="宋体" w:cs="宋体"/>
                <w:b w:val="0"/>
                <w:i w:val="0"/>
                <w:color w:val="000000"/>
                <w:sz w:val="17"/>
              </w:rPr>
              <w:t>其他建筑业支出</w:t>
            </w:r>
          </w:p>
        </w:tc>
        <w:tc>
          <w:tcPr>
            <w:tcW w:w="1440" w:type="dxa"/>
            <w:vAlign w:val="center"/>
          </w:tcPr>
          <w:p>
            <w:pPr>
              <w:jc w:val="right"/>
            </w:pPr>
            <w:r>
              <w:rPr>
                <w:rFonts w:ascii="宋体" w:hAnsi="宋体" w:eastAsia="宋体" w:cs="宋体"/>
                <w:b w:val="0"/>
                <w:i w:val="0"/>
                <w:color w:val="000000"/>
                <w:sz w:val="17"/>
              </w:rPr>
              <w:t>234.10</w:t>
            </w:r>
          </w:p>
        </w:tc>
        <w:tc>
          <w:tcPr>
            <w:tcW w:w="1440" w:type="dxa"/>
            <w:vAlign w:val="center"/>
          </w:tcPr>
          <w:p>
            <w:pPr>
              <w:jc w:val="right"/>
            </w:pPr>
            <w:r>
              <w:rPr>
                <w:rFonts w:ascii="宋体" w:hAnsi="宋体" w:eastAsia="宋体" w:cs="宋体"/>
                <w:b w:val="0"/>
                <w:i w:val="0"/>
                <w:color w:val="000000"/>
                <w:sz w:val="17"/>
              </w:rPr>
              <w:t>234.10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15.37</w:t>
            </w:r>
          </w:p>
        </w:tc>
        <w:tc>
          <w:tcPr>
            <w:tcW w:w="1440" w:type="dxa"/>
            <w:vAlign w:val="center"/>
          </w:tcPr>
          <w:p>
            <w:pPr>
              <w:jc w:val="right"/>
            </w:pPr>
            <w:r>
              <w:rPr>
                <w:rFonts w:ascii="宋体" w:hAnsi="宋体" w:eastAsia="宋体" w:cs="宋体"/>
                <w:b w:val="0"/>
                <w:i w:val="0"/>
                <w:color w:val="000000"/>
                <w:sz w:val="17"/>
              </w:rPr>
              <w:t>15.37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15.37</w:t>
            </w:r>
          </w:p>
        </w:tc>
        <w:tc>
          <w:tcPr>
            <w:tcW w:w="1440" w:type="dxa"/>
            <w:vAlign w:val="center"/>
          </w:tcPr>
          <w:p>
            <w:pPr>
              <w:jc w:val="right"/>
            </w:pPr>
            <w:r>
              <w:rPr>
                <w:rFonts w:ascii="宋体" w:hAnsi="宋体" w:eastAsia="宋体" w:cs="宋体"/>
                <w:b w:val="0"/>
                <w:i w:val="0"/>
                <w:color w:val="000000"/>
                <w:sz w:val="17"/>
              </w:rPr>
              <w:t>15.37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78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15.37</w:t>
            </w:r>
          </w:p>
        </w:tc>
        <w:tc>
          <w:tcPr>
            <w:tcW w:w="1440" w:type="dxa"/>
            <w:vAlign w:val="center"/>
          </w:tcPr>
          <w:p>
            <w:pPr>
              <w:jc w:val="right"/>
            </w:pPr>
            <w:r>
              <w:rPr>
                <w:rFonts w:ascii="宋体" w:hAnsi="宋体" w:eastAsia="宋体" w:cs="宋体"/>
                <w:b w:val="0"/>
                <w:i w:val="0"/>
                <w:color w:val="000000"/>
                <w:sz w:val="17"/>
              </w:rPr>
              <w:t>15.37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eastAsia="宋体" w:cs="宋体"/>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38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307.56</w:t>
            </w:r>
          </w:p>
        </w:tc>
        <w:tc>
          <w:tcPr>
            <w:tcW w:w="1600" w:type="dxa"/>
            <w:vAlign w:val="center"/>
          </w:tcPr>
          <w:p>
            <w:pPr>
              <w:jc w:val="right"/>
            </w:pPr>
            <w:r>
              <w:rPr>
                <w:rFonts w:ascii="宋体" w:hAnsi="宋体" w:eastAsia="宋体" w:cs="宋体"/>
                <w:b/>
                <w:i w:val="0"/>
                <w:color w:val="000000"/>
                <w:sz w:val="19"/>
              </w:rPr>
              <w:t>307.56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1.34</w:t>
            </w:r>
          </w:p>
        </w:tc>
        <w:tc>
          <w:tcPr>
            <w:tcW w:w="1600" w:type="dxa"/>
            <w:vAlign w:val="center"/>
          </w:tcPr>
          <w:p>
            <w:pPr>
              <w:jc w:val="right"/>
            </w:pPr>
            <w:r>
              <w:rPr>
                <w:rFonts w:ascii="宋体" w:hAnsi="宋体" w:eastAsia="宋体" w:cs="宋体"/>
                <w:b w:val="0"/>
                <w:i w:val="0"/>
                <w:color w:val="000000"/>
                <w:sz w:val="19"/>
              </w:rPr>
              <w:t>1.34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1.34</w:t>
            </w:r>
          </w:p>
        </w:tc>
        <w:tc>
          <w:tcPr>
            <w:tcW w:w="1600" w:type="dxa"/>
            <w:vAlign w:val="center"/>
          </w:tcPr>
          <w:p>
            <w:pPr>
              <w:jc w:val="right"/>
            </w:pPr>
            <w:r>
              <w:rPr>
                <w:rFonts w:ascii="宋体" w:hAnsi="宋体" w:eastAsia="宋体" w:cs="宋体"/>
                <w:b w:val="0"/>
                <w:i w:val="0"/>
                <w:color w:val="000000"/>
                <w:sz w:val="19"/>
              </w:rPr>
              <w:t>1.34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1.34</w:t>
            </w:r>
          </w:p>
        </w:tc>
        <w:tc>
          <w:tcPr>
            <w:tcW w:w="1600" w:type="dxa"/>
            <w:vAlign w:val="center"/>
          </w:tcPr>
          <w:p>
            <w:pPr>
              <w:jc w:val="right"/>
            </w:pPr>
            <w:r>
              <w:rPr>
                <w:rFonts w:ascii="宋体" w:hAnsi="宋体" w:eastAsia="宋体" w:cs="宋体"/>
                <w:b w:val="0"/>
                <w:i w:val="0"/>
                <w:color w:val="000000"/>
                <w:sz w:val="19"/>
              </w:rPr>
              <w:t>1.34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39.72</w:t>
            </w:r>
          </w:p>
        </w:tc>
        <w:tc>
          <w:tcPr>
            <w:tcW w:w="1600" w:type="dxa"/>
            <w:vAlign w:val="center"/>
          </w:tcPr>
          <w:p>
            <w:pPr>
              <w:jc w:val="right"/>
            </w:pPr>
            <w:r>
              <w:rPr>
                <w:rFonts w:ascii="宋体" w:hAnsi="宋体" w:eastAsia="宋体" w:cs="宋体"/>
                <w:b w:val="0"/>
                <w:i w:val="0"/>
                <w:color w:val="000000"/>
                <w:sz w:val="19"/>
              </w:rPr>
              <w:t>39.72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39.72</w:t>
            </w:r>
          </w:p>
        </w:tc>
        <w:tc>
          <w:tcPr>
            <w:tcW w:w="1600" w:type="dxa"/>
            <w:vAlign w:val="center"/>
          </w:tcPr>
          <w:p>
            <w:pPr>
              <w:jc w:val="right"/>
            </w:pPr>
            <w:r>
              <w:rPr>
                <w:rFonts w:ascii="宋体" w:hAnsi="宋体" w:eastAsia="宋体" w:cs="宋体"/>
                <w:b w:val="0"/>
                <w:i w:val="0"/>
                <w:color w:val="000000"/>
                <w:sz w:val="19"/>
              </w:rPr>
              <w:t>39.72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24.25</w:t>
            </w:r>
          </w:p>
        </w:tc>
        <w:tc>
          <w:tcPr>
            <w:tcW w:w="1600" w:type="dxa"/>
            <w:vAlign w:val="center"/>
          </w:tcPr>
          <w:p>
            <w:pPr>
              <w:jc w:val="right"/>
            </w:pPr>
            <w:r>
              <w:rPr>
                <w:rFonts w:ascii="宋体" w:hAnsi="宋体" w:eastAsia="宋体" w:cs="宋体"/>
                <w:b w:val="0"/>
                <w:i w:val="0"/>
                <w:color w:val="000000"/>
                <w:sz w:val="19"/>
              </w:rPr>
              <w:t>24.25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15.46</w:t>
            </w:r>
          </w:p>
        </w:tc>
        <w:tc>
          <w:tcPr>
            <w:tcW w:w="1600" w:type="dxa"/>
            <w:vAlign w:val="center"/>
          </w:tcPr>
          <w:p>
            <w:pPr>
              <w:jc w:val="right"/>
            </w:pPr>
            <w:r>
              <w:rPr>
                <w:rFonts w:ascii="宋体" w:hAnsi="宋体" w:eastAsia="宋体" w:cs="宋体"/>
                <w:b w:val="0"/>
                <w:i w:val="0"/>
                <w:color w:val="000000"/>
                <w:sz w:val="19"/>
              </w:rPr>
              <w:t>15.46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17.03</w:t>
            </w:r>
          </w:p>
        </w:tc>
        <w:tc>
          <w:tcPr>
            <w:tcW w:w="1600" w:type="dxa"/>
            <w:vAlign w:val="center"/>
          </w:tcPr>
          <w:p>
            <w:pPr>
              <w:jc w:val="right"/>
            </w:pPr>
            <w:r>
              <w:rPr>
                <w:rFonts w:ascii="宋体" w:hAnsi="宋体" w:eastAsia="宋体" w:cs="宋体"/>
                <w:b w:val="0"/>
                <w:i w:val="0"/>
                <w:color w:val="000000"/>
                <w:sz w:val="19"/>
              </w:rPr>
              <w:t>17.03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17.03</w:t>
            </w:r>
          </w:p>
        </w:tc>
        <w:tc>
          <w:tcPr>
            <w:tcW w:w="1600" w:type="dxa"/>
            <w:vAlign w:val="center"/>
          </w:tcPr>
          <w:p>
            <w:pPr>
              <w:jc w:val="right"/>
            </w:pPr>
            <w:r>
              <w:rPr>
                <w:rFonts w:ascii="宋体" w:hAnsi="宋体" w:eastAsia="宋体" w:cs="宋体"/>
                <w:b w:val="0"/>
                <w:i w:val="0"/>
                <w:color w:val="000000"/>
                <w:sz w:val="19"/>
              </w:rPr>
              <w:t>17.03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8.07</w:t>
            </w:r>
          </w:p>
        </w:tc>
        <w:tc>
          <w:tcPr>
            <w:tcW w:w="1600" w:type="dxa"/>
            <w:vAlign w:val="center"/>
          </w:tcPr>
          <w:p>
            <w:pPr>
              <w:jc w:val="right"/>
            </w:pPr>
            <w:r>
              <w:rPr>
                <w:rFonts w:ascii="宋体" w:hAnsi="宋体" w:eastAsia="宋体" w:cs="宋体"/>
                <w:b w:val="0"/>
                <w:i w:val="0"/>
                <w:color w:val="000000"/>
                <w:sz w:val="19"/>
              </w:rPr>
              <w:t>8.07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8.97</w:t>
            </w:r>
          </w:p>
        </w:tc>
        <w:tc>
          <w:tcPr>
            <w:tcW w:w="1600" w:type="dxa"/>
            <w:vAlign w:val="center"/>
          </w:tcPr>
          <w:p>
            <w:pPr>
              <w:jc w:val="right"/>
            </w:pPr>
            <w:r>
              <w:rPr>
                <w:rFonts w:ascii="宋体" w:hAnsi="宋体" w:eastAsia="宋体" w:cs="宋体"/>
                <w:b w:val="0"/>
                <w:i w:val="0"/>
                <w:color w:val="000000"/>
                <w:sz w:val="19"/>
              </w:rPr>
              <w:t>8.97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215</w:t>
            </w:r>
          </w:p>
        </w:tc>
        <w:tc>
          <w:tcPr>
            <w:tcW w:w="3480" w:type="dxa"/>
            <w:vAlign w:val="center"/>
          </w:tcPr>
          <w:p>
            <w:pPr>
              <w:jc w:val="left"/>
            </w:pPr>
            <w:r>
              <w:rPr>
                <w:rFonts w:ascii="宋体" w:hAnsi="宋体" w:eastAsia="宋体" w:cs="宋体"/>
                <w:b w:val="0"/>
                <w:i w:val="0"/>
                <w:color w:val="000000"/>
                <w:sz w:val="19"/>
              </w:rPr>
              <w:t>资源勘探工业信息等支出</w:t>
            </w:r>
          </w:p>
        </w:tc>
        <w:tc>
          <w:tcPr>
            <w:tcW w:w="1600" w:type="dxa"/>
            <w:vAlign w:val="center"/>
          </w:tcPr>
          <w:p>
            <w:pPr>
              <w:jc w:val="right"/>
            </w:pPr>
            <w:r>
              <w:rPr>
                <w:rFonts w:ascii="宋体" w:hAnsi="宋体" w:eastAsia="宋体" w:cs="宋体"/>
                <w:b w:val="0"/>
                <w:i w:val="0"/>
                <w:color w:val="000000"/>
                <w:sz w:val="19"/>
              </w:rPr>
              <w:t>234.10</w:t>
            </w:r>
          </w:p>
        </w:tc>
        <w:tc>
          <w:tcPr>
            <w:tcW w:w="1600" w:type="dxa"/>
            <w:vAlign w:val="center"/>
          </w:tcPr>
          <w:p>
            <w:pPr>
              <w:jc w:val="right"/>
            </w:pPr>
            <w:r>
              <w:rPr>
                <w:rFonts w:ascii="宋体" w:hAnsi="宋体" w:eastAsia="宋体" w:cs="宋体"/>
                <w:b w:val="0"/>
                <w:i w:val="0"/>
                <w:color w:val="000000"/>
                <w:sz w:val="19"/>
              </w:rPr>
              <w:t>234.10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21503</w:t>
            </w:r>
          </w:p>
        </w:tc>
        <w:tc>
          <w:tcPr>
            <w:tcW w:w="3480" w:type="dxa"/>
            <w:vAlign w:val="center"/>
          </w:tcPr>
          <w:p>
            <w:pPr>
              <w:jc w:val="left"/>
            </w:pPr>
            <w:r>
              <w:rPr>
                <w:rFonts w:ascii="宋体" w:hAnsi="宋体" w:eastAsia="宋体" w:cs="宋体"/>
                <w:b w:val="0"/>
                <w:i w:val="0"/>
                <w:color w:val="000000"/>
                <w:sz w:val="19"/>
              </w:rPr>
              <w:t>建筑业</w:t>
            </w:r>
          </w:p>
        </w:tc>
        <w:tc>
          <w:tcPr>
            <w:tcW w:w="1600" w:type="dxa"/>
            <w:vAlign w:val="center"/>
          </w:tcPr>
          <w:p>
            <w:pPr>
              <w:jc w:val="right"/>
            </w:pPr>
            <w:r>
              <w:rPr>
                <w:rFonts w:ascii="宋体" w:hAnsi="宋体" w:eastAsia="宋体" w:cs="宋体"/>
                <w:b w:val="0"/>
                <w:i w:val="0"/>
                <w:color w:val="000000"/>
                <w:sz w:val="19"/>
              </w:rPr>
              <w:t>234.10</w:t>
            </w:r>
          </w:p>
        </w:tc>
        <w:tc>
          <w:tcPr>
            <w:tcW w:w="1600" w:type="dxa"/>
            <w:vAlign w:val="center"/>
          </w:tcPr>
          <w:p>
            <w:pPr>
              <w:jc w:val="right"/>
            </w:pPr>
            <w:r>
              <w:rPr>
                <w:rFonts w:ascii="宋体" w:hAnsi="宋体" w:eastAsia="宋体" w:cs="宋体"/>
                <w:b w:val="0"/>
                <w:i w:val="0"/>
                <w:color w:val="000000"/>
                <w:sz w:val="19"/>
              </w:rPr>
              <w:t>234.10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2150399</w:t>
            </w:r>
          </w:p>
        </w:tc>
        <w:tc>
          <w:tcPr>
            <w:tcW w:w="3480" w:type="dxa"/>
            <w:vAlign w:val="center"/>
          </w:tcPr>
          <w:p>
            <w:pPr>
              <w:jc w:val="left"/>
            </w:pPr>
            <w:r>
              <w:rPr>
                <w:rFonts w:ascii="宋体" w:hAnsi="宋体" w:eastAsia="宋体" w:cs="宋体"/>
                <w:b w:val="0"/>
                <w:i w:val="0"/>
                <w:color w:val="000000"/>
                <w:sz w:val="19"/>
              </w:rPr>
              <w:t>其他建筑业支出</w:t>
            </w:r>
          </w:p>
        </w:tc>
        <w:tc>
          <w:tcPr>
            <w:tcW w:w="1600" w:type="dxa"/>
            <w:vAlign w:val="center"/>
          </w:tcPr>
          <w:p>
            <w:pPr>
              <w:jc w:val="right"/>
            </w:pPr>
            <w:r>
              <w:rPr>
                <w:rFonts w:ascii="宋体" w:hAnsi="宋体" w:eastAsia="宋体" w:cs="宋体"/>
                <w:b w:val="0"/>
                <w:i w:val="0"/>
                <w:color w:val="000000"/>
                <w:sz w:val="19"/>
              </w:rPr>
              <w:t>234.10</w:t>
            </w:r>
          </w:p>
        </w:tc>
        <w:tc>
          <w:tcPr>
            <w:tcW w:w="1600" w:type="dxa"/>
            <w:vAlign w:val="center"/>
          </w:tcPr>
          <w:p>
            <w:pPr>
              <w:jc w:val="right"/>
            </w:pPr>
            <w:r>
              <w:rPr>
                <w:rFonts w:ascii="宋体" w:hAnsi="宋体" w:eastAsia="宋体" w:cs="宋体"/>
                <w:b w:val="0"/>
                <w:i w:val="0"/>
                <w:color w:val="000000"/>
                <w:sz w:val="19"/>
              </w:rPr>
              <w:t>234.10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15.37</w:t>
            </w:r>
          </w:p>
        </w:tc>
        <w:tc>
          <w:tcPr>
            <w:tcW w:w="1600" w:type="dxa"/>
            <w:vAlign w:val="center"/>
          </w:tcPr>
          <w:p>
            <w:pPr>
              <w:jc w:val="right"/>
            </w:pPr>
            <w:r>
              <w:rPr>
                <w:rFonts w:ascii="宋体" w:hAnsi="宋体" w:eastAsia="宋体" w:cs="宋体"/>
                <w:b w:val="0"/>
                <w:i w:val="0"/>
                <w:color w:val="000000"/>
                <w:sz w:val="19"/>
              </w:rPr>
              <w:t>15.37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15.37</w:t>
            </w:r>
          </w:p>
        </w:tc>
        <w:tc>
          <w:tcPr>
            <w:tcW w:w="1600" w:type="dxa"/>
            <w:vAlign w:val="center"/>
          </w:tcPr>
          <w:p>
            <w:pPr>
              <w:jc w:val="right"/>
            </w:pPr>
            <w:r>
              <w:rPr>
                <w:rFonts w:ascii="宋体" w:hAnsi="宋体" w:eastAsia="宋体" w:cs="宋体"/>
                <w:b w:val="0"/>
                <w:i w:val="0"/>
                <w:color w:val="000000"/>
                <w:sz w:val="19"/>
              </w:rPr>
              <w:t>15.37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15.37</w:t>
            </w:r>
          </w:p>
        </w:tc>
        <w:tc>
          <w:tcPr>
            <w:tcW w:w="1600" w:type="dxa"/>
            <w:vAlign w:val="center"/>
          </w:tcPr>
          <w:p>
            <w:pPr>
              <w:jc w:val="right"/>
            </w:pPr>
            <w:r>
              <w:rPr>
                <w:rFonts w:ascii="宋体" w:hAnsi="宋体" w:eastAsia="宋体" w:cs="宋体"/>
                <w:b w:val="0"/>
                <w:i w:val="0"/>
                <w:color w:val="000000"/>
                <w:sz w:val="19"/>
              </w:rPr>
              <w:t>15.37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13958" w:type="dxa"/>
            <w:gridSpan w:val="9"/>
            <w:vAlign w:val="center"/>
          </w:tcPr>
          <w:p>
            <w:pPr>
              <w:jc w:val="center"/>
            </w:pPr>
            <w:r>
              <w:rPr>
                <w:rFonts w:ascii="宋体" w:hAnsi="宋体" w:eastAsia="宋体" w:cs="宋体"/>
                <w:b w:val="0"/>
                <w:i w:val="0"/>
                <w:color w:val="000000"/>
                <w:sz w:val="18"/>
              </w:rPr>
              <w:t>收     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307.56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1.34</w:t>
            </w:r>
          </w:p>
        </w:tc>
        <w:tc>
          <w:tcPr>
            <w:tcW w:w="1420" w:type="dxa"/>
            <w:vAlign w:val="center"/>
          </w:tcPr>
          <w:p>
            <w:pPr>
              <w:jc w:val="right"/>
            </w:pPr>
            <w:r>
              <w:rPr>
                <w:rFonts w:ascii="宋体" w:hAnsi="宋体" w:eastAsia="宋体" w:cs="宋体"/>
                <w:b w:val="0"/>
                <w:i w:val="0"/>
                <w:color w:val="000000"/>
                <w:sz w:val="18"/>
              </w:rPr>
              <w:t>1.34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39.72</w:t>
            </w:r>
          </w:p>
        </w:tc>
        <w:tc>
          <w:tcPr>
            <w:tcW w:w="1420" w:type="dxa"/>
            <w:vAlign w:val="center"/>
          </w:tcPr>
          <w:p>
            <w:pPr>
              <w:jc w:val="right"/>
            </w:pPr>
            <w:r>
              <w:rPr>
                <w:rFonts w:ascii="宋体" w:hAnsi="宋体" w:eastAsia="宋体" w:cs="宋体"/>
                <w:b w:val="0"/>
                <w:i w:val="0"/>
                <w:color w:val="000000"/>
                <w:sz w:val="18"/>
              </w:rPr>
              <w:t>39.72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17.03</w:t>
            </w:r>
          </w:p>
        </w:tc>
        <w:tc>
          <w:tcPr>
            <w:tcW w:w="1420" w:type="dxa"/>
            <w:vAlign w:val="center"/>
          </w:tcPr>
          <w:p>
            <w:pPr>
              <w:jc w:val="right"/>
            </w:pPr>
            <w:r>
              <w:rPr>
                <w:rFonts w:ascii="宋体" w:hAnsi="宋体" w:eastAsia="宋体" w:cs="宋体"/>
                <w:b w:val="0"/>
                <w:i w:val="0"/>
                <w:color w:val="000000"/>
                <w:sz w:val="18"/>
              </w:rPr>
              <w:t>17.03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234.10</w:t>
            </w:r>
          </w:p>
        </w:tc>
        <w:tc>
          <w:tcPr>
            <w:tcW w:w="1420" w:type="dxa"/>
            <w:vAlign w:val="center"/>
          </w:tcPr>
          <w:p>
            <w:pPr>
              <w:jc w:val="right"/>
            </w:pPr>
            <w:r>
              <w:rPr>
                <w:rFonts w:ascii="宋体" w:hAnsi="宋体" w:eastAsia="宋体" w:cs="宋体"/>
                <w:b w:val="0"/>
                <w:i w:val="0"/>
                <w:color w:val="000000"/>
                <w:sz w:val="18"/>
              </w:rPr>
              <w:t>234.10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15.37</w:t>
            </w:r>
          </w:p>
        </w:tc>
        <w:tc>
          <w:tcPr>
            <w:tcW w:w="1420" w:type="dxa"/>
            <w:vAlign w:val="center"/>
          </w:tcPr>
          <w:p>
            <w:pPr>
              <w:jc w:val="right"/>
            </w:pPr>
            <w:r>
              <w:rPr>
                <w:rFonts w:ascii="宋体" w:hAnsi="宋体" w:eastAsia="宋体" w:cs="宋体"/>
                <w:b w:val="0"/>
                <w:i w:val="0"/>
                <w:color w:val="000000"/>
                <w:sz w:val="18"/>
              </w:rPr>
              <w:t>15.37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307.56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307.56</w:t>
            </w:r>
          </w:p>
        </w:tc>
        <w:tc>
          <w:tcPr>
            <w:tcW w:w="1420" w:type="dxa"/>
            <w:vAlign w:val="center"/>
          </w:tcPr>
          <w:p>
            <w:pPr>
              <w:jc w:val="right"/>
            </w:pPr>
            <w:r>
              <w:rPr>
                <w:rFonts w:ascii="宋体" w:hAnsi="宋体" w:eastAsia="宋体" w:cs="宋体"/>
                <w:b w:val="0"/>
                <w:i w:val="0"/>
                <w:color w:val="000000"/>
                <w:sz w:val="18"/>
              </w:rPr>
              <w:t>307.56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307.56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307.56</w:t>
            </w:r>
          </w:p>
        </w:tc>
        <w:tc>
          <w:tcPr>
            <w:tcW w:w="1420" w:type="dxa"/>
            <w:vAlign w:val="center"/>
          </w:tcPr>
          <w:p>
            <w:pPr>
              <w:jc w:val="right"/>
            </w:pPr>
            <w:r>
              <w:rPr>
                <w:rFonts w:ascii="宋体" w:hAnsi="宋体" w:eastAsia="宋体" w:cs="宋体"/>
                <w:b w:val="0"/>
                <w:i w:val="0"/>
                <w:color w:val="000000"/>
                <w:sz w:val="18"/>
              </w:rPr>
              <w:t>307.56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eastAsia="宋体" w:cs="宋体"/>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3958" w:type="dxa"/>
            <w:gridSpan w:val="5"/>
            <w:vAlign w:val="center"/>
          </w:tcPr>
          <w:p>
            <w:pPr>
              <w:jc w:val="center"/>
            </w:pPr>
            <w:r>
              <w:rPr>
                <w:rFonts w:ascii="宋体" w:hAnsi="宋体" w:eastAsia="宋体" w:cs="宋体"/>
                <w:b w:val="0"/>
                <w:i w:val="0"/>
                <w:color w:val="000000"/>
                <w:sz w:val="25"/>
              </w:rPr>
              <w:t>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4" w:hRule="exact"/>
          <w:jc w:val="center"/>
        </w:trPr>
        <w:tc>
          <w:tcPr>
            <w:tcW w:w="12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59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307.56</w:t>
            </w:r>
          </w:p>
        </w:tc>
        <w:tc>
          <w:tcPr>
            <w:tcW w:w="2700" w:type="dxa"/>
            <w:vAlign w:val="center"/>
          </w:tcPr>
          <w:p>
            <w:pPr>
              <w:jc w:val="right"/>
            </w:pPr>
            <w:r>
              <w:rPr>
                <w:rFonts w:ascii="宋体" w:hAnsi="宋体" w:eastAsia="宋体" w:cs="宋体"/>
                <w:b/>
                <w:i w:val="0"/>
                <w:color w:val="000000"/>
                <w:sz w:val="25"/>
              </w:rPr>
              <w:t>307.56</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1.34</w:t>
            </w:r>
          </w:p>
        </w:tc>
        <w:tc>
          <w:tcPr>
            <w:tcW w:w="2700" w:type="dxa"/>
            <w:vAlign w:val="center"/>
          </w:tcPr>
          <w:p>
            <w:pPr>
              <w:jc w:val="right"/>
            </w:pPr>
            <w:r>
              <w:rPr>
                <w:rFonts w:ascii="宋体" w:hAnsi="宋体" w:eastAsia="宋体" w:cs="宋体"/>
                <w:b w:val="0"/>
                <w:i w:val="0"/>
                <w:color w:val="000000"/>
                <w:sz w:val="25"/>
              </w:rPr>
              <w:t>1.34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1.34</w:t>
            </w:r>
          </w:p>
        </w:tc>
        <w:tc>
          <w:tcPr>
            <w:tcW w:w="2700" w:type="dxa"/>
            <w:vAlign w:val="center"/>
          </w:tcPr>
          <w:p>
            <w:pPr>
              <w:jc w:val="right"/>
            </w:pPr>
            <w:r>
              <w:rPr>
                <w:rFonts w:ascii="宋体" w:hAnsi="宋体" w:eastAsia="宋体" w:cs="宋体"/>
                <w:b w:val="0"/>
                <w:i w:val="0"/>
                <w:color w:val="000000"/>
                <w:sz w:val="25"/>
              </w:rPr>
              <w:t>1.34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1.34</w:t>
            </w:r>
          </w:p>
        </w:tc>
        <w:tc>
          <w:tcPr>
            <w:tcW w:w="2700" w:type="dxa"/>
            <w:vAlign w:val="center"/>
          </w:tcPr>
          <w:p>
            <w:pPr>
              <w:jc w:val="right"/>
            </w:pPr>
            <w:r>
              <w:rPr>
                <w:rFonts w:ascii="宋体" w:hAnsi="宋体" w:eastAsia="宋体" w:cs="宋体"/>
                <w:b w:val="0"/>
                <w:i w:val="0"/>
                <w:color w:val="000000"/>
                <w:sz w:val="25"/>
              </w:rPr>
              <w:t>1.34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39.72</w:t>
            </w:r>
          </w:p>
        </w:tc>
        <w:tc>
          <w:tcPr>
            <w:tcW w:w="2700" w:type="dxa"/>
            <w:vAlign w:val="center"/>
          </w:tcPr>
          <w:p>
            <w:pPr>
              <w:jc w:val="right"/>
            </w:pPr>
            <w:r>
              <w:rPr>
                <w:rFonts w:ascii="宋体" w:hAnsi="宋体" w:eastAsia="宋体" w:cs="宋体"/>
                <w:b w:val="0"/>
                <w:i w:val="0"/>
                <w:color w:val="000000"/>
                <w:sz w:val="25"/>
              </w:rPr>
              <w:t>39.72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39.72</w:t>
            </w:r>
          </w:p>
        </w:tc>
        <w:tc>
          <w:tcPr>
            <w:tcW w:w="2700" w:type="dxa"/>
            <w:vAlign w:val="center"/>
          </w:tcPr>
          <w:p>
            <w:pPr>
              <w:jc w:val="right"/>
            </w:pPr>
            <w:r>
              <w:rPr>
                <w:rFonts w:ascii="宋体" w:hAnsi="宋体" w:eastAsia="宋体" w:cs="宋体"/>
                <w:b w:val="0"/>
                <w:i w:val="0"/>
                <w:color w:val="000000"/>
                <w:sz w:val="25"/>
              </w:rPr>
              <w:t>39.72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24.25</w:t>
            </w:r>
          </w:p>
        </w:tc>
        <w:tc>
          <w:tcPr>
            <w:tcW w:w="2700" w:type="dxa"/>
            <w:vAlign w:val="center"/>
          </w:tcPr>
          <w:p>
            <w:pPr>
              <w:jc w:val="right"/>
            </w:pPr>
            <w:r>
              <w:rPr>
                <w:rFonts w:ascii="宋体" w:hAnsi="宋体" w:eastAsia="宋体" w:cs="宋体"/>
                <w:b w:val="0"/>
                <w:i w:val="0"/>
                <w:color w:val="000000"/>
                <w:sz w:val="25"/>
              </w:rPr>
              <w:t>24.25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15.46</w:t>
            </w:r>
          </w:p>
        </w:tc>
        <w:tc>
          <w:tcPr>
            <w:tcW w:w="2700" w:type="dxa"/>
            <w:vAlign w:val="center"/>
          </w:tcPr>
          <w:p>
            <w:pPr>
              <w:jc w:val="right"/>
            </w:pPr>
            <w:r>
              <w:rPr>
                <w:rFonts w:ascii="宋体" w:hAnsi="宋体" w:eastAsia="宋体" w:cs="宋体"/>
                <w:b w:val="0"/>
                <w:i w:val="0"/>
                <w:color w:val="000000"/>
                <w:sz w:val="25"/>
              </w:rPr>
              <w:t>15.46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17.03</w:t>
            </w:r>
          </w:p>
        </w:tc>
        <w:tc>
          <w:tcPr>
            <w:tcW w:w="2700" w:type="dxa"/>
            <w:vAlign w:val="center"/>
          </w:tcPr>
          <w:p>
            <w:pPr>
              <w:jc w:val="right"/>
            </w:pPr>
            <w:r>
              <w:rPr>
                <w:rFonts w:ascii="宋体" w:hAnsi="宋体" w:eastAsia="宋体" w:cs="宋体"/>
                <w:b w:val="0"/>
                <w:i w:val="0"/>
                <w:color w:val="000000"/>
                <w:sz w:val="25"/>
              </w:rPr>
              <w:t>17.03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17.03</w:t>
            </w:r>
          </w:p>
        </w:tc>
        <w:tc>
          <w:tcPr>
            <w:tcW w:w="2700" w:type="dxa"/>
            <w:vAlign w:val="center"/>
          </w:tcPr>
          <w:p>
            <w:pPr>
              <w:jc w:val="right"/>
            </w:pPr>
            <w:r>
              <w:rPr>
                <w:rFonts w:ascii="宋体" w:hAnsi="宋体" w:eastAsia="宋体" w:cs="宋体"/>
                <w:b w:val="0"/>
                <w:i w:val="0"/>
                <w:color w:val="000000"/>
                <w:sz w:val="25"/>
              </w:rPr>
              <w:t>17.03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8.07</w:t>
            </w:r>
          </w:p>
        </w:tc>
        <w:tc>
          <w:tcPr>
            <w:tcW w:w="2700" w:type="dxa"/>
            <w:vAlign w:val="center"/>
          </w:tcPr>
          <w:p>
            <w:pPr>
              <w:jc w:val="right"/>
            </w:pPr>
            <w:r>
              <w:rPr>
                <w:rFonts w:ascii="宋体" w:hAnsi="宋体" w:eastAsia="宋体" w:cs="宋体"/>
                <w:b w:val="0"/>
                <w:i w:val="0"/>
                <w:color w:val="000000"/>
                <w:sz w:val="25"/>
              </w:rPr>
              <w:t>8.07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8.97</w:t>
            </w:r>
          </w:p>
        </w:tc>
        <w:tc>
          <w:tcPr>
            <w:tcW w:w="2700" w:type="dxa"/>
            <w:vAlign w:val="center"/>
          </w:tcPr>
          <w:p>
            <w:pPr>
              <w:jc w:val="right"/>
            </w:pPr>
            <w:r>
              <w:rPr>
                <w:rFonts w:ascii="宋体" w:hAnsi="宋体" w:eastAsia="宋体" w:cs="宋体"/>
                <w:b w:val="0"/>
                <w:i w:val="0"/>
                <w:color w:val="000000"/>
                <w:sz w:val="25"/>
              </w:rPr>
              <w:t>8.97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215</w:t>
            </w:r>
          </w:p>
        </w:tc>
        <w:tc>
          <w:tcPr>
            <w:tcW w:w="4700" w:type="dxa"/>
            <w:vAlign w:val="center"/>
          </w:tcPr>
          <w:p>
            <w:pPr>
              <w:jc w:val="left"/>
            </w:pPr>
            <w:r>
              <w:rPr>
                <w:rFonts w:ascii="宋体" w:hAnsi="宋体" w:eastAsia="宋体" w:cs="宋体"/>
                <w:b w:val="0"/>
                <w:i w:val="0"/>
                <w:color w:val="000000"/>
                <w:sz w:val="25"/>
              </w:rPr>
              <w:t>资源勘探工业信息等支出</w:t>
            </w:r>
          </w:p>
        </w:tc>
        <w:tc>
          <w:tcPr>
            <w:tcW w:w="2700" w:type="dxa"/>
            <w:vAlign w:val="center"/>
          </w:tcPr>
          <w:p>
            <w:pPr>
              <w:jc w:val="right"/>
            </w:pPr>
            <w:r>
              <w:rPr>
                <w:rFonts w:ascii="宋体" w:hAnsi="宋体" w:eastAsia="宋体" w:cs="宋体"/>
                <w:b w:val="0"/>
                <w:i w:val="0"/>
                <w:color w:val="000000"/>
                <w:sz w:val="25"/>
              </w:rPr>
              <w:t>234.10</w:t>
            </w:r>
          </w:p>
        </w:tc>
        <w:tc>
          <w:tcPr>
            <w:tcW w:w="2700" w:type="dxa"/>
            <w:vAlign w:val="center"/>
          </w:tcPr>
          <w:p>
            <w:pPr>
              <w:jc w:val="right"/>
            </w:pPr>
            <w:r>
              <w:rPr>
                <w:rFonts w:ascii="宋体" w:hAnsi="宋体" w:eastAsia="宋体" w:cs="宋体"/>
                <w:b w:val="0"/>
                <w:i w:val="0"/>
                <w:color w:val="000000"/>
                <w:sz w:val="25"/>
              </w:rPr>
              <w:t>234.10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21503</w:t>
            </w:r>
          </w:p>
        </w:tc>
        <w:tc>
          <w:tcPr>
            <w:tcW w:w="4700" w:type="dxa"/>
            <w:vAlign w:val="center"/>
          </w:tcPr>
          <w:p>
            <w:pPr>
              <w:jc w:val="left"/>
            </w:pPr>
            <w:r>
              <w:rPr>
                <w:rFonts w:ascii="宋体" w:hAnsi="宋体" w:eastAsia="宋体" w:cs="宋体"/>
                <w:b w:val="0"/>
                <w:i w:val="0"/>
                <w:color w:val="000000"/>
                <w:sz w:val="25"/>
              </w:rPr>
              <w:t>建筑业</w:t>
            </w:r>
          </w:p>
        </w:tc>
        <w:tc>
          <w:tcPr>
            <w:tcW w:w="2700" w:type="dxa"/>
            <w:vAlign w:val="center"/>
          </w:tcPr>
          <w:p>
            <w:pPr>
              <w:jc w:val="right"/>
            </w:pPr>
            <w:r>
              <w:rPr>
                <w:rFonts w:ascii="宋体" w:hAnsi="宋体" w:eastAsia="宋体" w:cs="宋体"/>
                <w:b w:val="0"/>
                <w:i w:val="0"/>
                <w:color w:val="000000"/>
                <w:sz w:val="25"/>
              </w:rPr>
              <w:t>234.10</w:t>
            </w:r>
          </w:p>
        </w:tc>
        <w:tc>
          <w:tcPr>
            <w:tcW w:w="2700" w:type="dxa"/>
            <w:vAlign w:val="center"/>
          </w:tcPr>
          <w:p>
            <w:pPr>
              <w:jc w:val="right"/>
            </w:pPr>
            <w:r>
              <w:rPr>
                <w:rFonts w:ascii="宋体" w:hAnsi="宋体" w:eastAsia="宋体" w:cs="宋体"/>
                <w:b w:val="0"/>
                <w:i w:val="0"/>
                <w:color w:val="000000"/>
                <w:sz w:val="25"/>
              </w:rPr>
              <w:t>234.10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2150399</w:t>
            </w:r>
          </w:p>
        </w:tc>
        <w:tc>
          <w:tcPr>
            <w:tcW w:w="4700" w:type="dxa"/>
            <w:vAlign w:val="center"/>
          </w:tcPr>
          <w:p>
            <w:pPr>
              <w:jc w:val="left"/>
            </w:pPr>
            <w:r>
              <w:rPr>
                <w:rFonts w:ascii="宋体" w:hAnsi="宋体" w:eastAsia="宋体" w:cs="宋体"/>
                <w:b w:val="0"/>
                <w:i w:val="0"/>
                <w:color w:val="000000"/>
                <w:sz w:val="25"/>
              </w:rPr>
              <w:t>其他建筑业支出</w:t>
            </w:r>
          </w:p>
        </w:tc>
        <w:tc>
          <w:tcPr>
            <w:tcW w:w="2700" w:type="dxa"/>
            <w:vAlign w:val="center"/>
          </w:tcPr>
          <w:p>
            <w:pPr>
              <w:jc w:val="right"/>
            </w:pPr>
            <w:r>
              <w:rPr>
                <w:rFonts w:ascii="宋体" w:hAnsi="宋体" w:eastAsia="宋体" w:cs="宋体"/>
                <w:b w:val="0"/>
                <w:i w:val="0"/>
                <w:color w:val="000000"/>
                <w:sz w:val="25"/>
              </w:rPr>
              <w:t>234.10</w:t>
            </w:r>
          </w:p>
        </w:tc>
        <w:tc>
          <w:tcPr>
            <w:tcW w:w="2700" w:type="dxa"/>
            <w:vAlign w:val="center"/>
          </w:tcPr>
          <w:p>
            <w:pPr>
              <w:jc w:val="right"/>
            </w:pPr>
            <w:r>
              <w:rPr>
                <w:rFonts w:ascii="宋体" w:hAnsi="宋体" w:eastAsia="宋体" w:cs="宋体"/>
                <w:b w:val="0"/>
                <w:i w:val="0"/>
                <w:color w:val="000000"/>
                <w:sz w:val="25"/>
              </w:rPr>
              <w:t>234.10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15.37</w:t>
            </w:r>
          </w:p>
        </w:tc>
        <w:tc>
          <w:tcPr>
            <w:tcW w:w="2700" w:type="dxa"/>
            <w:vAlign w:val="center"/>
          </w:tcPr>
          <w:p>
            <w:pPr>
              <w:jc w:val="right"/>
            </w:pPr>
            <w:r>
              <w:rPr>
                <w:rFonts w:ascii="宋体" w:hAnsi="宋体" w:eastAsia="宋体" w:cs="宋体"/>
                <w:b w:val="0"/>
                <w:i w:val="0"/>
                <w:color w:val="000000"/>
                <w:sz w:val="25"/>
              </w:rPr>
              <w:t>15.37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15.37</w:t>
            </w:r>
          </w:p>
        </w:tc>
        <w:tc>
          <w:tcPr>
            <w:tcW w:w="2700" w:type="dxa"/>
            <w:vAlign w:val="center"/>
          </w:tcPr>
          <w:p>
            <w:pPr>
              <w:jc w:val="right"/>
            </w:pPr>
            <w:r>
              <w:rPr>
                <w:rFonts w:ascii="宋体" w:hAnsi="宋体" w:eastAsia="宋体" w:cs="宋体"/>
                <w:b w:val="0"/>
                <w:i w:val="0"/>
                <w:color w:val="000000"/>
                <w:sz w:val="25"/>
              </w:rPr>
              <w:t>15.37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38" w:hRule="exact"/>
          <w:jc w:val="center"/>
        </w:trPr>
        <w:tc>
          <w:tcPr>
            <w:tcW w:w="12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15.37</w:t>
            </w:r>
          </w:p>
        </w:tc>
        <w:tc>
          <w:tcPr>
            <w:tcW w:w="2700" w:type="dxa"/>
            <w:vAlign w:val="center"/>
          </w:tcPr>
          <w:p>
            <w:pPr>
              <w:jc w:val="right"/>
            </w:pPr>
            <w:r>
              <w:rPr>
                <w:rFonts w:ascii="宋体" w:hAnsi="宋体" w:eastAsia="宋体" w:cs="宋体"/>
                <w:b w:val="0"/>
                <w:i w:val="0"/>
                <w:color w:val="000000"/>
                <w:sz w:val="25"/>
              </w:rPr>
              <w:t>15.37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13958" w:type="dxa"/>
            <w:gridSpan w:val="9"/>
            <w:vAlign w:val="center"/>
          </w:tcPr>
          <w:p>
            <w:pPr>
              <w:jc w:val="center"/>
            </w:pPr>
            <w:r>
              <w:rPr>
                <w:rFonts w:ascii="宋体" w:hAnsi="宋体" w:eastAsia="宋体" w:cs="宋体"/>
                <w:b w:val="0"/>
                <w:i w:val="0"/>
                <w:color w:val="000000"/>
                <w:sz w:val="16"/>
              </w:rPr>
              <w:t>人员经费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269.56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13.64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66.64</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3.43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98.82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55.68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15.96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1.33</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0.77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7.82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8.69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15.37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1.66</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0.40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24.25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24.25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1.80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1.34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1.90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1"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9360" w:type="dxa"/>
            <w:gridSpan w:val="6"/>
            <w:vAlign w:val="center"/>
          </w:tcPr>
          <w:p>
            <w:pPr>
              <w:jc w:val="right"/>
            </w:pPr>
            <w:r>
              <w:rPr>
                <w:rFonts w:ascii="宋体" w:hAnsi="宋体" w:eastAsia="宋体" w:cs="宋体"/>
                <w:b w:val="0"/>
                <w:i w:val="0"/>
                <w:color w:val="000000"/>
                <w:sz w:val="16"/>
              </w:rPr>
              <w:t>293.82</w:t>
            </w:r>
          </w:p>
        </w:tc>
        <w:tc>
          <w:tcPr>
            <w:tcW w:w="1358" w:type="dxa"/>
            <w:vAlign w:val="center"/>
          </w:tcPr>
          <w:p>
            <w:pPr>
              <w:jc w:val="right"/>
            </w:pPr>
            <w:r>
              <w:rPr>
                <w:rFonts w:ascii="宋体" w:hAnsi="宋体" w:eastAsia="宋体" w:cs="宋体"/>
                <w:b w:val="0"/>
                <w:i w:val="0"/>
                <w:color w:val="000000"/>
                <w:sz w:val="16"/>
              </w:rPr>
              <w:t>13.74</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6240" w:type="dxa"/>
            <w:gridSpan w:val="4"/>
            <w:vMerge w:val="restart"/>
            <w:vAlign w:val="center"/>
          </w:tcPr>
          <w:p>
            <w:pPr>
              <w:jc w:val="center"/>
            </w:pPr>
            <w:r>
              <w:rPr>
                <w:rFonts w:ascii="宋体" w:hAnsi="宋体" w:eastAsia="宋体" w:cs="宋体"/>
                <w:b w:val="0"/>
                <w:i w:val="0"/>
                <w:color w:val="000000"/>
                <w:sz w:val="20"/>
              </w:rPr>
              <w:t>本年收入</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9" w:hRule="exact"/>
          <w:jc w:val="center"/>
        </w:trPr>
        <w:tc>
          <w:tcPr>
            <w:tcW w:w="9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9" w:hRule="exact"/>
          <w:jc w:val="center"/>
        </w:trPr>
        <w:tc>
          <w:tcPr>
            <w:tcW w:w="9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9" w:hRule="exact"/>
          <w:jc w:val="center"/>
        </w:trPr>
        <w:tc>
          <w:tcPr>
            <w:tcW w:w="9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9" w:hRule="exact"/>
          <w:jc w:val="center"/>
        </w:trPr>
        <w:tc>
          <w:tcPr>
            <w:tcW w:w="456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28" w:hRule="exact"/>
          <w:jc w:val="center"/>
        </w:trPr>
        <w:tc>
          <w:tcPr>
            <w:tcW w:w="456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28" w:hRule="exact"/>
          <w:jc w:val="center"/>
        </w:trPr>
        <w:tc>
          <w:tcPr>
            <w:tcW w:w="9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宋体" w:hAnsi="宋体" w:eastAsia="宋体" w:cs="宋体"/>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13958" w:type="dxa"/>
            <w:gridSpan w:val="5"/>
            <w:vAlign w:val="center"/>
          </w:tcPr>
          <w:p>
            <w:pPr>
              <w:jc w:val="center"/>
            </w:pPr>
            <w:r>
              <w:rPr>
                <w:rFonts w:ascii="宋体" w:hAnsi="宋体" w:eastAsia="宋体" w:cs="宋体"/>
                <w:b w:val="0"/>
                <w:i w:val="0"/>
                <w:color w:val="000000"/>
                <w:sz w:val="28"/>
              </w:rPr>
              <w:t>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138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138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138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688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31" w:hRule="exact"/>
          <w:jc w:val="center"/>
        </w:trPr>
        <w:tc>
          <w:tcPr>
            <w:tcW w:w="138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宋体" w:hAnsi="宋体" w:eastAsia="宋体" w:cs="宋体"/>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3"/>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958" w:type="dxa"/>
            <w:gridSpan w:val="3"/>
            <w:vAlign w:val="top"/>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979" w:type="dxa"/>
            <w:vAlign w:val="top"/>
          </w:tcPr>
          <w:p>
            <w:pPr>
              <w:jc w:val="left"/>
            </w:pPr>
            <w:r>
              <w:rPr>
                <w:rFonts w:ascii="宋体" w:hAnsi="宋体" w:eastAsia="宋体" w:cs="宋体"/>
                <w:sz w:val="20"/>
              </w:rPr>
              <w:t>单位：许昌市墙体材料发展服务中心</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Style w:val="3"/>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1" w:hRule="exact"/>
          <w:jc w:val="center"/>
        </w:trPr>
        <w:tc>
          <w:tcPr>
            <w:tcW w:w="13958" w:type="dxa"/>
            <w:gridSpan w:val="12"/>
            <w:vAlign w:val="center"/>
          </w:tcPr>
          <w:p>
            <w:pPr>
              <w:jc w:val="center"/>
            </w:pPr>
            <w:r>
              <w:rPr>
                <w:rFonts w:ascii="宋体" w:hAnsi="宋体" w:eastAsia="宋体" w:cs="宋体"/>
                <w:b w:val="0"/>
                <w:i w:val="0"/>
                <w:color w:val="000000"/>
                <w:sz w:val="17"/>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4640" w:type="dxa"/>
            <w:gridSpan w:val="4"/>
            <w:vMerge w:val="restart"/>
            <w:vAlign w:val="center"/>
          </w:tcPr>
          <w:p>
            <w:pPr>
              <w:jc w:val="center"/>
            </w:pPr>
            <w:r>
              <w:rPr>
                <w:rFonts w:ascii="宋体" w:hAnsi="宋体" w:eastAsia="宋体" w:cs="宋体"/>
                <w:b w:val="0"/>
                <w:i w:val="0"/>
                <w:color w:val="000000"/>
                <w:sz w:val="17"/>
              </w:rPr>
              <w:t>因公出国（境）费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4640" w:type="dxa"/>
            <w:gridSpan w:val="4"/>
            <w:vMerge w:val="restart"/>
            <w:vAlign w:val="center"/>
          </w:tcPr>
          <w:p>
            <w:pPr>
              <w:jc w:val="center"/>
            </w:pPr>
            <w:r>
              <w:rPr>
                <w:rFonts w:ascii="宋体" w:hAnsi="宋体" w:eastAsia="宋体" w:cs="宋体"/>
                <w:b w:val="0"/>
                <w:i w:val="0"/>
                <w:color w:val="000000"/>
                <w:sz w:val="17"/>
              </w:rPr>
              <w:t>因公出国（境）费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宋体" w:hAnsi="宋体" w:eastAsia="宋体" w:cs="宋体"/>
          <w:color w:val="000000"/>
          <w:kern w:val="0"/>
          <w:sz w:val="18"/>
          <w:szCs w:val="18"/>
          <w:lang w:val="en-US" w:eastAsia="zh-CN"/>
        </w:rPr>
      </w:pPr>
    </w:p>
    <w:p>
      <w:pPr>
        <w:jc w:val="left"/>
        <w:rPr>
          <w:rFonts w:hint="eastAsia" w:ascii="宋体" w:hAnsi="宋体" w:eastAsia="宋体" w:cs="宋体"/>
          <w:sz w:val="18"/>
          <w:szCs w:val="18"/>
          <w:lang w:val="en-US" w:eastAsia="zh-CN"/>
        </w:rPr>
      </w:pP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720"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2023年度单位决算情况说明</w:t>
      </w:r>
    </w:p>
    <w:p>
      <w:pPr>
        <w:widowControl/>
        <w:wordWrap/>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2023年度收、支总计均为307.56万元。与上年度相比，收、支总计各减少7.88万元，下降2.50%。主要原因是本年度比上年度在职人员减少。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307.56万元，其中：财政拨款收入307.56万元，占100.00%；上级补助收入0.00万元，占0.00%；事业收入0.00万元，占0.00%；经营收入0.00万元，占0.00%；附属单位上缴收入0.00万元，占0.00%；其他收入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2023年度支出合计307.56万元，其中：基本支出307.56万元，占100.00%；项目支出0.00万元，占0.00%；上缴上级支出0.00万元，占0.00%；经营支出0.00万元，占0.00%；对附属单位补助支出0.00万元，占0.00%。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2023年度财政拨款收、支总计均为307.56万元。与上年度相比，财政拨款收、支总计各减少7.88万元，下降2.50%。主要原因是本年度比上年度在职人员减少。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2023年度一般公共预算财政拨款支出307.56万元，占支出合计的100.00%。与上年度相比，一般公共预算财政拨款支出减少7.88万元，下降2.50%。主要原因是本年度比上年度在职人员减少。</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307.56万元，主要用于以下方面：一般公共服务支出（类）1.34万元，占0.44%；社会保障和就业支出（类）39.72万元，占12.91%；卫生健康支出（类）17.03万元，占5.54%；资源勘探工业信息等支出（类）234.10万元，占76.12%；住房保障支出（类）15.37万元，占5.00%。</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2023年度一般公共预算财政拨款支出年初预算为286.40万元，支出决算为307.56万元，完成年初预算的107.39%。其中：</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年初预算数为1.34万元，决算数1.34万元,完成年初预算的100.00%，决算数与年初预算数不存在差异。</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年初预算数为24.45万元，决算数24.25万元,完成年初预算的99.18%，决算数与年初预算数存在差异的主要原因是按实际计算支出。</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年初预算数为15.46万元，决算数15.46万元,完成年初预算的100.00%，决算数与年初预算数不存在差异。</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年初预算数为8.07万元，决算数8.07万元,完成年初预算的100.00%，决算数与年初预算数不存在差异。</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5.卫生健康支出（类）行政事业单位医疗（款）公务员医疗补助（项）</w:t>
      </w:r>
      <w:r>
        <w:rPr>
          <w:rFonts w:hint="default" w:ascii="仿宋" w:hAnsi="仿宋" w:eastAsia="仿宋" w:cs="仿宋"/>
          <w:kern w:val="2"/>
          <w:sz w:val="32"/>
          <w:szCs w:val="32"/>
          <w:lang w:val="en-US" w:eastAsia="zh-CN"/>
        </w:rPr>
        <w:t>年初预算数为8.97万元，决算数8.97万元,完成年初预算的100.00%，决算数与年初预算数不存在差异。</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6.资源勘探工业信息等支出（类）建筑业（款）其他建筑业支出（项）</w:t>
      </w:r>
      <w:r>
        <w:rPr>
          <w:rFonts w:hint="default" w:ascii="仿宋" w:hAnsi="仿宋" w:eastAsia="仿宋" w:cs="仿宋"/>
          <w:kern w:val="2"/>
          <w:sz w:val="32"/>
          <w:szCs w:val="32"/>
          <w:lang w:val="en-US" w:eastAsia="zh-CN"/>
        </w:rPr>
        <w:t>年初预算数为212.75万元，决算数234.10万元,完成年初预算的110.04%，决算数与年初预算数存在差异的主要原因是按规定程序调整人员经费。</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年初预算数为15.37万元，决算数15.37万元,完成年初预算的100.00%，决算数与年初预算数不存在差异。</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307.56万元。其中：人员经费293.82万元，主要包括：基本工资、津贴补贴、奖金、机关事业单位基本养老保险缴费、职工基本医疗保险缴费、公务员医疗补助缴费、其他社会保障缴费、住房公积金、其他工资福利支出、退休费。公用经费13.74万元，主要包括：办公费、水费、电费、邮电费、物业管理费、差旅费、维修（护）费、劳务费、工会经费、福利费、公务用车运行维护费、办公设备购置。</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2023年度“三公”经费财政拨款支出预算为1.00万元，支出决算为1.00万元，完成预算的100.00%。2023年度“三公”经费支出决算数与预算数无差异。</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1.00万元,完成预算的100.00%，占100.00%；公务接待费支出决算0.00万元，占0.00%。具体情况如下：</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预算为1.00万元，支出决算为1.00万元，完成预算的100.00%。决算数与预算数无差异。其中：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1.00万元。主要用于车辆保险、维修、汽油及过用路费。2023年期末，单位开支财政拨款的公务用车保有量为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307.56万元。自评得分为97分，等级为“优”。从单位整体自评情况来看，我单位预算绩效目标设置合理，资金分配和使用按预算执行，在资金使用和管理方面，进一步强化资金统筹，优化资金结构，明确开支范围，细化资金用途，确保我单位当年主要工作和任务顺利完成。</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widowControl/>
        <w:spacing w:before="0" w:beforeAutospacing="0" w:after="0" w:afterAutospacing="0" w:line="590" w:lineRule="exact"/>
        <w:ind w:right="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 xml:space="preserve">    （三）部门重点绩效评价结果</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720"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553"/>
        <w:gridCol w:w="1617"/>
        <w:gridCol w:w="1945"/>
        <w:gridCol w:w="986"/>
        <w:gridCol w:w="4345"/>
        <w:gridCol w:w="1116"/>
        <w:gridCol w:w="673"/>
        <w:gridCol w:w="114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4340" w:type="dxa"/>
            <w:gridSpan w:val="10"/>
            <w:tcBorders>
              <w:top w:val="nil"/>
              <w:left w:val="nil"/>
              <w:bottom w:val="nil"/>
              <w:right w:val="nil"/>
            </w:tcBorders>
            <w:vAlign w:val="bottom"/>
          </w:tcPr>
          <w:p>
            <w:pPr>
              <w:pStyle w:val="7"/>
              <w:widowControl/>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4340" w:type="dxa"/>
            <w:gridSpan w:val="10"/>
            <w:tcBorders>
              <w:top w:val="nil"/>
              <w:left w:val="nil"/>
              <w:bottom w:val="nil"/>
              <w:right w:val="nil"/>
            </w:tcBorders>
            <w:vAlign w:val="bottom"/>
          </w:tcPr>
          <w:p>
            <w:pPr>
              <w:pStyle w:val="7"/>
              <w:widowControl/>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53" w:type="dxa"/>
            <w:tcBorders>
              <w:top w:val="nil"/>
              <w:left w:val="nil"/>
              <w:bottom w:val="single" w:color="000000" w:sz="4" w:space="0"/>
              <w:right w:val="nil"/>
            </w:tcBorders>
            <w:vAlign w:val="bottom"/>
          </w:tcPr>
          <w:p>
            <w:pPr>
              <w:pStyle w:val="7"/>
              <w:widowControl/>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w:t>
            </w:r>
          </w:p>
        </w:tc>
        <w:tc>
          <w:tcPr>
            <w:tcW w:w="553" w:type="dxa"/>
            <w:tcBorders>
              <w:top w:val="nil"/>
              <w:left w:val="nil"/>
              <w:bottom w:val="single" w:color="000000" w:sz="4" w:space="0"/>
              <w:right w:val="nil"/>
            </w:tcBorders>
            <w:vAlign w:val="bottom"/>
          </w:tcPr>
          <w:p>
            <w:pPr>
              <w:pStyle w:val="7"/>
              <w:rPr>
                <w:rFonts w:hint="eastAsia" w:ascii="宋体" w:hAnsi="宋体" w:eastAsia="宋体" w:cs="宋体"/>
                <w:i w:val="0"/>
                <w:iCs w:val="0"/>
                <w:color w:val="000000"/>
                <w:sz w:val="18"/>
                <w:szCs w:val="18"/>
                <w:u w:val="none"/>
              </w:rPr>
            </w:pPr>
          </w:p>
        </w:tc>
        <w:tc>
          <w:tcPr>
            <w:tcW w:w="1617" w:type="dxa"/>
            <w:tcBorders>
              <w:top w:val="nil"/>
              <w:left w:val="nil"/>
              <w:bottom w:val="single" w:color="000000" w:sz="4" w:space="0"/>
              <w:right w:val="nil"/>
            </w:tcBorders>
            <w:vAlign w:val="bottom"/>
          </w:tcPr>
          <w:p>
            <w:pPr>
              <w:pStyle w:val="7"/>
              <w:rPr>
                <w:rFonts w:hint="eastAsia" w:ascii="宋体" w:hAnsi="宋体" w:eastAsia="宋体" w:cs="宋体"/>
                <w:i w:val="0"/>
                <w:iCs w:val="0"/>
                <w:color w:val="000000"/>
                <w:sz w:val="18"/>
                <w:szCs w:val="18"/>
                <w:u w:val="none"/>
              </w:rPr>
            </w:pPr>
          </w:p>
        </w:tc>
        <w:tc>
          <w:tcPr>
            <w:tcW w:w="1945" w:type="dxa"/>
            <w:tcBorders>
              <w:top w:val="nil"/>
              <w:left w:val="nil"/>
              <w:bottom w:val="single" w:color="000000" w:sz="4" w:space="0"/>
              <w:right w:val="nil"/>
            </w:tcBorders>
            <w:vAlign w:val="bottom"/>
          </w:tcPr>
          <w:p>
            <w:pPr>
              <w:pStyle w:val="7"/>
              <w:rPr>
                <w:rFonts w:hint="eastAsia" w:ascii="宋体" w:hAnsi="宋体" w:eastAsia="宋体" w:cs="宋体"/>
                <w:i w:val="0"/>
                <w:iCs w:val="0"/>
                <w:color w:val="000000"/>
                <w:sz w:val="18"/>
                <w:szCs w:val="18"/>
                <w:u w:val="none"/>
              </w:rPr>
            </w:pPr>
          </w:p>
        </w:tc>
        <w:tc>
          <w:tcPr>
            <w:tcW w:w="986" w:type="dxa"/>
            <w:tcBorders>
              <w:top w:val="nil"/>
              <w:left w:val="nil"/>
              <w:bottom w:val="single" w:color="000000" w:sz="4" w:space="0"/>
              <w:right w:val="nil"/>
            </w:tcBorders>
            <w:vAlign w:val="bottom"/>
          </w:tcPr>
          <w:p>
            <w:pPr>
              <w:pStyle w:val="7"/>
              <w:rPr>
                <w:rFonts w:hint="eastAsia" w:ascii="宋体" w:hAnsi="宋体" w:eastAsia="宋体" w:cs="宋体"/>
                <w:i w:val="0"/>
                <w:iCs w:val="0"/>
                <w:color w:val="000000"/>
                <w:sz w:val="18"/>
                <w:szCs w:val="18"/>
                <w:u w:val="none"/>
              </w:rPr>
            </w:pPr>
          </w:p>
        </w:tc>
        <w:tc>
          <w:tcPr>
            <w:tcW w:w="4345" w:type="dxa"/>
            <w:tcBorders>
              <w:top w:val="nil"/>
              <w:left w:val="nil"/>
              <w:bottom w:val="single" w:color="000000" w:sz="4" w:space="0"/>
              <w:right w:val="nil"/>
            </w:tcBorders>
            <w:vAlign w:val="bottom"/>
          </w:tcPr>
          <w:p>
            <w:pPr>
              <w:pStyle w:val="7"/>
              <w:rPr>
                <w:rFonts w:hint="eastAsia" w:ascii="宋体" w:hAnsi="宋体" w:eastAsia="宋体" w:cs="宋体"/>
                <w:i w:val="0"/>
                <w:iCs w:val="0"/>
                <w:color w:val="000000"/>
                <w:sz w:val="18"/>
                <w:szCs w:val="18"/>
                <w:u w:val="none"/>
              </w:rPr>
            </w:pPr>
          </w:p>
        </w:tc>
        <w:tc>
          <w:tcPr>
            <w:tcW w:w="1789" w:type="dxa"/>
            <w:gridSpan w:val="2"/>
            <w:tcBorders>
              <w:top w:val="nil"/>
              <w:left w:val="nil"/>
              <w:bottom w:val="single" w:color="000000" w:sz="4" w:space="0"/>
              <w:right w:val="nil"/>
            </w:tcBorders>
            <w:vAlign w:val="bottom"/>
          </w:tcPr>
          <w:p>
            <w:pPr>
              <w:pStyle w:val="7"/>
              <w:jc w:val="right"/>
              <w:rPr>
                <w:rFonts w:hint="eastAsia" w:ascii="宋体" w:hAnsi="宋体" w:eastAsia="宋体" w:cs="宋体"/>
                <w:i w:val="0"/>
                <w:iCs w:val="0"/>
                <w:color w:val="000000"/>
                <w:sz w:val="18"/>
                <w:szCs w:val="18"/>
                <w:u w:val="none"/>
              </w:rPr>
            </w:pPr>
          </w:p>
        </w:tc>
        <w:tc>
          <w:tcPr>
            <w:tcW w:w="2552" w:type="dxa"/>
            <w:gridSpan w:val="2"/>
            <w:tcBorders>
              <w:top w:val="nil"/>
              <w:left w:val="nil"/>
              <w:bottom w:val="single" w:color="000000" w:sz="4" w:space="0"/>
              <w:right w:val="nil"/>
            </w:tcBorders>
            <w:vAlign w:val="bottom"/>
          </w:tcPr>
          <w:p>
            <w:pPr>
              <w:pStyle w:val="7"/>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2723"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11617" w:type="dxa"/>
            <w:gridSpan w:val="7"/>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许昌市墙体材料发展服务中心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2723"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617" w:type="dxa"/>
            <w:gridSpan w:val="7"/>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r>
            <w:r>
              <w:rPr>
                <w:rFonts w:hint="eastAsia" w:ascii="宋体" w:hAnsi="宋体" w:eastAsia="宋体" w:cs="宋体"/>
                <w:i w:val="0"/>
                <w:iCs w:val="0"/>
                <w:color w:val="000000"/>
                <w:kern w:val="0"/>
                <w:sz w:val="18"/>
                <w:szCs w:val="18"/>
                <w:u w:val="none"/>
                <w:lang w:val="en-US" w:eastAsia="zh-CN"/>
              </w:rPr>
              <w:t>执行</w:t>
            </w:r>
            <w:r>
              <w:br/>
            </w:r>
            <w:r>
              <w:rPr>
                <w:rFonts w:hint="eastAsia" w:ascii="宋体" w:hAnsi="宋体" w:eastAsia="宋体" w:cs="宋体"/>
                <w:i w:val="0"/>
                <w:iCs w:val="0"/>
                <w:color w:val="000000"/>
                <w:kern w:val="0"/>
                <w:sz w:val="18"/>
                <w:szCs w:val="18"/>
                <w:u w:val="none"/>
                <w:lang w:val="en-US" w:eastAsia="zh-CN"/>
              </w:rPr>
              <w:t>情况</w:t>
            </w: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3562" w:type="dxa"/>
            <w:gridSpan w:val="2"/>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部门预算总额</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286.4</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307.56</w:t>
            </w:r>
          </w:p>
        </w:tc>
        <w:tc>
          <w:tcPr>
            <w:tcW w:w="1116"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307.56</w:t>
            </w:r>
          </w:p>
        </w:tc>
        <w:tc>
          <w:tcPr>
            <w:tcW w:w="673" w:type="dxa"/>
            <w:vMerge w:val="restart"/>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412" w:type="dxa"/>
            <w:vMerge w:val="restart"/>
            <w:tcBorders>
              <w:top w:val="single" w:color="000000" w:sz="4" w:space="0"/>
              <w:left w:val="single" w:color="000000" w:sz="4" w:space="0"/>
              <w:bottom w:val="nil"/>
              <w:right w:val="single" w:color="000000" w:sz="4" w:space="0"/>
            </w:tcBorders>
            <w:vAlign w:val="bottom"/>
          </w:tcPr>
          <w:p>
            <w:pPr>
              <w:pStyle w:val="7"/>
              <w:widowControl/>
              <w:wordWrap/>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286.4</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307.56</w:t>
            </w:r>
          </w:p>
        </w:tc>
        <w:tc>
          <w:tcPr>
            <w:tcW w:w="1116"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307.56</w:t>
            </w:r>
          </w:p>
        </w:tc>
        <w:tc>
          <w:tcPr>
            <w:tcW w:w="67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412" w:type="dxa"/>
            <w:vMerge w:val="continue"/>
            <w:tcBorders>
              <w:top w:val="single" w:color="000000" w:sz="4" w:space="0"/>
              <w:left w:val="single" w:color="000000" w:sz="4" w:space="0"/>
              <w:bottom w:val="nil"/>
              <w:right w:val="single" w:color="000000" w:sz="4" w:space="0"/>
            </w:tcBorders>
            <w:vAlign w:val="bottom"/>
          </w:tcPr>
          <w:p>
            <w:pPr>
              <w:pStyle w:val="7"/>
              <w:widowControl/>
              <w:wordWrap/>
              <w:adjustRightInd/>
              <w:snapToGrid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财政专户管理资金</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rPr>
                <w:rFonts w:hint="eastAsia" w:ascii="宋体" w:hAnsi="宋体" w:eastAsia="宋体" w:cs="宋体"/>
                <w:i w:val="0"/>
                <w:iCs w:val="0"/>
                <w:color w:val="000000"/>
                <w:sz w:val="18"/>
                <w:szCs w:val="18"/>
                <w:u w:val="none"/>
              </w:rPr>
            </w:pPr>
          </w:p>
        </w:tc>
        <w:tc>
          <w:tcPr>
            <w:tcW w:w="67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nil"/>
              <w:right w:val="single" w:color="000000" w:sz="4" w:space="0"/>
            </w:tcBorders>
            <w:vAlign w:val="bottom"/>
          </w:tcPr>
          <w:p>
            <w:pPr>
              <w:pStyle w:val="7"/>
              <w:widowControl/>
              <w:wordWrap/>
              <w:adjustRightInd/>
              <w:snapToGrid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rPr>
                <w:rFonts w:hint="eastAsia" w:ascii="宋体" w:hAnsi="宋体" w:eastAsia="宋体" w:cs="宋体"/>
                <w:i w:val="0"/>
                <w:iCs w:val="0"/>
                <w:color w:val="000000"/>
                <w:sz w:val="18"/>
                <w:szCs w:val="18"/>
                <w:u w:val="none"/>
              </w:rPr>
            </w:pPr>
          </w:p>
        </w:tc>
        <w:tc>
          <w:tcPr>
            <w:tcW w:w="67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nil"/>
              <w:right w:val="single" w:color="000000" w:sz="4" w:space="0"/>
            </w:tcBorders>
            <w:vAlign w:val="bottom"/>
          </w:tcPr>
          <w:p>
            <w:pPr>
              <w:pStyle w:val="7"/>
              <w:widowControl/>
              <w:wordWrap/>
              <w:adjustRightInd/>
              <w:snapToGrid w:val="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r>
            <w:r>
              <w:rPr>
                <w:rFonts w:hint="eastAsia" w:ascii="宋体" w:hAnsi="宋体" w:eastAsia="宋体" w:cs="宋体"/>
                <w:i w:val="0"/>
                <w:iCs w:val="0"/>
                <w:color w:val="000000"/>
                <w:kern w:val="0"/>
                <w:sz w:val="18"/>
                <w:szCs w:val="18"/>
                <w:u w:val="none"/>
                <w:lang w:val="en-US" w:eastAsia="zh-CN"/>
              </w:rPr>
              <w:t>履职</w:t>
            </w:r>
            <w:r>
              <w:br/>
            </w:r>
            <w:r>
              <w:rPr>
                <w:rFonts w:hint="eastAsia" w:ascii="宋体" w:hAnsi="宋体" w:eastAsia="宋体" w:cs="宋体"/>
                <w:i w:val="0"/>
                <w:iCs w:val="0"/>
                <w:color w:val="000000"/>
                <w:kern w:val="0"/>
                <w:sz w:val="18"/>
                <w:szCs w:val="18"/>
                <w:u w:val="none"/>
                <w:lang w:val="en-US" w:eastAsia="zh-CN"/>
              </w:rPr>
              <w:t>目标</w:t>
            </w:r>
          </w:p>
        </w:tc>
        <w:tc>
          <w:tcPr>
            <w:tcW w:w="8893" w:type="dxa"/>
            <w:gridSpan w:val="4"/>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4341" w:type="dxa"/>
            <w:gridSpan w:val="4"/>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4341" w:type="dxa"/>
            <w:gridSpan w:val="4"/>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城市规划区新型墙材应用比例达到98%；</w:t>
            </w:r>
          </w:p>
        </w:tc>
        <w:tc>
          <w:tcPr>
            <w:tcW w:w="4341" w:type="dxa"/>
            <w:gridSpan w:val="4"/>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目标2：</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建立长效工作机制，防止粘土制品反弹，推动“禁实”向农村延伸；</w:t>
            </w:r>
          </w:p>
        </w:tc>
        <w:tc>
          <w:tcPr>
            <w:tcW w:w="4341" w:type="dxa"/>
            <w:gridSpan w:val="4"/>
            <w:tcBorders>
              <w:top w:val="single" w:color="000000" w:sz="4" w:space="0"/>
              <w:left w:val="single" w:color="000000" w:sz="4" w:space="0"/>
              <w:bottom w:val="nil"/>
              <w:right w:val="single" w:color="000000" w:sz="4" w:space="0"/>
            </w:tcBorders>
            <w:vAlign w:val="bottom"/>
          </w:tcPr>
          <w:p>
            <w:pPr>
              <w:pStyle w:val="7"/>
              <w:widowControl/>
              <w:wordWrap/>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目标3：</w:t>
            </w:r>
          </w:p>
        </w:tc>
        <w:tc>
          <w:tcPr>
            <w:tcW w:w="7276" w:type="dxa"/>
            <w:gridSpan w:val="3"/>
            <w:tcBorders>
              <w:top w:val="single" w:color="000000" w:sz="4" w:space="0"/>
              <w:left w:val="single" w:color="000000" w:sz="4" w:space="0"/>
              <w:bottom w:val="single" w:color="000000" w:sz="4" w:space="0"/>
              <w:right w:val="nil"/>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鼓励企业加快升级、淘汰落后，并向绿色建材企业发展。</w:t>
            </w:r>
          </w:p>
        </w:tc>
        <w:tc>
          <w:tcPr>
            <w:tcW w:w="4341" w:type="dxa"/>
            <w:gridSpan w:val="4"/>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r>
            <w:r>
              <w:rPr>
                <w:rFonts w:hint="eastAsia" w:ascii="宋体" w:hAnsi="宋体" w:eastAsia="宋体" w:cs="宋体"/>
                <w:i w:val="0"/>
                <w:iCs w:val="0"/>
                <w:color w:val="000000"/>
                <w:kern w:val="0"/>
                <w:sz w:val="18"/>
                <w:szCs w:val="18"/>
                <w:u w:val="none"/>
                <w:lang w:val="en-US" w:eastAsia="zh-CN"/>
              </w:rPr>
              <w:t>主要</w:t>
            </w:r>
            <w:r>
              <w:br/>
            </w:r>
            <w:r>
              <w:rPr>
                <w:rFonts w:hint="eastAsia" w:ascii="宋体" w:hAnsi="宋体" w:eastAsia="宋体" w:cs="宋体"/>
                <w:i w:val="0"/>
                <w:iCs w:val="0"/>
                <w:color w:val="000000"/>
                <w:kern w:val="0"/>
                <w:sz w:val="18"/>
                <w:szCs w:val="18"/>
                <w:u w:val="none"/>
                <w:lang w:val="en-US" w:eastAsia="zh-CN"/>
              </w:rPr>
              <w:t>任务</w:t>
            </w: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4341" w:type="dxa"/>
            <w:gridSpan w:val="4"/>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任务1：</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强化新型墙材推广应用</w:t>
            </w:r>
          </w:p>
        </w:tc>
        <w:tc>
          <w:tcPr>
            <w:tcW w:w="4341" w:type="dxa"/>
            <w:gridSpan w:val="4"/>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任务2：</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巩固城市“禁粘”和乡镇“禁实”成果。</w:t>
            </w:r>
          </w:p>
        </w:tc>
        <w:tc>
          <w:tcPr>
            <w:tcW w:w="4341" w:type="dxa"/>
            <w:gridSpan w:val="4"/>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任务3：</w:t>
            </w:r>
          </w:p>
        </w:tc>
        <w:tc>
          <w:tcPr>
            <w:tcW w:w="7276" w:type="dxa"/>
            <w:gridSpan w:val="3"/>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积极发展绿色建材</w:t>
            </w:r>
          </w:p>
        </w:tc>
        <w:tc>
          <w:tcPr>
            <w:tcW w:w="4341" w:type="dxa"/>
            <w:gridSpan w:val="4"/>
            <w:tcBorders>
              <w:top w:val="single" w:color="000000" w:sz="4" w:space="0"/>
              <w:left w:val="single" w:color="000000" w:sz="4" w:space="0"/>
              <w:bottom w:val="single" w:color="000000" w:sz="4" w:space="0"/>
              <w:right w:val="single" w:color="000000" w:sz="4" w:space="0"/>
            </w:tcBorders>
            <w:vAlign w:val="bottom"/>
          </w:tcPr>
          <w:p>
            <w:pPr>
              <w:pStyle w:val="7"/>
              <w:widowControl/>
              <w:wordWrap/>
              <w:adjustRightInd/>
              <w:snapToGrid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4345"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67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4345"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67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相关</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科学</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986" w:type="dxa"/>
            <w:tcBorders>
              <w:top w:val="nil"/>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完整</w:t>
            </w:r>
          </w:p>
        </w:tc>
        <w:tc>
          <w:tcPr>
            <w:tcW w:w="4345" w:type="dxa"/>
            <w:tcBorders>
              <w:top w:val="nil"/>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①收入预算编制是否足额，是否将所有部门预算收入全部编入收入预算；</w:t>
            </w:r>
            <w:r>
              <w:br/>
            </w:r>
            <w:r>
              <w:rPr>
                <w:rFonts w:hint="eastAsia" w:ascii="宋体" w:hAnsi="宋体" w:eastAsia="宋体" w:cs="宋体"/>
                <w:i w:val="0"/>
                <w:iCs w:val="0"/>
                <w:color w:val="000000"/>
                <w:kern w:val="0"/>
                <w:sz w:val="16"/>
                <w:szCs w:val="16"/>
                <w:u w:val="none"/>
                <w:lang w:val="en-US" w:eastAsia="zh-CN"/>
              </w:rPr>
              <w:t>②支出预算编制是否科学，是否是按人员经费按标准、日常公用经费按定额、专项经费按项目分别编制。</w:t>
            </w:r>
          </w:p>
        </w:tc>
        <w:tc>
          <w:tcPr>
            <w:tcW w:w="1116" w:type="dxa"/>
            <w:tcBorders>
              <w:top w:val="nil"/>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完整</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黑体" w:hAnsi="宋体" w:eastAsia="黑体" w:cs="黑体"/>
                <w:i w:val="0"/>
                <w:iCs w:val="0"/>
                <w:color w:val="000000"/>
                <w:sz w:val="18"/>
                <w:szCs w:val="18"/>
                <w:u w:val="none"/>
              </w:rPr>
            </w:pP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预算调整率=（预算调整数/预算数）×100%。</w:t>
            </w:r>
            <w:r>
              <w:br/>
            </w:r>
            <w:r>
              <w:rPr>
                <w:rFonts w:hint="eastAsia" w:ascii="宋体" w:hAnsi="宋体" w:eastAsia="宋体" w:cs="宋体"/>
                <w:i w:val="0"/>
                <w:iCs w:val="0"/>
                <w:color w:val="000000"/>
                <w:kern w:val="0"/>
                <w:sz w:val="16"/>
                <w:szCs w:val="16"/>
                <w:u w:val="none"/>
                <w:lang w:val="en-US" w:eastAsia="zh-CN"/>
              </w:rPr>
              <w:t>预算调整数：部门在本年度内涉及预算的追加、追减或结构调整的资金总和（因落实国家政策、发生不可抗力、上级部门或本级党委政府临时交办而产生的调整除外）。</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7.40%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在职人员正常晋级晋档增资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结转结余变动率=[（本年度累计结转结余资金总额-上年度累计结转结余资金总额）/上年度累计结转结余资金总额]×100%。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“三公经费”控制率=本年度“三公经费”实际支出数/“三公经费”预算数*100%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①资金使用是否符合政府采购的程序和流程；资金使用是否符合公务卡结算相关制度和规定；</w:t>
            </w:r>
            <w:r>
              <w:br/>
            </w:r>
            <w:r>
              <w:rPr>
                <w:rFonts w:hint="eastAsia" w:ascii="宋体" w:hAnsi="宋体" w:eastAsia="宋体" w:cs="宋体"/>
                <w:i w:val="0"/>
                <w:iCs w:val="0"/>
                <w:color w:val="000000"/>
                <w:kern w:val="0"/>
                <w:sz w:val="16"/>
                <w:szCs w:val="16"/>
                <w:u w:val="none"/>
                <w:lang w:val="en-US" w:eastAsia="zh-CN"/>
              </w:rPr>
              <w:t>②政府采购执行率=（实际政府采购金额/政府采购预算数）×100%；</w:t>
            </w:r>
            <w:r>
              <w:br/>
            </w:r>
            <w:r>
              <w:rPr>
                <w:rFonts w:hint="eastAsia" w:ascii="宋体" w:hAnsi="宋体" w:eastAsia="宋体" w:cs="宋体"/>
                <w:i w:val="0"/>
                <w:iCs w:val="0"/>
                <w:color w:val="000000"/>
                <w:kern w:val="0"/>
                <w:sz w:val="16"/>
                <w:szCs w:val="16"/>
                <w:u w:val="none"/>
                <w:lang w:val="en-US" w:eastAsia="zh-CN"/>
              </w:rPr>
              <w:t>政府采购预算：采购机关根据事业发展计划和行政任务编制的、并经过规定程序批准的年度政府采购计划。</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反映本部门决算工作情况。决算编制数据是否账表一致，即决算报表数据与会计账簿数据是否一致。</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部门（单位）按要求编制绩效目标的项目数量占部门项目总数的比重。部门绩效目标编制完成率=已完成绩效目标编制项目数量/部门项目总数*100%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规范</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①资产保存是否完整，是否定期对固定资产进行清查，是否有因管理不当发生严重资产损失和丢失的情况；</w:t>
            </w:r>
            <w:r>
              <w:br/>
            </w:r>
            <w:r>
              <w:rPr>
                <w:rFonts w:hint="eastAsia" w:ascii="宋体" w:hAnsi="宋体" w:eastAsia="宋体" w:cs="宋体"/>
                <w:i w:val="0"/>
                <w:iCs w:val="0"/>
                <w:color w:val="000000"/>
                <w:kern w:val="0"/>
                <w:sz w:val="16"/>
                <w:szCs w:val="16"/>
                <w:u w:val="none"/>
                <w:lang w:val="en-US" w:eastAsia="zh-CN"/>
              </w:rPr>
              <w:t>②是否存在超标准配置资产；</w:t>
            </w:r>
            <w:r>
              <w:br/>
            </w:r>
            <w:r>
              <w:rPr>
                <w:rFonts w:hint="eastAsia" w:ascii="宋体" w:hAnsi="宋体" w:eastAsia="宋体" w:cs="宋体"/>
                <w:i w:val="0"/>
                <w:iCs w:val="0"/>
                <w:color w:val="000000"/>
                <w:kern w:val="0"/>
                <w:sz w:val="16"/>
                <w:szCs w:val="16"/>
                <w:u w:val="none"/>
                <w:lang w:val="en-US" w:eastAsia="zh-CN"/>
              </w:rPr>
              <w:t>③资产使用是否规范，是否存在未经批准擅自出租、出借资产行为；</w:t>
            </w:r>
            <w:r>
              <w:br/>
            </w:r>
            <w:r>
              <w:rPr>
                <w:rFonts w:hint="eastAsia" w:ascii="宋体" w:hAnsi="宋体" w:eastAsia="宋体" w:cs="宋体"/>
                <w:i w:val="0"/>
                <w:iCs w:val="0"/>
                <w:color w:val="000000"/>
                <w:kern w:val="0"/>
                <w:sz w:val="16"/>
                <w:szCs w:val="16"/>
                <w:u w:val="none"/>
                <w:lang w:val="en-US" w:eastAsia="zh-CN"/>
              </w:rPr>
              <w:t>④资产处置是否规范，是否存在不按要求进行报批或资产不公开处置行为。</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部门（单位）按要求实施绩效监控的项目数量占应实施绩效监控项目总数的比重。部门绩效监控完成率=已完成绩效监控项目数量/部门项目总数*100%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部门（单位）按要求实施绩效自评的项目数量占应实施绩效自评项目总数的比重。部门绩效自评完成率=已完成评价项目数量/部门项目总数*100%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部门重点绩效评价项目评价完成情况。部门绩效评价完成率=已完成评价项目数量/部门重点绩效评价项目数*100%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绩效监控、单位自评、部门绩效评价、财政重点绩效评价结果应用情况。评价结果应用率=评价提出的意见建议采纳数/提出的意见建议总数*100%</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553" w:type="dxa"/>
            <w:vMerge w:val="restart"/>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强化新型墙材推广应用</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巩固城市“禁粘”和乡镇“禁实”成果</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积极发展绿色建材</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城市规划区新型墙材应用比例达到98%；</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建立长效工作机制，防止粘土制品反弹，推动“禁实”向农村延伸；</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鼓励企业加快升级、淘汰落后，并向绿色建材企业发展</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553" w:type="dxa"/>
            <w:vMerge w:val="restart"/>
            <w:tcBorders>
              <w:top w:val="single" w:color="000000" w:sz="4" w:space="0"/>
              <w:left w:val="single" w:color="000000" w:sz="4" w:space="0"/>
              <w:bottom w:val="single" w:color="000000" w:sz="4" w:space="0"/>
              <w:right w:val="nil"/>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1617" w:type="dxa"/>
            <w:vMerge w:val="restart"/>
            <w:tcBorders>
              <w:top w:val="single" w:color="000000" w:sz="4" w:space="0"/>
              <w:left w:val="nil"/>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保障单位工作正常运转</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553" w:type="dxa"/>
            <w:vMerge w:val="continue"/>
            <w:tcBorders>
              <w:top w:val="single" w:color="000000" w:sz="4" w:space="0"/>
              <w:left w:val="single" w:color="000000" w:sz="4" w:space="0"/>
              <w:bottom w:val="single" w:color="000000" w:sz="4" w:space="0"/>
              <w:right w:val="nil"/>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nil"/>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黑体" w:hAnsi="宋体" w:eastAsia="黑体" w:cs="黑体"/>
                <w:i w:val="0"/>
                <w:iCs w:val="0"/>
                <w:color w:val="000000"/>
                <w:sz w:val="18"/>
                <w:szCs w:val="18"/>
                <w:u w:val="none"/>
              </w:rPr>
            </w:pP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53" w:type="dxa"/>
            <w:vMerge w:val="continue"/>
            <w:tcBorders>
              <w:top w:val="single" w:color="000000" w:sz="4" w:space="0"/>
              <w:left w:val="single" w:color="000000" w:sz="4" w:space="0"/>
              <w:bottom w:val="single" w:color="000000" w:sz="4" w:space="0"/>
              <w:right w:val="nil"/>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nil"/>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53" w:type="dxa"/>
            <w:vMerge w:val="continue"/>
            <w:tcBorders>
              <w:top w:val="single" w:color="000000" w:sz="4" w:space="0"/>
              <w:left w:val="single" w:color="000000" w:sz="4" w:space="0"/>
              <w:bottom w:val="single" w:color="000000" w:sz="4" w:space="0"/>
              <w:right w:val="nil"/>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restart"/>
            <w:tcBorders>
              <w:top w:val="single" w:color="000000" w:sz="4" w:space="0"/>
              <w:left w:val="nil"/>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rPr>
                <w:rFonts w:hint="eastAsia" w:ascii="宋体" w:hAnsi="宋体" w:eastAsia="宋体" w:cs="宋体"/>
                <w:i w:val="0"/>
                <w:iCs w:val="0"/>
                <w:color w:val="000000"/>
                <w:sz w:val="16"/>
                <w:szCs w:val="16"/>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53" w:type="dxa"/>
            <w:vMerge w:val="continue"/>
            <w:tcBorders>
              <w:top w:val="single" w:color="000000" w:sz="4" w:space="0"/>
              <w:left w:val="single" w:color="000000" w:sz="4" w:space="0"/>
              <w:bottom w:val="single" w:color="000000" w:sz="4" w:space="0"/>
              <w:right w:val="nil"/>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nil"/>
              <w:bottom w:val="single" w:color="000000" w:sz="4" w:space="0"/>
              <w:right w:val="single" w:color="000000" w:sz="4" w:space="0"/>
            </w:tcBorders>
            <w:vAlign w:val="center"/>
          </w:tcPr>
          <w:p>
            <w:pPr>
              <w:pStyle w:val="7"/>
              <w:widowControl/>
              <w:wordWrap/>
              <w:adjustRightInd/>
              <w:snapToGrid w:val="0"/>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98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345"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left"/>
              <w:rPr>
                <w:rFonts w:hint="eastAsia" w:ascii="宋体" w:hAnsi="宋体" w:eastAsia="宋体" w:cs="宋体"/>
                <w:i w:val="0"/>
                <w:iCs w:val="0"/>
                <w:color w:val="000000"/>
                <w:sz w:val="16"/>
                <w:szCs w:val="16"/>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115" w:type="dxa"/>
            <w:gridSpan w:val="7"/>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673"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97</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7"/>
              <w:widowControl/>
              <w:wordWrap/>
              <w:adjustRightInd/>
              <w:snapToGrid w:val="0"/>
              <w:rPr>
                <w:rFonts w:hint="eastAsia" w:ascii="宋体" w:hAnsi="宋体" w:eastAsia="宋体" w:cs="宋体"/>
                <w:i w:val="0"/>
                <w:iCs w:val="0"/>
                <w:color w:val="000000"/>
                <w:sz w:val="18"/>
                <w:szCs w:val="18"/>
                <w:u w:val="none"/>
              </w:rPr>
            </w:pPr>
          </w:p>
        </w:tc>
      </w:tr>
    </w:tbl>
    <w:p>
      <w:pPr>
        <w:pStyle w:val="7"/>
        <w:sectPr>
          <w:pgSz w:w="16838" w:h="11906" w:orient="landscape"/>
          <w:pgMar w:top="1800" w:right="1440" w:bottom="1800" w:left="1440" w:header="851" w:footer="992" w:gutter="0"/>
          <w:cols w:space="720" w:num="1"/>
          <w:docGrid w:type="lines" w:linePitch="312" w:charSpace="0"/>
        </w:sectPr>
      </w:pPr>
    </w:p>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名词解释</w:t>
      </w:r>
    </w:p>
    <w:p>
      <w:pPr>
        <w:widowControl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宋体" w:hAnsi="宋体" w:eastAsia="仿宋_GB2312"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EwNTM5NzYwMDRjMzkwZTVkZjY2ODkwMGIxNGU0OTUifQ=="/>
  </w:docVars>
  <w:rsids>
    <w:rsidRoot w:val="00172A27"/>
    <w:rsid w:val="42DA146D"/>
    <w:rsid w:val="4346659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宋体" w:hAnsi="宋体" w:eastAsia="仿宋_GB2312" w:cs="黑体"/>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uiPriority w:val="0"/>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5">
    <w:name w:val="Footer"/>
    <w:basedOn w:val="1"/>
    <w:unhideWhenUsed/>
    <w:qFormat/>
    <w:uiPriority w:val="99"/>
    <w:pPr>
      <w:tabs>
        <w:tab w:val="center" w:pos="4153"/>
        <w:tab w:val="right" w:pos="8306"/>
      </w:tabs>
      <w:snapToGrid w:val="0"/>
      <w:jc w:val="left"/>
    </w:pPr>
    <w:rPr>
      <w:sz w:val="18"/>
    </w:rPr>
  </w:style>
  <w:style w:type="paragraph" w:customStyle="1"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_6a2e96c1-f9c3-41f4-8d1b-8639d89bc56d"/>
    <w:qFormat/>
    <w:uiPriority w:val="0"/>
    <w:pPr>
      <w:widowControl w:val="0"/>
      <w:jc w:val="both"/>
    </w:pPr>
    <w:rPr>
      <w:rFonts w:ascii="Calibri" w:hAnsi="Calibri" w:eastAsia="宋体" w:cs="黑体"/>
      <w:kern w:val="2"/>
      <w:sz w:val="21"/>
      <w:szCs w:val="24"/>
      <w:lang w:val="en-US" w:eastAsia="zh-CN" w:bidi="ar-SA"/>
    </w:rPr>
  </w:style>
  <w:style w:type="character" w:customStyle="1" w:styleId="8">
    <w:name w:val="15"/>
    <w:basedOn w:val="2"/>
    <w:qFormat/>
    <w:uiPriority w:val="0"/>
    <w:rPr>
      <w:rFonts w:hint="eastAsia" w:ascii="宋体" w:hAnsi="宋体" w:eastAsia="宋体" w:cs="宋体"/>
      <w:color w:val="000000"/>
      <w:sz w:val="20"/>
      <w:szCs w:val="20"/>
    </w:rPr>
  </w:style>
  <w:style w:type="character" w:customStyle="1" w:styleId="9">
    <w:name w:val="16"/>
    <w:basedOn w:val="2"/>
    <w:qFormat/>
    <w:uiPriority w:val="0"/>
    <w:rPr>
      <w:rFonts w:hint="eastAsia" w:ascii="宋体" w:hAnsi="宋体" w:eastAsia="宋体" w:cs="宋体"/>
      <w:color w:val="000000"/>
      <w:sz w:val="24"/>
      <w:szCs w:val="24"/>
    </w:rPr>
  </w:style>
  <w:style w:type="character" w:customStyle="1" w:styleId="10">
    <w:name w:val="17"/>
    <w:basedOn w:val="2"/>
    <w:qFormat/>
    <w:uiPriority w:val="0"/>
    <w:rPr>
      <w:rFonts w:hint="eastAsia" w:ascii="宋体" w:hAnsi="宋体" w:eastAsia="宋体" w:cs="宋体"/>
      <w:color w:val="000000"/>
      <w:sz w:val="24"/>
      <w:szCs w:val="24"/>
    </w:rPr>
  </w:style>
  <w:style w:type="table" w:customStyle="1" w:styleId="11">
    <w:name w:val="Normal Table_9c5fe4e7-e2e9-48e2-93ca-f734f85d2fd7"/>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2024-10-09T00:40:09Z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DF94CE1DC53D4C5F990C8EECCB3F5EB2_13</vt:lpwstr>
  </property>
</Properties>
</file>