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许昌市城市管理执法支队单位决算</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pPr>
      <w:r>
        <w:rPr>
          <w:rFonts w:hint="eastAsia" w:ascii="黑体" w:hAnsi="宋体" w:eastAsia="黑体" w:cs="黑体"/>
          <w:kern w:val="2"/>
          <w:sz w:val="32"/>
          <w:szCs w:val="32"/>
          <w:lang w:val="en-US" w:eastAsia="zh-CN"/>
        </w:rPr>
        <w:t>二〇二四年九月</w:t>
      </w:r>
    </w:p>
    <w:p>
      <w:pPr>
        <w:keepNext w:val="0"/>
        <w:keepLines w:val="0"/>
        <w:pageBreakBefore w:val="0"/>
        <w:widowControl w:val="0"/>
        <w:kinsoku/>
        <w:overflowPunct/>
        <w:topLinePunct w:val="0"/>
        <w:autoSpaceDN/>
        <w:bidi w:val="0"/>
        <w:adjustRightInd/>
        <w:textAlignment w:val="auto"/>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许昌市城市管理执法支队概况</w:t>
      </w:r>
    </w:p>
    <w:p>
      <w:pPr>
        <w:keepNext w:val="0"/>
        <w:keepLines w:val="0"/>
        <w:pageBreakBefore w:val="0"/>
        <w:widowControl w:val="0"/>
        <w:numPr>
          <w:ilvl w:val="0"/>
          <w:numId w:val="1"/>
        </w:numPr>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pageBreakBefore w:val="0"/>
        <w:widowControl w:val="0"/>
        <w:numPr>
          <w:ilvl w:val="0"/>
          <w:numId w:val="1"/>
        </w:numPr>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许昌市城市管理执法支队概况</w:t>
      </w:r>
    </w:p>
    <w:p>
      <w:pPr>
        <w:keepNext w:val="0"/>
        <w:keepLines w:val="0"/>
        <w:pageBreakBefore w:val="0"/>
        <w:widowControl w:val="0"/>
        <w:kinsoku/>
        <w:overflowPunct/>
        <w:topLinePunct w:val="0"/>
        <w:autoSpaceDN/>
        <w:bidi w:val="0"/>
        <w:adjustRightInd/>
        <w:textAlignment w:val="auto"/>
        <w:rPr>
          <w:rFonts w:hint="eastAsia"/>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firstLine="640" w:firstLineChars="200"/>
        <w:jc w:val="left"/>
        <w:textAlignment w:val="auto"/>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firstLine="640" w:firstLineChars="200"/>
        <w:jc w:val="left"/>
        <w:textAlignment w:val="auto"/>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(一）负责全市城市管理综合执法的统筹协调、组织调度和监督考核，负责市级承担的城市管理综合执法事项、跨区域及重大复杂违法违规案件的查纠；</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(二）住房城乡建设领域法律法规规章规定的全部行政处罚权（含市容市貌管理方面的行政处罚权）；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(三）环境保护管理方面社会噪声污染、建筑施工噪声污染、建筑施工扬尘污染、餐饮服务业油烟污染、露天烧烤污染、城市焚烧沥青塑料垃圾等烟尘和恶臭污染、露天焚烧秸秆落叶等烟尘污染的行政处罚权；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(四）工商管理方面户外公共场所无照经营、违规设置户外广告的行政处罚权；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(五）食品药品监管方面户外公共场所食品销售和餐饮摊点无证经营的行政处罚权。</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firstLine="640" w:firstLineChars="200"/>
        <w:jc w:val="left"/>
        <w:textAlignment w:val="auto"/>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城市管理执法支队内设机构11个,包括：市容执法一大队、市容执法二大队、市容执法三大队、城市空间管理执法大队、住房建设执法大队、城乡规划执法大队、固体废弃物与园林绿化执法大队和综合科、法制审核科、督查应急科、计财装备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从决算单位构成看，许昌市城市管理执法支队单位决算包括：本级决算（1个）。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许昌市城市管理执法支队</w:t>
      </w: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p>
    <w:p>
      <w:pPr>
        <w:keepNext w:val="0"/>
        <w:keepLines w:val="0"/>
        <w:pageBreakBefore w:val="0"/>
        <w:widowControl w:val="0"/>
        <w:kinsoku/>
        <w:overflowPunct/>
        <w:topLinePunct w:val="0"/>
        <w:autoSpaceDN/>
        <w:bidi w:val="0"/>
        <w:adjustRightInd/>
        <w:textAlignment w:val="auto"/>
        <w:rPr>
          <w:rFonts w:hint="default"/>
          <w:lang w:val="en-US" w:eastAsia="zh-CN"/>
        </w:rPr>
      </w:pPr>
    </w:p>
    <w:p>
      <w:pPr>
        <w:keepNext w:val="0"/>
        <w:keepLines w:val="0"/>
        <w:pageBreakBefore w:val="0"/>
        <w:widowControl w:val="0"/>
        <w:kinsoku/>
        <w:overflowPunct/>
        <w:topLinePunct w:val="0"/>
        <w:autoSpaceDN/>
        <w:bidi w:val="0"/>
        <w:adjustRightInd/>
        <w:textAlignment w:val="auto"/>
        <w:rPr>
          <w:rFonts w:hint="eastAsia"/>
          <w:lang w:val="en-US" w:eastAsia="zh-CN"/>
        </w:rPr>
      </w:pPr>
      <w:r>
        <w:rPr>
          <w:rFonts w:hint="eastAsia"/>
          <w:lang w:val="en-US" w:eastAsia="zh-CN"/>
        </w:rPr>
        <w:t xml:space="preserve"> </w:t>
      </w:r>
    </w:p>
    <w:p>
      <w:pPr>
        <w:keepNext w:val="0"/>
        <w:keepLines w:val="0"/>
        <w:pageBreakBefore w:val="0"/>
        <w:widowControl w:val="0"/>
        <w:kinsoku/>
        <w:overflowPunct/>
        <w:topLinePunct w:val="0"/>
        <w:autoSpaceDN/>
        <w:bidi w:val="0"/>
        <w:adjustRightInd/>
        <w:textAlignment w:val="auto"/>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textAlignment w:val="auto"/>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textAlignment w:val="auto"/>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textAlignment w:val="auto"/>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textAlignment w:val="auto"/>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textAlignment w:val="auto"/>
        <w:rPr>
          <w:rFonts w:hint="eastAsia"/>
        </w:rPr>
      </w:pPr>
      <w:r>
        <w:rPr>
          <w:rFonts w:hint="eastAsia"/>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收入</w:t>
            </w:r>
          </w:p>
        </w:tc>
        <w:tc>
          <w:tcPr>
            <w:tcW w:w="41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项目</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行次</w:t>
            </w:r>
          </w:p>
        </w:tc>
        <w:tc>
          <w:tcPr>
            <w:tcW w:w="222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金额</w:t>
            </w:r>
          </w:p>
        </w:tc>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项目</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行次</w:t>
            </w:r>
          </w:p>
        </w:tc>
        <w:tc>
          <w:tcPr>
            <w:tcW w:w="221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栏次</w:t>
            </w:r>
          </w:p>
        </w:tc>
        <w:tc>
          <w:tcPr>
            <w:tcW w:w="600" w:type="dxa"/>
            <w:vAlign w:val="center"/>
          </w:tcPr>
          <w:p>
            <w:pPr>
              <w:keepNext w:val="0"/>
              <w:keepLines w:val="0"/>
              <w:pageBreakBefore w:val="0"/>
              <w:widowControl w:val="0"/>
              <w:kinsoku/>
              <w:overflowPunct/>
              <w:topLinePunct w:val="0"/>
              <w:autoSpaceDN/>
              <w:bidi w:val="0"/>
              <w:adjustRightInd/>
              <w:textAlignment w:val="auto"/>
            </w:pPr>
          </w:p>
        </w:tc>
        <w:tc>
          <w:tcPr>
            <w:tcW w:w="222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w:t>
            </w:r>
          </w:p>
        </w:tc>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栏次</w:t>
            </w:r>
          </w:p>
        </w:tc>
        <w:tc>
          <w:tcPr>
            <w:tcW w:w="600" w:type="dxa"/>
            <w:vAlign w:val="center"/>
          </w:tcPr>
          <w:p>
            <w:pPr>
              <w:keepNext w:val="0"/>
              <w:keepLines w:val="0"/>
              <w:pageBreakBefore w:val="0"/>
              <w:widowControl w:val="0"/>
              <w:kinsoku/>
              <w:overflowPunct/>
              <w:topLinePunct w:val="0"/>
              <w:autoSpaceDN/>
              <w:bidi w:val="0"/>
              <w:adjustRightInd/>
              <w:textAlignment w:val="auto"/>
            </w:pPr>
          </w:p>
        </w:tc>
        <w:tc>
          <w:tcPr>
            <w:tcW w:w="221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一、一般公共预算财政拨款收入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2,721.20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一、一般公共服务支出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32</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1,836.92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二、政府性基金预算财政拨款收入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二、外交支出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33</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三、国有资本经营预算财政拨款收入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三、国防支出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34</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四、上级补助收入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四、公共安全支出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35</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五、事业收入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五、教育支出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36</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六、经营收入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6</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六、科学技术支出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37</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七、附属单位上缴收入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7</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七、文化旅游体育与传媒支出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38</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八、其他收入</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8</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0.54</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八、社会保障和就业支出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39</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410.65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9</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九、卫生健康支出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40</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120.88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10</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十、节能环保支出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41</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11</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十一、城乡社区支出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42</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240.15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12</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十二、农林水支出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43</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13</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十三、交通运输支出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44</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14</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十四、资源勘探工业信息等支出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45</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15</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十五、商业服务业等支出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46</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16</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十六、金融支出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47</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17</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十七、援助其他地区支出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48</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18</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十八、自然资源海洋气象等支出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49</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19</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十九、住房保障支出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50</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112.58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20</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二十、粮油物资储备支出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51</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21</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二十一、国有资本经营预算支出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52</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22</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二十二、灾害防治及应急管理支出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53</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23</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二十三、其他支出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54</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24</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二十四、债务还本支出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55</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25</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二十五、债务付息支出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56</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26</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二十六、抗疫特别国债安排的支出</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57</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21"/>
              </w:rPr>
              <w:t>本年收入合计</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27</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2,721.73</w:t>
            </w:r>
          </w:p>
        </w:tc>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21"/>
              </w:rPr>
              <w:t>本年支出合计</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58</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2,730.10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使用非财政拨款结余和专用结余</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28</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结余分配</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59</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年初结转和结余</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29</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9.33</w:t>
            </w:r>
          </w:p>
        </w:tc>
        <w:tc>
          <w:tcPr>
            <w:tcW w:w="41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1"/>
              </w:rPr>
              <w:t>年末结转和结余</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60</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0.43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30</w:t>
            </w:r>
          </w:p>
        </w:tc>
        <w:tc>
          <w:tcPr>
            <w:tcW w:w="2220" w:type="dxa"/>
            <w:vAlign w:val="center"/>
          </w:tcPr>
          <w:p>
            <w:pPr>
              <w:keepNext w:val="0"/>
              <w:keepLines w:val="0"/>
              <w:pageBreakBefore w:val="0"/>
              <w:widowControl w:val="0"/>
              <w:kinsoku/>
              <w:overflowPunct/>
              <w:topLinePunct w:val="0"/>
              <w:autoSpaceDN/>
              <w:bidi w:val="0"/>
              <w:adjustRightInd/>
              <w:textAlignment w:val="auto"/>
            </w:pPr>
          </w:p>
        </w:tc>
        <w:tc>
          <w:tcPr>
            <w:tcW w:w="4160" w:type="dxa"/>
            <w:vAlign w:val="center"/>
          </w:tcPr>
          <w:p>
            <w:pPr>
              <w:keepNext w:val="0"/>
              <w:keepLines w:val="0"/>
              <w:pageBreakBefore w:val="0"/>
              <w:widowControl w:val="0"/>
              <w:kinsoku/>
              <w:overflowPunct/>
              <w:topLinePunct w:val="0"/>
              <w:autoSpaceDN/>
              <w:bidi w:val="0"/>
              <w:adjustRightInd/>
              <w:textAlignment w:val="auto"/>
            </w:pP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61</w:t>
            </w:r>
          </w:p>
        </w:tc>
        <w:tc>
          <w:tcPr>
            <w:tcW w:w="221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21"/>
              </w:rPr>
              <w:t>总计</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31</w:t>
            </w:r>
          </w:p>
        </w:tc>
        <w:tc>
          <w:tcPr>
            <w:tcW w:w="22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2,731.07</w:t>
            </w:r>
          </w:p>
        </w:tc>
        <w:tc>
          <w:tcPr>
            <w:tcW w:w="4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21"/>
              </w:rPr>
              <w:t>总计</w:t>
            </w:r>
          </w:p>
        </w:tc>
        <w:tc>
          <w:tcPr>
            <w:tcW w:w="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1"/>
              </w:rPr>
              <w:t>62</w:t>
            </w:r>
          </w:p>
        </w:tc>
        <w:tc>
          <w:tcPr>
            <w:tcW w:w="221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1"/>
              </w:rPr>
              <w:t>2,731.07</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项目</w:t>
            </w:r>
          </w:p>
        </w:tc>
        <w:tc>
          <w:tcPr>
            <w:tcW w:w="144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本年收入合计</w:t>
            </w:r>
          </w:p>
        </w:tc>
        <w:tc>
          <w:tcPr>
            <w:tcW w:w="144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财政拨款收入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上级补助收入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事业收入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经营收入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附属单位上缴收入</w:t>
            </w:r>
          </w:p>
        </w:tc>
        <w:tc>
          <w:tcPr>
            <w:tcW w:w="139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科目代码</w:t>
            </w:r>
          </w:p>
        </w:tc>
        <w:tc>
          <w:tcPr>
            <w:tcW w:w="314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科目名称</w:t>
            </w: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39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1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39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1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4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39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栏次</w:t>
            </w:r>
          </w:p>
        </w:tc>
        <w:tc>
          <w:tcPr>
            <w:tcW w:w="144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1</w:t>
            </w:r>
          </w:p>
        </w:tc>
        <w:tc>
          <w:tcPr>
            <w:tcW w:w="144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2</w:t>
            </w:r>
          </w:p>
        </w:tc>
        <w:tc>
          <w:tcPr>
            <w:tcW w:w="144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3</w:t>
            </w:r>
          </w:p>
        </w:tc>
        <w:tc>
          <w:tcPr>
            <w:tcW w:w="144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4</w:t>
            </w:r>
          </w:p>
        </w:tc>
        <w:tc>
          <w:tcPr>
            <w:tcW w:w="144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5</w:t>
            </w:r>
          </w:p>
        </w:tc>
        <w:tc>
          <w:tcPr>
            <w:tcW w:w="144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6</w:t>
            </w:r>
          </w:p>
        </w:tc>
        <w:tc>
          <w:tcPr>
            <w:tcW w:w="139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合计</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7"/>
              </w:rPr>
              <w:t>2,721.73</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7"/>
              </w:rPr>
              <w:t>2,721.20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7"/>
              </w:rPr>
              <w:t>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一般公共服务支出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1,836.92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1,836.92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20101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人大事务</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1,720.02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1,720.02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2010101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行政运行</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1,720.02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1,720.02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20129</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群众团体事务</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10.23</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10.23</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2012906</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工会事务</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10.23</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10.23</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20199</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其他一般公共服务支出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106.67</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106.67</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2019999</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其他一般公共服务支出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106.67</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106.67</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208</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社会保障和就业支出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410.65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410.65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20805</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行政事业单位养老支出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410.65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410.65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2080501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行政单位离退休</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294.85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294.85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2080505</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机关事业单位基本养老保险缴费支出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115.80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115.80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210</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卫生健康支出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120.88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120.88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21011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行政事业单位医疗</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120.88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120.88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2101101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行政单位医疗</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54.55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54.55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2101102</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事业单位医疗</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2.71</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2.71</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2101103</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公务员医疗补助</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63.62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63.62</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212</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城乡社区支出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240.69</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240.15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21201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城乡社区管理事务</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240.69</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240.15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2120101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行政运行</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164.45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163.91</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2120102</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一般行政管理事务</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76.25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76.25</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221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住房保障支出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112.58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112.58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22102</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住房改革支出</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112.58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112.58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2210201</w:t>
            </w:r>
          </w:p>
        </w:tc>
        <w:tc>
          <w:tcPr>
            <w:tcW w:w="314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7"/>
              </w:rPr>
              <w:t>住房公积金</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112.58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112.58</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项目</w:t>
            </w:r>
          </w:p>
        </w:tc>
        <w:tc>
          <w:tcPr>
            <w:tcW w:w="16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本年支出合计</w:t>
            </w:r>
          </w:p>
        </w:tc>
        <w:tc>
          <w:tcPr>
            <w:tcW w:w="16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基本支出</w:t>
            </w:r>
          </w:p>
        </w:tc>
        <w:tc>
          <w:tcPr>
            <w:tcW w:w="16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项目支出</w:t>
            </w:r>
          </w:p>
        </w:tc>
        <w:tc>
          <w:tcPr>
            <w:tcW w:w="16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上缴上级支出</w:t>
            </w:r>
          </w:p>
        </w:tc>
        <w:tc>
          <w:tcPr>
            <w:tcW w:w="16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经营支出</w:t>
            </w:r>
          </w:p>
        </w:tc>
        <w:tc>
          <w:tcPr>
            <w:tcW w:w="157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科目代码</w:t>
            </w:r>
          </w:p>
        </w:tc>
        <w:tc>
          <w:tcPr>
            <w:tcW w:w="348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科目名称</w:t>
            </w: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7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48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7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48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6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7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栏次</w:t>
            </w:r>
          </w:p>
        </w:tc>
        <w:tc>
          <w:tcPr>
            <w:tcW w:w="1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1</w:t>
            </w:r>
          </w:p>
        </w:tc>
        <w:tc>
          <w:tcPr>
            <w:tcW w:w="1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2</w:t>
            </w:r>
          </w:p>
        </w:tc>
        <w:tc>
          <w:tcPr>
            <w:tcW w:w="1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3</w:t>
            </w:r>
          </w:p>
        </w:tc>
        <w:tc>
          <w:tcPr>
            <w:tcW w:w="1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4</w:t>
            </w:r>
          </w:p>
        </w:tc>
        <w:tc>
          <w:tcPr>
            <w:tcW w:w="16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5</w:t>
            </w:r>
          </w:p>
        </w:tc>
        <w:tc>
          <w:tcPr>
            <w:tcW w:w="157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9"/>
              </w:rPr>
              <w:t>合计</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9"/>
              </w:rPr>
              <w:t>2,730.10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9"/>
              </w:rPr>
              <w:t>2,644.95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9"/>
              </w:rPr>
              <w:t>85.15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一般公共服务支出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1,836.92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1,836.92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20101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人大事务</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1,720.02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1,720.02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2010101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行政运行</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1,720.02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1,720.02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20129</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群众团体事务</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10.23</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10.23</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2012906</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工会事务</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10.23</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10.23</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20199</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其他一般公共服务支出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106.67</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106.67</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2019999</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其他一般公共服务支出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106.67</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106.67</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208</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社会保障和就业支出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410.65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410.65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20805</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行政事业单位养老支出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410.65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410.65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2080501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行政单位离退休</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294.85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294.85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2080505</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机关事业单位基本养老保险缴费支出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115.80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115.80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210</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卫生健康支出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120.88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120.88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21011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行政事业单位医疗</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120.88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120.88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2101101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行政单位医疗</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54.55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54.55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2101102</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事业单位医疗</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2.71</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2.71</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2101103</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公务员医疗补助</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63.62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63.62</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节能环保支出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8.90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8.90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21103</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污染防治</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8.90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8.90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2110301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大气</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8.90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8.90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212</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城乡社区支出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240.15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163.91</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76.25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21201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城乡社区管理事务</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240.15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163.91</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76.25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2120101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行政运行</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163.91</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163.91</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2120102</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一般行政管理事务</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76.25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76.25</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221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住房保障支出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112.58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112.58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22102</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住房改革支出</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112.58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112.58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2210201</w:t>
            </w:r>
          </w:p>
        </w:tc>
        <w:tc>
          <w:tcPr>
            <w:tcW w:w="34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9"/>
              </w:rPr>
              <w:t>住房公积金</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112.58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112.58</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9"/>
              </w:rPr>
              <w:t>0</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keepNext w:val="0"/>
        <w:keepLines w:val="0"/>
        <w:pageBreakBefore w:val="0"/>
        <w:widowControl w:val="0"/>
        <w:kinsoku/>
        <w:overflowPunct/>
        <w:topLinePunct w:val="0"/>
        <w:autoSpaceDN/>
        <w:bidi w:val="0"/>
        <w:adjustRightInd/>
        <w:textAlignment w:val="auto"/>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收     入</w:t>
            </w:r>
          </w:p>
        </w:tc>
        <w:tc>
          <w:tcPr>
            <w:tcW w:w="3080" w:type="dxa"/>
            <w:gridSpan w:val="6"/>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项目</w:t>
            </w:r>
          </w:p>
        </w:tc>
        <w:tc>
          <w:tcPr>
            <w:tcW w:w="48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行次</w:t>
            </w:r>
          </w:p>
        </w:tc>
        <w:tc>
          <w:tcPr>
            <w:tcW w:w="142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金额</w:t>
            </w:r>
          </w:p>
        </w:tc>
        <w:tc>
          <w:tcPr>
            <w:tcW w:w="308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项目</w:t>
            </w:r>
          </w:p>
        </w:tc>
        <w:tc>
          <w:tcPr>
            <w:tcW w:w="48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行次</w:t>
            </w:r>
          </w:p>
        </w:tc>
        <w:tc>
          <w:tcPr>
            <w:tcW w:w="142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合计</w:t>
            </w:r>
          </w:p>
        </w:tc>
        <w:tc>
          <w:tcPr>
            <w:tcW w:w="142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一般公共预算财政拨款</w:t>
            </w:r>
          </w:p>
        </w:tc>
        <w:tc>
          <w:tcPr>
            <w:tcW w:w="142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政府性基金预算财政拨款</w:t>
            </w:r>
          </w:p>
        </w:tc>
        <w:tc>
          <w:tcPr>
            <w:tcW w:w="147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48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2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080" w:type="dxa"/>
            <w:vMerge w:val="continue"/>
            <w:vAlign w:val="center"/>
          </w:tcPr>
          <w:p>
            <w:pPr>
              <w:keepNext w:val="0"/>
              <w:keepLines w:val="0"/>
              <w:pageBreakBefore w:val="0"/>
              <w:widowControl w:val="0"/>
              <w:kinsoku/>
              <w:overflowPunct/>
              <w:topLinePunct w:val="0"/>
              <w:autoSpaceDN/>
              <w:bidi w:val="0"/>
              <w:adjustRightInd/>
              <w:textAlignment w:val="auto"/>
            </w:pPr>
          </w:p>
        </w:tc>
        <w:tc>
          <w:tcPr>
            <w:tcW w:w="48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2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2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2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47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栏次</w:t>
            </w:r>
          </w:p>
        </w:tc>
        <w:tc>
          <w:tcPr>
            <w:tcW w:w="48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w:t>
            </w:r>
          </w:p>
        </w:tc>
        <w:tc>
          <w:tcPr>
            <w:tcW w:w="30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栏次</w:t>
            </w:r>
          </w:p>
        </w:tc>
        <w:tc>
          <w:tcPr>
            <w:tcW w:w="48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w:t>
            </w:r>
          </w:p>
        </w:tc>
        <w:tc>
          <w:tcPr>
            <w:tcW w:w="142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w:t>
            </w:r>
          </w:p>
        </w:tc>
        <w:tc>
          <w:tcPr>
            <w:tcW w:w="142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w:t>
            </w:r>
          </w:p>
        </w:tc>
        <w:tc>
          <w:tcPr>
            <w:tcW w:w="147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一、一般公共预算财政拨款</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2,721.20</w:t>
            </w: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一、一般公共服务支出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33</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1,836.92</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1,836.92</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二、政府性基金预算财政拨款</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二、外交支出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34</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三、国有资本经营预算财政拨款</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三、国防支出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35</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四、公共安全支出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36</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五、教育支出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37</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6</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六、科学技术支出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7</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七、文化旅游体育与传媒支出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39</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8</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八、社会保障和就业支出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410.65</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410.65</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9</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九、卫生健康支出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41</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120.88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120.88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10</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十、节能环保支出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42</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8.90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8.90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11</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十一、城乡社区支出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43</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240.15</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240.15</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12</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十二、农林水支出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44</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13</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十三、交通运输支出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45</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14</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十四、资源勘探工业信息等支出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46</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15</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十五、商业服务业等支出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47</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16</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十六、金融支出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17</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十七、援助其他地区支出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49</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18</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十八、自然资源海洋气象等支出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19</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十九、住房保障支出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51</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112.58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112.58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20</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二十、粮油物资储备支出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52</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21</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二十一、国有资本经营预算支出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53</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22</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二十二、灾害防治及应急管理支出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54</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23</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二十三、其他支出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55</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24</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二十四、债务还本支出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56</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25</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二十五、债务付息支出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57</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26</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二十六、抗疫特别国债安排的支出</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18"/>
              </w:rPr>
              <w:t>本年收入合计</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27</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2,721.20</w:t>
            </w:r>
          </w:p>
        </w:tc>
        <w:tc>
          <w:tcPr>
            <w:tcW w:w="30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18"/>
              </w:rPr>
              <w:t>本年支出合计</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59</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2,730.10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2,730.10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年初财政拨款结转和结余</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28</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8.90</w:t>
            </w:r>
          </w:p>
        </w:tc>
        <w:tc>
          <w:tcPr>
            <w:tcW w:w="30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年末财政拨款结转和结余</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60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 xml:space="preserve">  一般公共预算财政拨款</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29</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8.90</w:t>
            </w:r>
          </w:p>
        </w:tc>
        <w:tc>
          <w:tcPr>
            <w:tcW w:w="308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61</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7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 xml:space="preserve">  政府性基金预算财政拨款</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62</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7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8"/>
              </w:rPr>
              <w:t xml:space="preserve">  国有资本经营预算财政拨款</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31</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textAlignment w:val="auto"/>
            </w:pP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63</w:t>
            </w: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20" w:type="dxa"/>
            <w:vAlign w:val="center"/>
          </w:tcPr>
          <w:p>
            <w:pPr>
              <w:keepNext w:val="0"/>
              <w:keepLines w:val="0"/>
              <w:pageBreakBefore w:val="0"/>
              <w:widowControl w:val="0"/>
              <w:kinsoku/>
              <w:overflowPunct/>
              <w:topLinePunct w:val="0"/>
              <w:autoSpaceDN/>
              <w:bidi w:val="0"/>
              <w:adjustRightInd/>
              <w:textAlignment w:val="auto"/>
            </w:pPr>
          </w:p>
        </w:tc>
        <w:tc>
          <w:tcPr>
            <w:tcW w:w="147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18"/>
              </w:rPr>
              <w:t>总计</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32</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2,730.10</w:t>
            </w:r>
          </w:p>
        </w:tc>
        <w:tc>
          <w:tcPr>
            <w:tcW w:w="30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i w:val="0"/>
                <w:color w:val="000000"/>
                <w:sz w:val="18"/>
              </w:rPr>
              <w:t>总计</w:t>
            </w:r>
          </w:p>
        </w:tc>
        <w:tc>
          <w:tcPr>
            <w:tcW w:w="48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8"/>
              </w:rPr>
              <w:t>64</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2,730.10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2,730.10</w:t>
            </w:r>
          </w:p>
        </w:tc>
        <w:tc>
          <w:tcPr>
            <w:tcW w:w="142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8"/>
              </w:rPr>
              <w:t>0</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项目</w:t>
            </w:r>
          </w:p>
        </w:tc>
        <w:tc>
          <w:tcPr>
            <w:tcW w:w="270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科目代码</w:t>
            </w:r>
          </w:p>
        </w:tc>
        <w:tc>
          <w:tcPr>
            <w:tcW w:w="47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科目名称</w:t>
            </w:r>
          </w:p>
        </w:tc>
        <w:tc>
          <w:tcPr>
            <w:tcW w:w="27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小计</w:t>
            </w:r>
          </w:p>
        </w:tc>
        <w:tc>
          <w:tcPr>
            <w:tcW w:w="27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基本支出</w:t>
            </w:r>
          </w:p>
        </w:tc>
        <w:tc>
          <w:tcPr>
            <w:tcW w:w="265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47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7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7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65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47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7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7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65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栏次</w:t>
            </w:r>
          </w:p>
        </w:tc>
        <w:tc>
          <w:tcPr>
            <w:tcW w:w="27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1</w:t>
            </w:r>
          </w:p>
        </w:tc>
        <w:tc>
          <w:tcPr>
            <w:tcW w:w="270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2</w:t>
            </w:r>
          </w:p>
        </w:tc>
        <w:tc>
          <w:tcPr>
            <w:tcW w:w="265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5"/>
              </w:rPr>
              <w:t>合计</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25"/>
              </w:rPr>
              <w:t>2,730.10</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25"/>
              </w:rPr>
              <w:t>2,644.95</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i w:val="0"/>
                <w:color w:val="000000"/>
                <w:sz w:val="25"/>
              </w:rPr>
              <w:t>85.15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一般公共服务支出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1,836.92</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1,836.92</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20101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人大事务</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1,720.02</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1,720.02</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2010101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行政运行</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1,720.02</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1,720.02</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20129</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群众团体事务</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10.23</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10.23</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2012906</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工会事务</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10.23</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10.23</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20199</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其他一般公共服务支出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106.67</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106.67</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2019999</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其他一般公共服务支出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106.67</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106.67</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208</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社会保障和就业支出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410.65</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410.65</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20805</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行政事业单位养老支出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410.65</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410.65</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2080501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行政单位离退休</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294.85</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294.85</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2080505</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机关事业单位基本养老保险缴费支出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115.80</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115.80</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210</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卫生健康支出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120.88</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120.88</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21011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行政事业单位医疗</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120.88</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120.88</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2101101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行政单位医疗</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54.55</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54.55</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2101102</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事业单位医疗</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2.71</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2.71</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2101103</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公务员医疗补助</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63.62</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63.62</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节能环保支出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8.90</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21103</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污染防治</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8.90</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2110301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大气</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8.90</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212</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城乡社区支出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240.15</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163.91</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76.25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21201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城乡社区管理事务</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240.15</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163.91</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76.25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2120101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行政运行</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163.91</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163.91</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2120102</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一般行政管理事务</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76.25</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76.25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221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住房保障支出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112.58</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112.58</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22102</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住房改革支出</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112.58</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112.58</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2210201</w:t>
            </w:r>
          </w:p>
        </w:tc>
        <w:tc>
          <w:tcPr>
            <w:tcW w:w="47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25"/>
              </w:rPr>
              <w:t>住房公积金</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112.58</w:t>
            </w:r>
          </w:p>
        </w:tc>
        <w:tc>
          <w:tcPr>
            <w:tcW w:w="270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112.58</w:t>
            </w:r>
          </w:p>
        </w:tc>
        <w:tc>
          <w:tcPr>
            <w:tcW w:w="26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25"/>
              </w:rPr>
              <w:t>0</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人员经费</w:t>
            </w:r>
          </w:p>
        </w:tc>
        <w:tc>
          <w:tcPr>
            <w:tcW w:w="560" w:type="dxa"/>
            <w:gridSpan w:val="6"/>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科目代码</w:t>
            </w:r>
          </w:p>
        </w:tc>
        <w:tc>
          <w:tcPr>
            <w:tcW w:w="268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科目名称</w:t>
            </w:r>
          </w:p>
        </w:tc>
        <w:tc>
          <w:tcPr>
            <w:tcW w:w="13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决算数</w:t>
            </w:r>
          </w:p>
        </w:tc>
        <w:tc>
          <w:tcPr>
            <w:tcW w:w="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科目代码</w:t>
            </w:r>
          </w:p>
        </w:tc>
        <w:tc>
          <w:tcPr>
            <w:tcW w:w="21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科目名称</w:t>
            </w:r>
          </w:p>
        </w:tc>
        <w:tc>
          <w:tcPr>
            <w:tcW w:w="13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决算数</w:t>
            </w:r>
          </w:p>
        </w:tc>
        <w:tc>
          <w:tcPr>
            <w:tcW w:w="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科目代码</w:t>
            </w:r>
          </w:p>
        </w:tc>
        <w:tc>
          <w:tcPr>
            <w:tcW w:w="342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科目名称</w:t>
            </w:r>
          </w:p>
        </w:tc>
        <w:tc>
          <w:tcPr>
            <w:tcW w:w="135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68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3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1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3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42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35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工资福利支出</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2,179.97</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商品和服务支出</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169.99</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307</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债务利息及费用支出</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30101</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基本工资</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480.42</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30201</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办公费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10.25</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30701</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国内债务付息</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30102</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津贴补贴</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646.77</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30202</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印刷费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5.03</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30702</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国外债务付息</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30103</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奖金</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702.29</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30203</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咨询费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2.35</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资本性支出</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30106</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伙食补助费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30204</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手续费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31001</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房屋建筑物购建</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30107</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绩效工资</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30205</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水费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0.11</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31002</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办公设备购置</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30108</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机关事业单位基本养老保险缴费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115.80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30206</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电费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3.38</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31003</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专用设备购置</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30109</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职业年金缴费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30207</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邮电费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2.51</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31005</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基础设施建设</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30110</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职工基本医疗保险缴费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57.26</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30208</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取暖费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31006</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大型修缮</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30111</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公务员医疗补助缴费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63.62</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30209</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物业管理费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1.56</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31007</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信息网络及软件购置更新</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30112</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其他社会保障缴费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1.23</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30211</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差旅费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4.76</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31008</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物资储备</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30113</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住房公积金</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112.58</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30212</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因公出国（境）费用</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31009</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土地补偿</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30114</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医疗费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30213</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维修（护）费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12.51</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31010</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安置补助</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30199</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其他工资福利支出</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30214</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租赁费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6.00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31011</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地上附着物和青苗补偿</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对个人和家庭的补助</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294.85</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30215</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会议费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0.08</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31012</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拆迁补偿</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30301</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离休费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30216</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培训费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0.45</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31013</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公务用车购置</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30302</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退休费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294.85</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30217</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公务接待费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0.71</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31019</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其他交通工具购置</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30303</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退职（役）费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30218</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专用材料费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31021</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文物和陈列品购置</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30304</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抚恤金</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30224</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被装购置费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31022</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无形资产购置</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30305</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生活补助</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30225</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专用燃料费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31099</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其他资本性支出</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30306</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救济费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30226</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劳务费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0.34</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399</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其他支出</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30307</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医疗费补助</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30227</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委托业务费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2.08</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39907</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国家赔偿费用支出</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30308</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助学金</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30228</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工会经费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10.23</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39908</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对民间非营利组织和群众性自治组织补贴</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30309</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奖励金</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30229</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福利费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13.98</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39909</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经常性赠与</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30310</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个人农业生产补贴</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30231</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公务用车运行维护费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19.86</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39910</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资本性赠与</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30311</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代缴社会保险费</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30239</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其他交通费用</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73.67</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39999</w:t>
            </w:r>
          </w:p>
        </w:tc>
        <w:tc>
          <w:tcPr>
            <w:tcW w:w="342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其他支出</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30399</w:t>
            </w:r>
          </w:p>
        </w:tc>
        <w:tc>
          <w:tcPr>
            <w:tcW w:w="268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其他对个人和家庭的补助</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30240</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税金及附加费用</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textAlignment w:val="auto"/>
            </w:pPr>
          </w:p>
        </w:tc>
        <w:tc>
          <w:tcPr>
            <w:tcW w:w="3420" w:type="dxa"/>
            <w:vAlign w:val="center"/>
          </w:tcPr>
          <w:p>
            <w:pPr>
              <w:keepNext w:val="0"/>
              <w:keepLines w:val="0"/>
              <w:pageBreakBefore w:val="0"/>
              <w:widowControl w:val="0"/>
              <w:kinsoku/>
              <w:overflowPunct/>
              <w:topLinePunct w:val="0"/>
              <w:autoSpaceDN/>
              <w:bidi w:val="0"/>
              <w:adjustRightInd/>
              <w:textAlignment w:val="auto"/>
            </w:pPr>
          </w:p>
        </w:tc>
        <w:tc>
          <w:tcPr>
            <w:tcW w:w="135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textAlignment w:val="auto"/>
            </w:pPr>
          </w:p>
        </w:tc>
        <w:tc>
          <w:tcPr>
            <w:tcW w:w="2680" w:type="dxa"/>
            <w:vAlign w:val="center"/>
          </w:tcPr>
          <w:p>
            <w:pPr>
              <w:keepNext w:val="0"/>
              <w:keepLines w:val="0"/>
              <w:pageBreakBefore w:val="0"/>
              <w:widowControl w:val="0"/>
              <w:kinsoku/>
              <w:overflowPunct/>
              <w:topLinePunct w:val="0"/>
              <w:autoSpaceDN/>
              <w:bidi w:val="0"/>
              <w:adjustRightInd/>
              <w:textAlignment w:val="auto"/>
            </w:pPr>
          </w:p>
        </w:tc>
        <w:tc>
          <w:tcPr>
            <w:tcW w:w="1360" w:type="dxa"/>
            <w:vAlign w:val="center"/>
          </w:tcPr>
          <w:p>
            <w:pPr>
              <w:keepNext w:val="0"/>
              <w:keepLines w:val="0"/>
              <w:pageBreakBefore w:val="0"/>
              <w:widowControl w:val="0"/>
              <w:kinsoku/>
              <w:overflowPunct/>
              <w:topLinePunct w:val="0"/>
              <w:autoSpaceDN/>
              <w:bidi w:val="0"/>
              <w:adjustRightInd/>
              <w:textAlignment w:val="auto"/>
            </w:pPr>
          </w:p>
        </w:tc>
        <w:tc>
          <w:tcPr>
            <w:tcW w:w="56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30299</w:t>
            </w:r>
          </w:p>
        </w:tc>
        <w:tc>
          <w:tcPr>
            <w:tcW w:w="2100" w:type="dxa"/>
            <w:vAlign w:val="center"/>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b w:val="0"/>
                <w:i w:val="0"/>
                <w:color w:val="000000"/>
                <w:sz w:val="16"/>
              </w:rPr>
              <w:t xml:space="preserve">  其他商品和服务支出</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0.12</w:t>
            </w:r>
          </w:p>
        </w:tc>
        <w:tc>
          <w:tcPr>
            <w:tcW w:w="560" w:type="dxa"/>
            <w:vAlign w:val="center"/>
          </w:tcPr>
          <w:p>
            <w:pPr>
              <w:keepNext w:val="0"/>
              <w:keepLines w:val="0"/>
              <w:pageBreakBefore w:val="0"/>
              <w:widowControl w:val="0"/>
              <w:kinsoku/>
              <w:overflowPunct/>
              <w:topLinePunct w:val="0"/>
              <w:autoSpaceDN/>
              <w:bidi w:val="0"/>
              <w:adjustRightInd/>
              <w:textAlignment w:val="auto"/>
            </w:pPr>
          </w:p>
        </w:tc>
        <w:tc>
          <w:tcPr>
            <w:tcW w:w="3420" w:type="dxa"/>
            <w:vAlign w:val="center"/>
          </w:tcPr>
          <w:p>
            <w:pPr>
              <w:keepNext w:val="0"/>
              <w:keepLines w:val="0"/>
              <w:pageBreakBefore w:val="0"/>
              <w:widowControl w:val="0"/>
              <w:kinsoku/>
              <w:overflowPunct/>
              <w:topLinePunct w:val="0"/>
              <w:autoSpaceDN/>
              <w:bidi w:val="0"/>
              <w:adjustRightInd/>
              <w:textAlignment w:val="auto"/>
            </w:pPr>
          </w:p>
        </w:tc>
        <w:tc>
          <w:tcPr>
            <w:tcW w:w="135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人员经费合计</w:t>
            </w:r>
          </w:p>
        </w:tc>
        <w:tc>
          <w:tcPr>
            <w:tcW w:w="13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2,474.82</w:t>
            </w:r>
          </w:p>
        </w:tc>
        <w:tc>
          <w:tcPr>
            <w:tcW w:w="560" w:type="dxa"/>
            <w:gridSpan w:val="5"/>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6"/>
              </w:rPr>
              <w:t>公用经费合计</w:t>
            </w:r>
          </w:p>
        </w:tc>
        <w:tc>
          <w:tcPr>
            <w:tcW w:w="135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6"/>
              </w:rPr>
              <w:t>170.13</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keepNext w:val="0"/>
        <w:keepLines w:val="0"/>
        <w:pageBreakBefore w:val="0"/>
        <w:widowControl w:val="0"/>
        <w:kinsoku/>
        <w:overflowPunct/>
        <w:topLinePunct w:val="0"/>
        <w:autoSpaceDN/>
        <w:bidi w:val="0"/>
        <w:adjustRightInd/>
        <w:jc w:val="left"/>
        <w:textAlignment w:val="auto"/>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项目</w:t>
            </w:r>
          </w:p>
        </w:tc>
        <w:tc>
          <w:tcPr>
            <w:tcW w:w="1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年初结转和结余</w:t>
            </w:r>
          </w:p>
        </w:tc>
        <w:tc>
          <w:tcPr>
            <w:tcW w:w="1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本年收入</w:t>
            </w:r>
          </w:p>
        </w:tc>
        <w:tc>
          <w:tcPr>
            <w:tcW w:w="15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本年支出</w:t>
            </w:r>
          </w:p>
        </w:tc>
        <w:tc>
          <w:tcPr>
            <w:tcW w:w="159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科目代码</w:t>
            </w:r>
          </w:p>
        </w:tc>
        <w:tc>
          <w:tcPr>
            <w:tcW w:w="36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科目名称</w:t>
            </w: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小计</w:t>
            </w:r>
          </w:p>
        </w:tc>
        <w:tc>
          <w:tcPr>
            <w:tcW w:w="1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基本支出</w:t>
            </w:r>
          </w:p>
        </w:tc>
        <w:tc>
          <w:tcPr>
            <w:tcW w:w="15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项目支出</w:t>
            </w:r>
          </w:p>
        </w:tc>
        <w:tc>
          <w:tcPr>
            <w:tcW w:w="159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6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9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36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59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栏次</w:t>
            </w:r>
          </w:p>
        </w:tc>
        <w:tc>
          <w:tcPr>
            <w:tcW w:w="15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1</w:t>
            </w:r>
          </w:p>
        </w:tc>
        <w:tc>
          <w:tcPr>
            <w:tcW w:w="15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2</w:t>
            </w:r>
          </w:p>
        </w:tc>
        <w:tc>
          <w:tcPr>
            <w:tcW w:w="15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3</w:t>
            </w:r>
          </w:p>
        </w:tc>
        <w:tc>
          <w:tcPr>
            <w:tcW w:w="15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4</w:t>
            </w:r>
          </w:p>
        </w:tc>
        <w:tc>
          <w:tcPr>
            <w:tcW w:w="15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5</w:t>
            </w:r>
          </w:p>
        </w:tc>
        <w:tc>
          <w:tcPr>
            <w:tcW w:w="159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0"/>
              </w:rPr>
              <w:t>合计</w:t>
            </w: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9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keepNext w:val="0"/>
              <w:keepLines w:val="0"/>
              <w:pageBreakBefore w:val="0"/>
              <w:widowControl w:val="0"/>
              <w:kinsoku/>
              <w:overflowPunct/>
              <w:topLinePunct w:val="0"/>
              <w:autoSpaceDN/>
              <w:bidi w:val="0"/>
              <w:adjustRightInd/>
              <w:textAlignment w:val="auto"/>
            </w:pPr>
          </w:p>
        </w:tc>
        <w:tc>
          <w:tcPr>
            <w:tcW w:w="36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60" w:type="dxa"/>
            <w:vAlign w:val="center"/>
          </w:tcPr>
          <w:p>
            <w:pPr>
              <w:keepNext w:val="0"/>
              <w:keepLines w:val="0"/>
              <w:pageBreakBefore w:val="0"/>
              <w:widowControl w:val="0"/>
              <w:kinsoku/>
              <w:overflowPunct/>
              <w:topLinePunct w:val="0"/>
              <w:autoSpaceDN/>
              <w:bidi w:val="0"/>
              <w:adjustRightInd/>
              <w:textAlignment w:val="auto"/>
            </w:pPr>
          </w:p>
        </w:tc>
        <w:tc>
          <w:tcPr>
            <w:tcW w:w="1598" w:type="dxa"/>
            <w:vAlign w:val="center"/>
          </w:tcPr>
          <w:p>
            <w:pPr>
              <w:keepNext w:val="0"/>
              <w:keepLines w:val="0"/>
              <w:pageBreakBefore w:val="0"/>
              <w:widowControl w:val="0"/>
              <w:kinsoku/>
              <w:overflowPunct/>
              <w:topLinePunct w:val="0"/>
              <w:autoSpaceDN/>
              <w:bidi w:val="0"/>
              <w:adjustRightInd/>
              <w:textAlignment w:val="auto"/>
            </w:pP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keepNext w:val="0"/>
        <w:keepLines w:val="0"/>
        <w:pageBreakBefore w:val="0"/>
        <w:widowControl w:val="0"/>
        <w:kinsoku/>
        <w:overflowPunct/>
        <w:topLinePunct w:val="0"/>
        <w:autoSpaceDN/>
        <w:bidi w:val="0"/>
        <w:adjustRightInd/>
        <w:jc w:val="left"/>
        <w:textAlignment w:val="auto"/>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项目</w:t>
            </w:r>
          </w:p>
        </w:tc>
        <w:tc>
          <w:tcPr>
            <w:tcW w:w="23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科目代码</w:t>
            </w:r>
          </w:p>
        </w:tc>
        <w:tc>
          <w:tcPr>
            <w:tcW w:w="550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科目名称</w:t>
            </w:r>
          </w:p>
        </w:tc>
        <w:tc>
          <w:tcPr>
            <w:tcW w:w="23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合计</w:t>
            </w:r>
          </w:p>
        </w:tc>
        <w:tc>
          <w:tcPr>
            <w:tcW w:w="23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基本支出</w:t>
            </w:r>
          </w:p>
        </w:tc>
        <w:tc>
          <w:tcPr>
            <w:tcW w:w="235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55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3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3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35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550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3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3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235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栏次</w:t>
            </w:r>
          </w:p>
        </w:tc>
        <w:tc>
          <w:tcPr>
            <w:tcW w:w="23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1</w:t>
            </w:r>
          </w:p>
        </w:tc>
        <w:tc>
          <w:tcPr>
            <w:tcW w:w="23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2</w:t>
            </w:r>
          </w:p>
        </w:tc>
        <w:tc>
          <w:tcPr>
            <w:tcW w:w="235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28"/>
              </w:rPr>
              <w:t>合计</w:t>
            </w:r>
          </w:p>
        </w:tc>
        <w:tc>
          <w:tcPr>
            <w:tcW w:w="2360" w:type="dxa"/>
            <w:vAlign w:val="center"/>
          </w:tcPr>
          <w:p>
            <w:pPr>
              <w:keepNext w:val="0"/>
              <w:keepLines w:val="0"/>
              <w:pageBreakBefore w:val="0"/>
              <w:widowControl w:val="0"/>
              <w:kinsoku/>
              <w:overflowPunct/>
              <w:topLinePunct w:val="0"/>
              <w:autoSpaceDN/>
              <w:bidi w:val="0"/>
              <w:adjustRightInd/>
              <w:textAlignment w:val="auto"/>
            </w:pPr>
          </w:p>
        </w:tc>
        <w:tc>
          <w:tcPr>
            <w:tcW w:w="2360" w:type="dxa"/>
            <w:vAlign w:val="center"/>
          </w:tcPr>
          <w:p>
            <w:pPr>
              <w:keepNext w:val="0"/>
              <w:keepLines w:val="0"/>
              <w:pageBreakBefore w:val="0"/>
              <w:widowControl w:val="0"/>
              <w:kinsoku/>
              <w:overflowPunct/>
              <w:topLinePunct w:val="0"/>
              <w:autoSpaceDN/>
              <w:bidi w:val="0"/>
              <w:adjustRightInd/>
              <w:textAlignment w:val="auto"/>
            </w:pPr>
          </w:p>
        </w:tc>
        <w:tc>
          <w:tcPr>
            <w:tcW w:w="2358" w:type="dxa"/>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keepNext w:val="0"/>
              <w:keepLines w:val="0"/>
              <w:pageBreakBefore w:val="0"/>
              <w:widowControl w:val="0"/>
              <w:kinsoku/>
              <w:overflowPunct/>
              <w:topLinePunct w:val="0"/>
              <w:autoSpaceDN/>
              <w:bidi w:val="0"/>
              <w:adjustRightInd/>
              <w:textAlignment w:val="auto"/>
            </w:pPr>
          </w:p>
        </w:tc>
        <w:tc>
          <w:tcPr>
            <w:tcW w:w="5500" w:type="dxa"/>
            <w:vAlign w:val="center"/>
          </w:tcPr>
          <w:p>
            <w:pPr>
              <w:keepNext w:val="0"/>
              <w:keepLines w:val="0"/>
              <w:pageBreakBefore w:val="0"/>
              <w:widowControl w:val="0"/>
              <w:kinsoku/>
              <w:overflowPunct/>
              <w:topLinePunct w:val="0"/>
              <w:autoSpaceDN/>
              <w:bidi w:val="0"/>
              <w:adjustRightInd/>
              <w:textAlignment w:val="auto"/>
            </w:pPr>
          </w:p>
        </w:tc>
        <w:tc>
          <w:tcPr>
            <w:tcW w:w="2360" w:type="dxa"/>
            <w:vAlign w:val="center"/>
          </w:tcPr>
          <w:p>
            <w:pPr>
              <w:keepNext w:val="0"/>
              <w:keepLines w:val="0"/>
              <w:pageBreakBefore w:val="0"/>
              <w:widowControl w:val="0"/>
              <w:kinsoku/>
              <w:overflowPunct/>
              <w:topLinePunct w:val="0"/>
              <w:autoSpaceDN/>
              <w:bidi w:val="0"/>
              <w:adjustRightInd/>
              <w:textAlignment w:val="auto"/>
            </w:pPr>
          </w:p>
        </w:tc>
        <w:tc>
          <w:tcPr>
            <w:tcW w:w="2360" w:type="dxa"/>
            <w:vAlign w:val="center"/>
          </w:tcPr>
          <w:p>
            <w:pPr>
              <w:keepNext w:val="0"/>
              <w:keepLines w:val="0"/>
              <w:pageBreakBefore w:val="0"/>
              <w:widowControl w:val="0"/>
              <w:kinsoku/>
              <w:overflowPunct/>
              <w:topLinePunct w:val="0"/>
              <w:autoSpaceDN/>
              <w:bidi w:val="0"/>
              <w:adjustRightInd/>
              <w:textAlignment w:val="auto"/>
            </w:pPr>
          </w:p>
        </w:tc>
        <w:tc>
          <w:tcPr>
            <w:tcW w:w="2358" w:type="dxa"/>
            <w:vAlign w:val="center"/>
          </w:tcPr>
          <w:p>
            <w:pPr>
              <w:keepNext w:val="0"/>
              <w:keepLines w:val="0"/>
              <w:pageBreakBefore w:val="0"/>
              <w:widowControl w:val="0"/>
              <w:kinsoku/>
              <w:overflowPunct/>
              <w:topLinePunct w:val="0"/>
              <w:autoSpaceDN/>
              <w:bidi w:val="0"/>
              <w:adjustRightInd/>
              <w:textAlignment w:val="auto"/>
            </w:pP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keepNext w:val="0"/>
        <w:keepLines w:val="0"/>
        <w:pageBreakBefore w:val="0"/>
        <w:widowControl w:val="0"/>
        <w:kinsoku/>
        <w:overflowPunct/>
        <w:topLinePunct w:val="0"/>
        <w:autoSpaceDN/>
        <w:bidi w:val="0"/>
        <w:adjustRightInd/>
        <w:jc w:val="left"/>
        <w:textAlignment w:val="auto"/>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keepNext w:val="0"/>
        <w:keepLines w:val="0"/>
        <w:pageBreakBefore w:val="0"/>
        <w:widowControl w:val="0"/>
        <w:kinsoku/>
        <w:overflowPunct/>
        <w:topLinePunct w:val="0"/>
        <w:autoSpaceDN/>
        <w:bidi w:val="0"/>
        <w:adjustRightInd/>
        <w:jc w:val="left"/>
        <w:textAlignment w:val="auto"/>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textAlignment w:val="auto"/>
            </w:pPr>
            <w:r>
              <w:rPr>
                <w:rFonts w:ascii="宋体" w:hAnsi="宋体" w:eastAsia="宋体" w:cs="宋体"/>
                <w:sz w:val="20"/>
              </w:rPr>
              <w:t>单位：许昌市城市管理执法支队</w:t>
            </w:r>
          </w:p>
        </w:tc>
        <w:tc>
          <w:tcPr>
            <w:tcW w:w="2000" w:type="dxa"/>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预算数</w:t>
            </w:r>
          </w:p>
        </w:tc>
        <w:tc>
          <w:tcPr>
            <w:tcW w:w="1160" w:type="dxa"/>
            <w:gridSpan w:val="6"/>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合计</w:t>
            </w:r>
          </w:p>
        </w:tc>
        <w:tc>
          <w:tcPr>
            <w:tcW w:w="11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因公出国（境）费</w:t>
            </w:r>
          </w:p>
        </w:tc>
        <w:tc>
          <w:tcPr>
            <w:tcW w:w="11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公务用车购置及运行维护费</w:t>
            </w:r>
          </w:p>
        </w:tc>
        <w:tc>
          <w:tcPr>
            <w:tcW w:w="11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公务接待费</w:t>
            </w:r>
          </w:p>
        </w:tc>
        <w:tc>
          <w:tcPr>
            <w:tcW w:w="11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合计</w:t>
            </w:r>
          </w:p>
        </w:tc>
        <w:tc>
          <w:tcPr>
            <w:tcW w:w="1160"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因公出国（境）费</w:t>
            </w:r>
          </w:p>
        </w:tc>
        <w:tc>
          <w:tcPr>
            <w:tcW w:w="1160" w:type="dxa"/>
            <w:gridSpan w:val="3"/>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公务用车购置及运行维护费</w:t>
            </w:r>
          </w:p>
        </w:tc>
        <w:tc>
          <w:tcPr>
            <w:tcW w:w="1198" w:type="dxa"/>
            <w:vMerge w:val="restart"/>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1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小计</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公务用车购置费</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公务用车运行维护费</w:t>
            </w:r>
          </w:p>
        </w:tc>
        <w:tc>
          <w:tcPr>
            <w:tcW w:w="11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1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160" w:type="dxa"/>
            <w:vMerge w:val="continue"/>
            <w:vAlign w:val="center"/>
          </w:tcPr>
          <w:p>
            <w:pPr>
              <w:keepNext w:val="0"/>
              <w:keepLines w:val="0"/>
              <w:pageBreakBefore w:val="0"/>
              <w:widowControl w:val="0"/>
              <w:kinsoku/>
              <w:overflowPunct/>
              <w:topLinePunct w:val="0"/>
              <w:autoSpaceDN/>
              <w:bidi w:val="0"/>
              <w:adjustRightInd/>
              <w:textAlignment w:val="auto"/>
            </w:pP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小计</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公务用车购置费</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公务用车运行维护费</w:t>
            </w:r>
          </w:p>
        </w:tc>
        <w:tc>
          <w:tcPr>
            <w:tcW w:w="1198" w:type="dxa"/>
            <w:vMerge w:val="continue"/>
            <w:vAlign w:val="center"/>
          </w:tcPr>
          <w:p>
            <w:pPr>
              <w:keepNext w:val="0"/>
              <w:keepLines w:val="0"/>
              <w:pageBreakBefore w:val="0"/>
              <w:widowControl w:val="0"/>
              <w:kinsoku/>
              <w:overflowPunct/>
              <w:topLinePunct w:val="0"/>
              <w:autoSpaceDN/>
              <w:bidi w:val="0"/>
              <w:adjustRightInd/>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1</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2</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3</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4</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5</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6</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7</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8</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9</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10</w:t>
            </w:r>
          </w:p>
        </w:tc>
        <w:tc>
          <w:tcPr>
            <w:tcW w:w="1160"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11</w:t>
            </w:r>
          </w:p>
        </w:tc>
        <w:tc>
          <w:tcPr>
            <w:tcW w:w="1198" w:type="dxa"/>
            <w:vAlign w:val="center"/>
          </w:tcPr>
          <w:p>
            <w:pPr>
              <w:keepNext w:val="0"/>
              <w:keepLines w:val="0"/>
              <w:pageBreakBefore w:val="0"/>
              <w:widowControl w:val="0"/>
              <w:kinsoku/>
              <w:overflowPunct/>
              <w:topLinePunct w:val="0"/>
              <w:autoSpaceDN/>
              <w:bidi w:val="0"/>
              <w:adjustRightInd/>
              <w:jc w:val="center"/>
              <w:textAlignment w:val="auto"/>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20.58</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19.86</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19.86</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0.71</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20.58</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19.86</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19.86</w:t>
            </w:r>
          </w:p>
        </w:tc>
        <w:tc>
          <w:tcPr>
            <w:tcW w:w="1198" w:type="dxa"/>
            <w:vAlign w:val="center"/>
          </w:tcPr>
          <w:p>
            <w:pPr>
              <w:keepNext w:val="0"/>
              <w:keepLines w:val="0"/>
              <w:pageBreakBefore w:val="0"/>
              <w:widowControl w:val="0"/>
              <w:kinsoku/>
              <w:overflowPunct/>
              <w:topLinePunct w:val="0"/>
              <w:autoSpaceDN/>
              <w:bidi w:val="0"/>
              <w:adjustRightInd/>
              <w:jc w:val="right"/>
              <w:textAlignment w:val="auto"/>
            </w:pPr>
            <w:r>
              <w:rPr>
                <w:rFonts w:ascii="宋体" w:hAnsi="宋体" w:eastAsia="宋体" w:cs="宋体"/>
                <w:b w:val="0"/>
                <w:i w:val="0"/>
                <w:color w:val="000000"/>
                <w:sz w:val="17"/>
              </w:rPr>
              <w:t>0.71</w:t>
            </w:r>
          </w:p>
        </w:tc>
      </w:tr>
    </w:tbl>
    <w:p>
      <w:pPr>
        <w:keepNext w:val="0"/>
        <w:keepLines w:val="0"/>
        <w:pageBreakBefore w:val="0"/>
        <w:widowControl w:val="0"/>
        <w:kinsoku/>
        <w:overflowPunct/>
        <w:topLinePunct w:val="0"/>
        <w:autoSpaceDN/>
        <w:bidi w:val="0"/>
        <w:adjustRightInd/>
        <w:snapToGrid w:val="0"/>
        <w:spacing w:before="0" w:after="0" w:line="0" w:lineRule="auto"/>
        <w:textAlignment w:val="auto"/>
      </w:pPr>
      <w:r>
        <w:rPr>
          <w:sz w:val="8"/>
        </w:rPr>
        <w:t xml:space="preserve"> </w:t>
      </w:r>
    </w:p>
    <w:p>
      <w:pPr>
        <w:keepNext w:val="0"/>
        <w:keepLines w:val="0"/>
        <w:pageBreakBefore w:val="0"/>
        <w:widowControl w:val="0"/>
        <w:kinsoku/>
        <w:overflowPunct/>
        <w:topLinePunct w:val="0"/>
        <w:autoSpaceDN/>
        <w:bidi w:val="0"/>
        <w:adjustRightInd/>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keepNext w:val="0"/>
        <w:keepLines w:val="0"/>
        <w:pageBreakBefore w:val="0"/>
        <w:widowControl w:val="0"/>
        <w:kinsoku/>
        <w:overflowPunct/>
        <w:topLinePunct w:val="0"/>
        <w:autoSpaceDN/>
        <w:bidi w:val="0"/>
        <w:adjustRightInd/>
        <w:jc w:val="left"/>
        <w:textAlignment w:val="auto"/>
        <w:rPr>
          <w:rFonts w:hint="eastAsia" w:asciiTheme="minorEastAsia" w:hAnsiTheme="minorEastAsia" w:eastAsiaTheme="minorEastAsia" w:cstheme="minorEastAsia"/>
          <w:color w:val="000000"/>
          <w:kern w:val="0"/>
          <w:sz w:val="18"/>
          <w:szCs w:val="18"/>
          <w:lang w:val="en-US" w:eastAsia="zh-CN"/>
        </w:rPr>
      </w:pPr>
    </w:p>
    <w:p>
      <w:pPr>
        <w:keepNext w:val="0"/>
        <w:keepLines w:val="0"/>
        <w:pageBreakBefore w:val="0"/>
        <w:widowControl w:val="0"/>
        <w:kinsoku/>
        <w:overflowPunct/>
        <w:topLinePunct w:val="0"/>
        <w:autoSpaceDN/>
        <w:bidi w:val="0"/>
        <w:adjustRightInd/>
        <w:jc w:val="lef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overflowPunct/>
        <w:topLinePunct w:val="0"/>
        <w:autoSpaceDN/>
        <w:bidi w:val="0"/>
        <w:adjustRightInd/>
        <w:jc w:val="left"/>
        <w:textAlignment w:val="auto"/>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bookmarkStart w:id="0" w:name="_GoBack"/>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2023年度收、支总计均为2731.07万元。与上年度相比，收、支总计各减少440.92万元，下降13.90%。主要原因是项目支出减少，人员在职转退休。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2721.73万元，其中：财政拨款收入2721.20万元，占99.98%；上级补助收入0.00万元，占0.00%；事业收入0.00万元，占0.00%；经营收入0.00万元，占0.00%；附属单位上缴收入0.00万元，占0.00%；其他收入0.54万元，占0.02%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2023年度支出合计2730.10万元，其中：基本支出2644.95万元，占96.88%；项目支出85.15万元，占3.12%；上缴上级支出0.00万元，占0.00%；经营支出0.00万元，占0.00%；对附属单位补助支出0.00万元，占0.00%。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2023年度财政拨款收、支总计均为2730.10万元。与上年度相比，财政拨款收、支总计各减少441.20万元，下降13.91%。主要原因是项目支出减少，人员在职转退休。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2023年度一般公共预算财政拨款支出2730.10万元，占支出合计的100.00%。与上年度相比，一般公共预算财政拨款支出减少441.20万元，下降13.91%。主要原因是项目支出减少，人员在职转退休。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2730.10万元，主要用于以下方面：一般公共服务支出（类）1836.92万元，占67.28%；社会保障和就业支出（类）410.65万元，占15.04%；卫生健康支出（类）120.88万元，占4.43%；节能环保支出（类）8.90万元，占0.33%；城乡社区支出（类）240.15万元，占8.80%；住房保障支出（类）112.58万元，占4.12%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2023年度一般公共预算财政拨款支出年初预算为2702.31万元，支出决算为2730.10万元，完成年初预算的101.03%。其中：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2"/>
          <w:sz w:val="32"/>
          <w:szCs w:val="32"/>
          <w:lang w:val="en-US" w:eastAsia="zh-CN"/>
        </w:rPr>
        <w:t>年初预算数为2001.92万元，决算数1720.02万元,完成年初预算的85.92%，决算数与年初预算数存在差异的主要原因是人员在职转退休。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年初预算数为10.23万元，决算数10.23万元,完成年初预算的100.00%，决算数与年初预算数不存在差异。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年初预算数为0.00万元，决算数106.67万元,决算数与年初预算数存在差异的主要原因是2021年度平安建设奖发放计入该科目款项。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2"/>
          <w:sz w:val="32"/>
          <w:szCs w:val="32"/>
          <w:lang w:val="en-US" w:eastAsia="zh-CN"/>
        </w:rPr>
        <w:t>年初预算数为240.37万元，决算数294.85万元,完成年初预算的122.67%，决算数与年初预算数存在差异的主要原因是人员在职转退休。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年初预算数为118.30万元，决算数115.80万元,完成年初预算的97.89%，决算数与年初预算数存在差异的主要原因是人员在职转退休。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6.卫生健康支出（类）行政事业单位医疗（款）行政单位医疗（项）</w:t>
      </w:r>
      <w:r>
        <w:rPr>
          <w:rFonts w:hint="default" w:ascii="仿宋" w:hAnsi="仿宋" w:eastAsia="仿宋" w:cs="仿宋"/>
          <w:kern w:val="2"/>
          <w:sz w:val="32"/>
          <w:szCs w:val="32"/>
          <w:lang w:val="en-US" w:eastAsia="zh-CN"/>
        </w:rPr>
        <w:t>年初预算数为54.55万元，决算数54.55万元,完成年初预算的100.00%，决算数与年初预算数不存在差异。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7.卫生健康支出（类）行政事业单位医疗（款）事业单位医疗（项）</w:t>
      </w:r>
      <w:r>
        <w:rPr>
          <w:rFonts w:hint="default" w:ascii="仿宋" w:hAnsi="仿宋" w:eastAsia="仿宋" w:cs="仿宋"/>
          <w:kern w:val="2"/>
          <w:sz w:val="32"/>
          <w:szCs w:val="32"/>
          <w:lang w:val="en-US" w:eastAsia="zh-CN"/>
        </w:rPr>
        <w:t>年初预算数为7.95万元，决算数2.71万元,完成年初预算的34.09%，决算数与年初预算数存在差异的主要原因是人员在职转退休。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年初预算数为69.45万元，决算数63.62万元,完成年初预算的91.61%，决算数与年初预算数存在差异的主要原因是人员在职转退休。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9.节能环保支出（类）污染防治（款）大气（项）</w:t>
      </w:r>
      <w:r>
        <w:rPr>
          <w:rFonts w:hint="default" w:ascii="仿宋" w:hAnsi="仿宋" w:eastAsia="仿宋" w:cs="仿宋"/>
          <w:kern w:val="2"/>
          <w:sz w:val="32"/>
          <w:szCs w:val="32"/>
          <w:lang w:val="en-US" w:eastAsia="zh-CN"/>
        </w:rPr>
        <w:t>年初预算数为0.00万元，决算数8.90万元,决算数与年初预算数存在差异的主要原因是新增项目款项。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10.城乡社区支出（类）城乡社区管理事务（款）行政运行（项）</w:t>
      </w:r>
      <w:r>
        <w:rPr>
          <w:rFonts w:hint="default" w:ascii="仿宋" w:hAnsi="仿宋" w:eastAsia="仿宋" w:cs="仿宋"/>
          <w:kern w:val="2"/>
          <w:sz w:val="32"/>
          <w:szCs w:val="32"/>
          <w:lang w:val="en-US" w:eastAsia="zh-CN"/>
        </w:rPr>
        <w:t>年初预算数为0.00万元，决算数163.91万元,决算数与年初预算数存在差异的主要原因是2021年-2022年未休假补贴及2022年平安建设奖等奖金计入该款项。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11.城乡社区支出（类）城乡社区管理事务（款）一般行政管理事务（项）</w:t>
      </w:r>
      <w:r>
        <w:rPr>
          <w:rFonts w:hint="default" w:ascii="仿宋" w:hAnsi="仿宋" w:eastAsia="仿宋" w:cs="仿宋"/>
          <w:kern w:val="2"/>
          <w:sz w:val="32"/>
          <w:szCs w:val="32"/>
          <w:lang w:val="en-US" w:eastAsia="zh-CN"/>
        </w:rPr>
        <w:t>年初预算数为80.49万元，决算数76.25万元,完成年初预算的94.73%，决算数与年初预算数存在差异的主要原因是临时人员减少，项目支出减少。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2"/>
          <w:sz w:val="32"/>
          <w:szCs w:val="32"/>
          <w:lang w:val="en-US" w:eastAsia="zh-CN"/>
        </w:rPr>
        <w:t>年初预算数为119.05万元，决算数112.58万元,完成年初预算的94.57%，决算数与年初预算数存在差异的主要原因是人员在职转退休。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2644.95万元。其中：人员经费2474.82万元，主要包括：基本工资、津贴补贴、奖金、机关事业单位基本养老保险缴费、职工基本医疗保险缴费、公务员医疗补助缴费、其他社会保障缴费、住房公积金、退休费。公用经费170.13万元，主要包括：办公费、印刷费、咨询费、水费、电费、邮电费、物业管理费、差旅费、维修（护）费、租赁费、会议费、培训费、公务接待费、劳务费、委托业务费、工会经费、福利费、公务用车运行维护费、其他交通费用、其他商品和服务支出、办公设备购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2023年度“三公”经费财政拨款支出预算为20.58万元，支出决算为20.58万元，完成预算的100.00%。2023年度“三公”经费支出决算数与预算数无差异。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19.86万元,完成预算的100.00%，占96.50%；公务接待费支出决算0.71万元，完成预算的100.00%，占3.45%。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预算为19.86万元，支出决算为19.86万元，完成预算的100.00%。决算数与预算数无差异。其中：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19.86万元。主要用于支付燃料费、维修费、保险等。2023年期末，单位开支财政拨款的公务用车保有量为</w:t>
      </w:r>
      <w:r>
        <w:rPr>
          <w:rFonts w:hint="eastAsia" w:ascii="仿宋" w:hAnsi="仿宋" w:eastAsia="仿宋" w:cs="仿宋"/>
          <w:kern w:val="2"/>
          <w:sz w:val="32"/>
          <w:szCs w:val="32"/>
          <w:lang w:val="en-US" w:eastAsia="zh-CN"/>
        </w:rPr>
        <w:t>23</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预算为0.71万元，支出决算为0.71万元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0.71</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主要用于接待兄弟单位学习及调研。</w:t>
      </w:r>
      <w:r>
        <w:rPr>
          <w:rFonts w:hint="eastAsia" w:ascii="仿宋" w:hAnsi="仿宋" w:eastAsia="仿宋" w:cs="仿宋"/>
          <w:kern w:val="0"/>
          <w:sz w:val="32"/>
          <w:szCs w:val="32"/>
          <w:lang w:val="en-US" w:eastAsia="zh-CN"/>
        </w:rPr>
        <w:t>2023年共接待国内来访团组8个、来宾40人次（不包括陪同人员）</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2023年度机关运行经费支出170.13万元，较2022年度下降28.69万元，下降14.43%，主要原因是我单位严格执行“八项规定”，节约预算资金使用，减少不必要的公务活动，压缩三公经费开支。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2023年期末，本单位共有车辆28辆，其中：省级领导干部用车0辆、主要领导干部用车0辆、机要通信用车0辆、应急保障车0辆、执法执勤用车28辆、特种专业技术用车0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辆、离退休干部用车0辆、其他用车0辆；单价100万元（含）以上设备（不含车辆）0台（套）。财政拨款的公务用车保有量与国有资产车辆差异原因:我单位保留电动执勤车5辆。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涉及预算资金2730.1万元。自评得分为100分，等级为“优”。从单位整体自评情况来看，单位资金到位及时，单位资金实施过程中严格按实际需要实施，具有较高的效率。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基于项目预期目标的实现程度，我单位对2023年度单位预算项目支出（含单位参与分配的转移支付项目）开展绩效自评，涉及项目3个，项目金额85.15万元。其中：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临时人员工资及社保，自评得分为97.32分，等级为“优”。年初预算数80.49万元，全年预算数80.49万元，全年执行数58.92万元，预算执行率为73.20%。该项目按照实施内容和目标进行开展，项目预算执行、产出指标、经济指标、服务对象满意度等指标完成较好，达到了预期效果，有力的保证了我单位工作业务的开展，项目的实施效果得到了实施对象的满意和认可。由于临时人员流动相较大，该项目预算执行率未达到100%。下一步我支队将加大对临时人员的人文关怀，争取100%完成预算执行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餐饮油烟在线监控平台(尾款)，自评得分为100分，等级为“优”。年初预算数0万元，全年预算数8.9万元，全年执行数8.9万元，预算执行率为100%。该项目按照实施内容和目标进行开展，项目预算执行、产出指标、经济指标、服务对象满意度等指标完成较好，达到了预期效果，有力的保证了我单位餐饮油烟工作业务的开展，项目的实施效果得到了实施对象的满意和认可。下一步我支队将加大对餐饮门店的检查力度，致力于餐饮油烟达标排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毓秀路街景整治提升项目(尾款)，自评得分为100分，等级为“优”。年初预算数0万元，全年预算数17.33万元，全年执行数17.33万元，预算执行率为100%。该项目按照实施内容和目标进行开展，项目预算执行、产出指标、经济指标、服务对象满意度等指标完成较好，达到了预期效果，有力的保证了我市的市容市貌，项目的实施效果得到了实施对象的满意和认可。下一步我支队将加大对沿街门店的治理，努力打造美丽许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从项目绩效自评情况来看，三个项目按照实施内容和目标进行开展，项目预算执行、产出指标、经济指标、服务对象满意度等指标完成较好，达到了预期效果。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bookmarkEnd w:id="0"/>
    <w:tbl>
      <w:tblPr>
        <w:tblStyle w:val="11"/>
        <w:tblW w:w="14295" w:type="dxa"/>
        <w:tblInd w:w="93" w:type="dxa"/>
        <w:shd w:val="clear" w:color="auto" w:fill="auto"/>
        <w:tblLayout w:type="autofit"/>
        <w:tblCellMar>
          <w:top w:w="0" w:type="dxa"/>
          <w:left w:w="108" w:type="dxa"/>
          <w:bottom w:w="0" w:type="dxa"/>
          <w:right w:w="108" w:type="dxa"/>
        </w:tblCellMar>
      </w:tblPr>
      <w:tblGrid>
        <w:gridCol w:w="555"/>
        <w:gridCol w:w="555"/>
        <w:gridCol w:w="1800"/>
        <w:gridCol w:w="2895"/>
        <w:gridCol w:w="1620"/>
        <w:gridCol w:w="3135"/>
        <w:gridCol w:w="1080"/>
        <w:gridCol w:w="675"/>
        <w:gridCol w:w="930"/>
        <w:gridCol w:w="1050"/>
      </w:tblGrid>
      <w:tr>
        <w:tblPrEx>
          <w:tblCellMar>
            <w:top w:w="0" w:type="dxa"/>
            <w:left w:w="108" w:type="dxa"/>
            <w:bottom w:w="0" w:type="dxa"/>
            <w:right w:w="108" w:type="dxa"/>
          </w:tblCellMar>
        </w:tblPrEx>
        <w:trPr>
          <w:trHeight w:val="270" w:hRule="atLeast"/>
        </w:trPr>
        <w:tc>
          <w:tcPr>
            <w:tcW w:w="555"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黑体" w:hAnsi="黑体" w:eastAsia="黑体" w:cs="宋体"/>
                <w:color w:val="000000"/>
                <w:kern w:val="0"/>
                <w:sz w:val="22"/>
              </w:rPr>
            </w:pPr>
            <w:r>
              <w:rPr>
                <w:rFonts w:hint="eastAsia" w:ascii="黑体" w:hAnsi="黑体" w:eastAsia="黑体" w:cs="宋体"/>
                <w:color w:val="000000"/>
                <w:kern w:val="0"/>
                <w:sz w:val="22"/>
              </w:rPr>
              <w:t>附件1</w:t>
            </w:r>
          </w:p>
        </w:tc>
        <w:tc>
          <w:tcPr>
            <w:tcW w:w="555"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黑体" w:hAnsi="黑体" w:eastAsia="黑体" w:cs="宋体"/>
                <w:color w:val="000000"/>
                <w:kern w:val="0"/>
                <w:sz w:val="22"/>
              </w:rPr>
            </w:pPr>
          </w:p>
        </w:tc>
        <w:tc>
          <w:tcPr>
            <w:tcW w:w="1800"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p>
        </w:tc>
        <w:tc>
          <w:tcPr>
            <w:tcW w:w="2895"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p>
        </w:tc>
        <w:tc>
          <w:tcPr>
            <w:tcW w:w="1620"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p>
        </w:tc>
        <w:tc>
          <w:tcPr>
            <w:tcW w:w="3135"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0"/>
                <w:szCs w:val="20"/>
              </w:rPr>
            </w:pPr>
          </w:p>
        </w:tc>
        <w:tc>
          <w:tcPr>
            <w:tcW w:w="675"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0"/>
                <w:szCs w:val="20"/>
              </w:rPr>
            </w:pPr>
          </w:p>
        </w:tc>
        <w:tc>
          <w:tcPr>
            <w:tcW w:w="930"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0"/>
                <w:szCs w:val="20"/>
              </w:rPr>
            </w:pPr>
          </w:p>
        </w:tc>
        <w:tc>
          <w:tcPr>
            <w:tcW w:w="1050" w:type="dxa"/>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14295" w:type="dxa"/>
            <w:gridSpan w:val="10"/>
            <w:tcBorders>
              <w:top w:val="nil"/>
              <w:left w:val="nil"/>
              <w:bottom w:val="nil"/>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单位整体自评表</w:t>
            </w:r>
          </w:p>
        </w:tc>
      </w:tr>
      <w:tr>
        <w:tblPrEx>
          <w:tblCellMar>
            <w:top w:w="0" w:type="dxa"/>
            <w:left w:w="108" w:type="dxa"/>
            <w:bottom w:w="0" w:type="dxa"/>
            <w:right w:w="108" w:type="dxa"/>
          </w:tblCellMar>
        </w:tblPrEx>
        <w:trPr>
          <w:trHeight w:val="405" w:hRule="atLeast"/>
        </w:trPr>
        <w:tc>
          <w:tcPr>
            <w:tcW w:w="14295" w:type="dxa"/>
            <w:gridSpan w:val="10"/>
            <w:tcBorders>
              <w:top w:val="nil"/>
              <w:left w:val="nil"/>
              <w:bottom w:val="nil"/>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2"/>
              </w:rPr>
            </w:pPr>
            <w:r>
              <w:rPr>
                <w:rFonts w:hint="eastAsia" w:ascii="宋体" w:hAnsi="宋体" w:cs="宋体"/>
                <w:color w:val="000000"/>
                <w:kern w:val="0"/>
                <w:sz w:val="22"/>
              </w:rPr>
              <w:t>（    2023 年度）</w:t>
            </w:r>
          </w:p>
        </w:tc>
      </w:tr>
      <w:tr>
        <w:tblPrEx>
          <w:tblCellMar>
            <w:top w:w="0" w:type="dxa"/>
            <w:left w:w="108" w:type="dxa"/>
            <w:bottom w:w="0" w:type="dxa"/>
            <w:right w:w="108" w:type="dxa"/>
          </w:tblCellMar>
        </w:tblPrEx>
        <w:trPr>
          <w:trHeight w:val="405" w:hRule="atLeast"/>
        </w:trPr>
        <w:tc>
          <w:tcPr>
            <w:tcW w:w="555" w:type="dxa"/>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555" w:type="dxa"/>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135" w:type="dxa"/>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755" w:type="dxa"/>
            <w:gridSpan w:val="2"/>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填表人及联系方式：</w:t>
            </w:r>
          </w:p>
        </w:tc>
        <w:tc>
          <w:tcPr>
            <w:tcW w:w="1980" w:type="dxa"/>
            <w:gridSpan w:val="2"/>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李媛媛15938733150</w:t>
            </w:r>
          </w:p>
        </w:tc>
      </w:tr>
      <w:tr>
        <w:tblPrEx>
          <w:tblCellMar>
            <w:top w:w="0" w:type="dxa"/>
            <w:left w:w="108" w:type="dxa"/>
            <w:bottom w:w="0" w:type="dxa"/>
            <w:right w:w="108" w:type="dxa"/>
          </w:tblCellMar>
        </w:tblPrEx>
        <w:trPr>
          <w:trHeight w:val="312" w:hRule="atLeast"/>
        </w:trPr>
        <w:tc>
          <w:tcPr>
            <w:tcW w:w="29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单位名称</w:t>
            </w:r>
          </w:p>
        </w:tc>
        <w:tc>
          <w:tcPr>
            <w:tcW w:w="113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许昌市城市管理执法支队</w:t>
            </w:r>
          </w:p>
        </w:tc>
      </w:tr>
      <w:tr>
        <w:tblPrEx>
          <w:tblCellMar>
            <w:top w:w="0" w:type="dxa"/>
            <w:left w:w="108" w:type="dxa"/>
            <w:bottom w:w="0" w:type="dxa"/>
            <w:right w:w="108" w:type="dxa"/>
          </w:tblCellMar>
        </w:tblPrEx>
        <w:trPr>
          <w:trHeight w:val="312" w:hRule="atLeast"/>
        </w:trPr>
        <w:tc>
          <w:tcPr>
            <w:tcW w:w="29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1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执行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46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单位预算总额</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2702.31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2730.1</w:t>
            </w:r>
          </w:p>
        </w:tc>
        <w:tc>
          <w:tcPr>
            <w:tcW w:w="675" w:type="dxa"/>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050" w:type="dxa"/>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资金来源</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政府预算资金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2702.31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2730.1</w:t>
            </w:r>
          </w:p>
        </w:tc>
        <w:tc>
          <w:tcPr>
            <w:tcW w:w="67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101.03%</w:t>
            </w:r>
          </w:p>
        </w:tc>
        <w:tc>
          <w:tcPr>
            <w:tcW w:w="105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财政专户管理资金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67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67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履职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w:t>
            </w:r>
          </w:p>
        </w:tc>
        <w:tc>
          <w:tcPr>
            <w:tcW w:w="945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实际完成情况</w:t>
            </w: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目标名称</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主要内容 </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目标完成情况</w:t>
            </w: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目标1：</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开展市容市貌集中整治</w:t>
            </w:r>
          </w:p>
        </w:tc>
        <w:tc>
          <w:tcPr>
            <w:tcW w:w="373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目标2：</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巩固大气污染治理成果   </w:t>
            </w:r>
          </w:p>
        </w:tc>
        <w:tc>
          <w:tcPr>
            <w:tcW w:w="373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目标3：</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开展城市空间清洁行动 </w:t>
            </w:r>
          </w:p>
        </w:tc>
        <w:tc>
          <w:tcPr>
            <w:tcW w:w="373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目标4：</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持续推行依法行政  </w:t>
            </w:r>
          </w:p>
        </w:tc>
        <w:tc>
          <w:tcPr>
            <w:tcW w:w="373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目标5：</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提高城管队伍建设</w:t>
            </w:r>
          </w:p>
        </w:tc>
        <w:tc>
          <w:tcPr>
            <w:tcW w:w="373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主要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任务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任务名称</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主要内容 </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任务完成情况</w:t>
            </w:r>
          </w:p>
        </w:tc>
      </w:tr>
      <w:tr>
        <w:tblPrEx>
          <w:tblCellMar>
            <w:top w:w="0" w:type="dxa"/>
            <w:left w:w="108" w:type="dxa"/>
            <w:bottom w:w="0" w:type="dxa"/>
            <w:right w:w="108" w:type="dxa"/>
          </w:tblCellMar>
        </w:tblPrEx>
        <w:trPr>
          <w:trHeight w:val="120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任务1：展市容市貌集中整治</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以群众反映强烈的热点、难点问题的突破点，开展市容市貌集中整治。围绕七一路、建设路、莲城大道等13条主干道开展占道经营专项整治，力争实现占道经营、店外经营全部清理取缔。</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128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任务2：巩固大气污染治理成果</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加大对市管区域餐饮服务业单位油烟排放情况的监管力度，进一步提高巡查率、检测率。对油烟超标排放、闲置净化设备等，依法依规从重处罚。</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128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任务3：开展城市空间清洁行动</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以主次干道、游园广场、商场超市等区域为重点，适时组织开展专项行动，集中清理乱贴乱画、乱涂乱写、乱设闪光牌等.</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128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任务4：持续推行依法行政</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以建立健全规章制度为重点，建立按制度、按程序办事的运行机制，实行城管执法工作制度化、法治化。</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128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任务5：提高城管队伍建设</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以巩固“强基础、转作风、树形象”三年提升行动成果，狠抓作风纪律建设，严守文明执法底线，打造全省一流执法队伍。同时，发挥执法支队行业督导作用，实现全市城管队伍的同步发展、整体提升</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31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指标值说明</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blPrEx>
          <w:tblCellMar>
            <w:top w:w="0" w:type="dxa"/>
            <w:left w:w="108" w:type="dxa"/>
            <w:bottom w:w="0" w:type="dxa"/>
            <w:right w:w="108" w:type="dxa"/>
          </w:tblCellMar>
        </w:tblPrEx>
        <w:trPr>
          <w:trHeight w:val="31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投入管理指标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工作目标管理</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年度履职目标相关性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相关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工作任务科学性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科学</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绩效指标合理性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合理</w:t>
            </w:r>
          </w:p>
        </w:tc>
        <w:tc>
          <w:tcPr>
            <w:tcW w:w="3135"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预算和财务管理</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预算编制完整性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完整</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1.部门所有收入是否全部纳入部门预算；2.部门支出预算是否统筹各类资金来源，全部纳入部门预算管理。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完整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专项资金细化率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专项资金细化率=（已细化到具体市县和承担单位的资金数/部门参与分配资金总数）×100%。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预算调整率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结转结余率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结转结余率=结转结余总额/预算数*100%。结转结余总额是指部门本年度的结转结余资金之和。预算数是指财政部门批复的本年度调整预算数。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“三公经费”控制率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50.00%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“三公经费”控制率=本年度“三公经费”实际支出数/“三公经费”预算数*100%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27.07%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政府采购执行率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政府采购执行率=（实际政府采购金额/政府采购预算数）×100%。政府采购预算：采购机关根据事业发展计划和行政任务编制的、并经过规定程序批准的年度政府采购计划。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决算真实性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真实</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反映本部门决算工作情况。决算编制数据是否账表一致，即决算报表数据与会计账簿数据是否一致。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真实</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合规</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单位是否按照相关法律法规以及资金管理办法规定的用途使用预算资金，用以反映和考核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合规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健全</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单位为加强预算管理，规范财务行为而制定的管理制度是否健全完整，用以反映和考核单位预算管理制度为完成主要职责或促成事业发展的保障情况。1.是否已制定或具有预算资金管理办法、内部管理制度、会计核算制度、会计岗位制度等管理制度；2.相关管理制度是否得到有效执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健全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预决算信息公开性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公开</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单位是否按照政府信息公开有关规定公开部门预算、执行、决算、监督、绩效等相关预决算信息，用以反映和考核单位预决算管理的公开透明情况。1.是否按规定内容公开预决算信息；2.是否按规定时限公开预决算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公开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资产管理规范性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规范</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单位的资产配置、使用是否合规，处置是否规范，收入是否及时足额上缴，用以反映和考核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规范</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绩效管理</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绩效监控完成率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单位按要求实施绩效监控的项目数量占应实施绩效监控项目总数的比重。部门绩效监控完成率=已完成绩效监控项目数量/部门项目总数*100%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绩效自评完成率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单位按要求实施绩效自评的项目数量占应实施绩效自评项目总数的比重。部门绩效自评完成率=已完成评价项目数量/部门项目总数*100%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部门绩效评价完成率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部门重点绩效评价项目评价完成情况。部门绩效评价完成率=已完成评价项目数量/部门重点绩效评价项目数*100%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评价结果应用率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绩效监控、单位自评、部门绩效评价、财政重点绩效评价结果应用情况。评价结果应用率=评价提出的意见建议采纳数/提出的意见建议总数*100%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555"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重点工作任务完成</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重点工作1:针对季节特点，以群众反映强烈的热点、难点问题的突破点，开展市容市貌集中整治。</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&gt;=98%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反映本部门负责的重点工作进展情况。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重点工作2:加大对市管区域餐饮服务业单位油烟排放情况的监管力度，进一步提高巡查率、检测率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&gt;=98%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反映本部门负责的重点工作进展情况。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重点工作3:实行分片包干、精准防控对市区施工工地进行实地检查，督促严格落实扬尘防治“六个百分百”要求。</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&gt;=98%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反映本部门负责的重点工作进展情况。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重点工作4:一是梳理执法支队职责清单，明确执法范围、执法流程等，印制成册，开展多层次培训，确保执法人员均能做到应知应会。</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&gt;=98%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反映本部门负责的重点工作进展情况。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重点工作5:二是完善行政处罚适用规则和裁量基准，严格落实备案要求。</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&gt;=98%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反映本部门负责的重点工作进展情况。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履职目标实现</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目标1：开展市容市貌集中整治</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反映本部门制定的年度工作目标达成情况。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目标2：巩固大气污染治理成果</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反映本部门制定的年度工作目标达成情况。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目标3：开展城市空间清洁行动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反映本部门制定的年度工作目标达成情况。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目标4：持续推行依法行政</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反映本部门制定的年度工作目标达成情况。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目标5：提高城管队伍建设</w:t>
            </w:r>
          </w:p>
        </w:tc>
        <w:tc>
          <w:tcPr>
            <w:tcW w:w="1620"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100%</w:t>
            </w:r>
          </w:p>
        </w:tc>
        <w:tc>
          <w:tcPr>
            <w:tcW w:w="3135"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反映本部门制定的年度工作目标达成情况。</w:t>
            </w:r>
          </w:p>
        </w:tc>
        <w:tc>
          <w:tcPr>
            <w:tcW w:w="1080"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98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效益指标  </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35</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社会公众满意度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反映普通用户和对口部门对部门服务的满意度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8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反映相关企业、社会组织和行业协会对部门行政审批、管理服务、参与公共服务情况的满意度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40" w:hRule="atLeast"/>
        </w:trPr>
        <w:tc>
          <w:tcPr>
            <w:tcW w:w="116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总分（100分）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1298" w:hRule="atLeast"/>
        </w:trPr>
        <w:tc>
          <w:tcPr>
            <w:tcW w:w="14295"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pPr>
        <w:pStyle w:val="10"/>
        <w:keepNext w:val="0"/>
        <w:keepLines w:val="0"/>
        <w:pageBreakBefore w:val="0"/>
        <w:widowControl w:val="0"/>
        <w:kinsoku/>
        <w:overflowPunct/>
        <w:topLinePunct w:val="0"/>
        <w:autoSpaceDN/>
        <w:bidi w:val="0"/>
        <w:adjustRightInd/>
        <w:textAlignment w:val="auto"/>
        <w:sectPr>
          <w:pgSz w:w="16838" w:h="11906" w:orient="landscape"/>
          <w:pgMar w:top="1800" w:right="1440" w:bottom="1800" w:left="1440" w:header="851" w:footer="992" w:gutter="0"/>
          <w:cols w:space="425" w:num="1"/>
          <w:docGrid w:type="lines" w:linePitch="312" w:charSpace="0"/>
        </w:sectPr>
      </w:pPr>
    </w:p>
    <w:tbl>
      <w:tblPr>
        <w:tblStyle w:val="11"/>
        <w:tblW w:w="13491" w:type="dxa"/>
        <w:tblInd w:w="93" w:type="dxa"/>
        <w:shd w:val="clear" w:color="auto" w:fill="auto"/>
        <w:tblLayout w:type="autofit"/>
        <w:tblCellMar>
          <w:top w:w="0" w:type="dxa"/>
          <w:left w:w="108" w:type="dxa"/>
          <w:bottom w:w="0" w:type="dxa"/>
          <w:right w:w="108" w:type="dxa"/>
        </w:tblCellMar>
      </w:tblPr>
      <w:tblGrid>
        <w:gridCol w:w="720"/>
        <w:gridCol w:w="1395"/>
        <w:gridCol w:w="1333"/>
        <w:gridCol w:w="1253"/>
        <w:gridCol w:w="1120"/>
        <w:gridCol w:w="1409"/>
        <w:gridCol w:w="1877"/>
        <w:gridCol w:w="826"/>
        <w:gridCol w:w="991"/>
        <w:gridCol w:w="520"/>
        <w:gridCol w:w="2047"/>
      </w:tblGrid>
      <w:tr>
        <w:tblPrEx>
          <w:tblCellMar>
            <w:top w:w="0" w:type="dxa"/>
            <w:left w:w="108" w:type="dxa"/>
            <w:bottom w:w="0" w:type="dxa"/>
            <w:right w:w="108" w:type="dxa"/>
          </w:tblCellMar>
        </w:tblPrEx>
        <w:trPr>
          <w:trHeight w:val="558" w:hRule="atLeast"/>
        </w:trPr>
        <w:tc>
          <w:tcPr>
            <w:tcW w:w="13491" w:type="dxa"/>
            <w:gridSpan w:val="11"/>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项目自评表</w:t>
            </w:r>
          </w:p>
        </w:tc>
      </w:tr>
      <w:tr>
        <w:tblPrEx>
          <w:tblCellMar>
            <w:top w:w="0" w:type="dxa"/>
            <w:left w:w="108" w:type="dxa"/>
            <w:bottom w:w="0" w:type="dxa"/>
            <w:right w:w="108" w:type="dxa"/>
          </w:tblCellMar>
        </w:tblPrEx>
        <w:trPr>
          <w:trHeight w:val="480" w:hRule="atLeast"/>
        </w:trPr>
        <w:tc>
          <w:tcPr>
            <w:tcW w:w="13491" w:type="dxa"/>
            <w:gridSpan w:val="11"/>
            <w:tcBorders>
              <w:top w:val="nil"/>
              <w:left w:val="nil"/>
              <w:bottom w:val="nil"/>
              <w:right w:val="nil"/>
            </w:tcBorders>
            <w:shd w:val="clear" w:color="auto" w:fill="auto"/>
            <w:noWrap/>
            <w:vAlign w:val="top"/>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2"/>
              </w:rPr>
            </w:pPr>
            <w:r>
              <w:rPr>
                <w:rFonts w:hint="eastAsia" w:ascii="宋体" w:hAnsi="宋体" w:cs="宋体"/>
                <w:color w:val="000000"/>
                <w:kern w:val="0"/>
                <w:sz w:val="22"/>
              </w:rPr>
              <w:t>（   2023 年度）</w:t>
            </w:r>
          </w:p>
        </w:tc>
      </w:tr>
      <w:tr>
        <w:tblPrEx>
          <w:tblCellMar>
            <w:top w:w="0" w:type="dxa"/>
            <w:left w:w="108" w:type="dxa"/>
            <w:bottom w:w="0" w:type="dxa"/>
            <w:right w:w="108" w:type="dxa"/>
          </w:tblCellMar>
        </w:tblPrEx>
        <w:trPr>
          <w:trHeight w:val="360" w:hRule="atLeast"/>
        </w:trPr>
        <w:tc>
          <w:tcPr>
            <w:tcW w:w="13491" w:type="dxa"/>
            <w:gridSpan w:val="11"/>
            <w:tcBorders>
              <w:top w:val="nil"/>
              <w:left w:val="nil"/>
              <w:bottom w:val="single" w:color="000000" w:sz="4" w:space="0"/>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jc w:val="righ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填表人及联系方式： 李媛媛  15938733150                       </w:t>
            </w:r>
          </w:p>
        </w:tc>
      </w:tr>
      <w:tr>
        <w:tblPrEx>
          <w:tblCellMar>
            <w:top w:w="0" w:type="dxa"/>
            <w:left w:w="108" w:type="dxa"/>
            <w:bottom w:w="0" w:type="dxa"/>
            <w:right w:w="108" w:type="dxa"/>
          </w:tblCellMar>
        </w:tblPrEx>
        <w:trPr>
          <w:trHeight w:val="378" w:hRule="atLeast"/>
        </w:trPr>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376"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临时人员工资及社保</w:t>
            </w:r>
          </w:p>
        </w:tc>
      </w:tr>
      <w:tr>
        <w:tblPrEx>
          <w:tblCellMar>
            <w:top w:w="0" w:type="dxa"/>
            <w:left w:w="108" w:type="dxa"/>
            <w:bottom w:w="0" w:type="dxa"/>
            <w:right w:w="108" w:type="dxa"/>
          </w:tblCellMar>
        </w:tblPrEx>
        <w:trPr>
          <w:trHeight w:val="378" w:hRule="atLeast"/>
        </w:trPr>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511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205001许昌市城管局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438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许昌市城市管理执法支队</w:t>
            </w:r>
          </w:p>
        </w:tc>
      </w:tr>
      <w:tr>
        <w:tblPrEx>
          <w:tblCellMar>
            <w:top w:w="0" w:type="dxa"/>
            <w:left w:w="108" w:type="dxa"/>
            <w:bottom w:w="0" w:type="dxa"/>
            <w:right w:w="108" w:type="dxa"/>
          </w:tblCellMar>
        </w:tblPrEx>
        <w:trPr>
          <w:trHeight w:val="630" w:hRule="atLeast"/>
        </w:trPr>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项目资金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全年预算数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全年执行数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执行率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（B/A</w:t>
            </w:r>
            <w:r>
              <w:rPr>
                <w:rFonts w:ascii="宋体" w:hAnsi="宋体" w:cs="宋体"/>
                <w:color w:val="000000"/>
                <w:kern w:val="0"/>
                <w:sz w:val="24"/>
              </w:rPr>
              <w:t>x</w:t>
            </w:r>
            <w:r>
              <w:rPr>
                <w:rFonts w:ascii="宋体" w:hAnsi="宋体" w:cs="宋体"/>
                <w:color w:val="000000"/>
                <w:kern w:val="0"/>
                <w:sz w:val="18"/>
              </w:rPr>
              <w:t>100%）</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378"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80.49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80.49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58.92</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73.2%</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7.32 </w:t>
            </w:r>
          </w:p>
        </w:tc>
      </w:tr>
      <w:tr>
        <w:tblPrEx>
          <w:tblCellMar>
            <w:top w:w="0" w:type="dxa"/>
            <w:left w:w="108" w:type="dxa"/>
            <w:bottom w:w="0" w:type="dxa"/>
            <w:right w:w="108" w:type="dxa"/>
          </w:tblCellMar>
        </w:tblPrEx>
        <w:trPr>
          <w:trHeight w:val="378"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其中：政府预算资金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80.49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80.49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58.92</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78"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财政专户管理资金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78"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单位资金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480" w:hRule="atLeast"/>
        </w:trPr>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资金管理情况</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情况说明</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分值（20）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存在问题和改进措施</w:t>
            </w:r>
          </w:p>
        </w:tc>
      </w:tr>
      <w:tr>
        <w:tblPrEx>
          <w:tblCellMar>
            <w:top w:w="0" w:type="dxa"/>
            <w:left w:w="108" w:type="dxa"/>
            <w:bottom w:w="0" w:type="dxa"/>
            <w:right w:w="108" w:type="dxa"/>
          </w:tblCellMar>
        </w:tblPrEx>
        <w:trPr>
          <w:trHeight w:val="860"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安排科学性</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资金安排合理，临时人员流动性大，有部分结余正常</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480"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拨付合规性</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合规拨付，按月实际发放工资及社保。</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540"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使用规范性</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使用规范，严格按照项目资金用途进行使用。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预算绩效管理情况</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绩效管理良好，按照预设目标发展。</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651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626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全年实际完成情况</w:t>
            </w:r>
          </w:p>
        </w:tc>
      </w:tr>
      <w:tr>
        <w:tblPrEx>
          <w:tblCellMar>
            <w:top w:w="0" w:type="dxa"/>
            <w:left w:w="108" w:type="dxa"/>
            <w:bottom w:w="0" w:type="dxa"/>
            <w:right w:w="108" w:type="dxa"/>
          </w:tblCellMar>
        </w:tblPrEx>
        <w:trPr>
          <w:trHeight w:val="94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651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目标1：确保管辖区域日常城市管理执法工作有序开展；保障各类创建、迎检活动顺利通过验收；配合提升城市管理水平，改善城市面貌。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目标2：保障执法支队临时人员工资发放和医疗等社保缴纳。</w:t>
            </w:r>
          </w:p>
        </w:tc>
        <w:tc>
          <w:tcPr>
            <w:tcW w:w="626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全部完成预期目标</w:t>
            </w:r>
          </w:p>
        </w:tc>
      </w:tr>
      <w:tr>
        <w:tblPrEx>
          <w:tblCellMar>
            <w:top w:w="0" w:type="dxa"/>
            <w:left w:w="108" w:type="dxa"/>
            <w:bottom w:w="0" w:type="dxa"/>
            <w:right w:w="108"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blPrEx>
          <w:tblCellMar>
            <w:top w:w="0" w:type="dxa"/>
            <w:left w:w="108" w:type="dxa"/>
            <w:bottom w:w="0" w:type="dxa"/>
            <w:right w:w="108" w:type="dxa"/>
          </w:tblCellMar>
        </w:tblPrEx>
        <w:trPr>
          <w:trHeight w:val="10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95"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成本指标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非编人员工资社保等</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≤80.49万元</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58.92万元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产出指标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临时人员数量</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≤16人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城市干净度</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工资发放时效</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每月20号之前发放</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效益指标(25分)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提供就业岗位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≤16个</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10个</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满意度指标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群众满意度</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378" w:hRule="atLeast"/>
        </w:trPr>
        <w:tc>
          <w:tcPr>
            <w:tcW w:w="9107"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97.32 </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885" w:hRule="atLeast"/>
        </w:trPr>
        <w:tc>
          <w:tcPr>
            <w:tcW w:w="1349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注：1.资金管理情况的考核，对违反预算管理规定行为的，原则上每发现1例扣1分，扣完为止。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2.绩效自评采取打分评价的形式，满分为100分，</w:t>
            </w:r>
            <w:r>
              <w:rPr>
                <w:rFonts w:ascii="宋体" w:hAnsi="宋体" w:cs="宋体"/>
                <w:color w:val="000000"/>
                <w:kern w:val="0"/>
                <w:sz w:val="18"/>
              </w:rPr>
              <w:t>项目单位自评原则上统一按以下方式设置：预算执行率10分、资金管理情况20分、成本指标10分、产出指标30分、效益指标25分、满意度指标5分。二三级指标的分值权重由各单位根据项目实际情况和指标重要程度合理设置。</w:t>
            </w:r>
            <w:r>
              <w:rPr>
                <w:rFonts w:hint="eastAsia" w:ascii="宋体" w:hAnsi="宋体" w:cs="宋体"/>
                <w:color w:val="000000"/>
                <w:kern w:val="0"/>
                <w:sz w:val="18"/>
                <w:szCs w:val="18"/>
              </w:rPr>
              <w:br w:type="textWrapping"/>
            </w:r>
            <w:r>
              <w:rPr>
                <w:rFonts w:ascii="宋体" w:hAnsi="宋体" w:cs="宋体"/>
                <w:color w:val="000000"/>
                <w:kern w:val="0"/>
                <w:sz w:val="18"/>
              </w:rPr>
              <w:t xml:space="preserve">    3.偏差原因分析及改进措施：说明偏离目标、不能完成目标的原因及改进措施。</w:t>
            </w:r>
            <w:r>
              <w:rPr>
                <w:rFonts w:hint="eastAsia" w:ascii="宋体" w:hAnsi="宋体" w:cs="宋体"/>
                <w:color w:val="000000"/>
                <w:kern w:val="0"/>
                <w:sz w:val="18"/>
                <w:szCs w:val="18"/>
              </w:rPr>
              <w:br w:type="textWrapping"/>
            </w:r>
            <w:r>
              <w:rPr>
                <w:rFonts w:ascii="宋体" w:hAnsi="宋体" w:cs="宋体"/>
                <w:color w:val="000000"/>
                <w:kern w:val="0"/>
                <w:sz w:val="18"/>
              </w:rPr>
              <w:t xml:space="preserve">    4.定性指标完成情况分为好、较好、一般、较差四档，在相应档次分别按照100％-90%(含)、90%-80％(含)、80％-60％(含)、60％-0％合理确定分值。定量指标完成指标值的，记该指标所赋全部分值；未完成的，按照完成值与指标值的比例计分。</w:t>
            </w:r>
          </w:p>
        </w:tc>
      </w:tr>
      <w:tr>
        <w:tblPrEx>
          <w:tblCellMar>
            <w:top w:w="0" w:type="dxa"/>
            <w:left w:w="108" w:type="dxa"/>
            <w:bottom w:w="0" w:type="dxa"/>
            <w:right w:w="108" w:type="dxa"/>
          </w:tblCellMar>
        </w:tblPrEx>
        <w:trPr>
          <w:trHeight w:val="360" w:hRule="atLeast"/>
        </w:trPr>
        <w:tc>
          <w:tcPr>
            <w:tcW w:w="1349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70" w:hRule="atLeast"/>
        </w:trPr>
        <w:tc>
          <w:tcPr>
            <w:tcW w:w="1349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bl>
    <w:p>
      <w:pPr>
        <w:pStyle w:val="10"/>
        <w:keepNext w:val="0"/>
        <w:keepLines w:val="0"/>
        <w:pageBreakBefore w:val="0"/>
        <w:widowControl w:val="0"/>
        <w:kinsoku/>
        <w:overflowPunct/>
        <w:topLinePunct w:val="0"/>
        <w:autoSpaceDN/>
        <w:bidi w:val="0"/>
        <w:adjustRightInd/>
        <w:textAlignment w:val="auto"/>
        <w:rPr>
          <w:rFonts w:hint="eastAsia"/>
        </w:rPr>
      </w:pPr>
    </w:p>
    <w:tbl>
      <w:tblPr>
        <w:tblStyle w:val="11"/>
        <w:tblW w:w="14405" w:type="dxa"/>
        <w:tblInd w:w="93" w:type="dxa"/>
        <w:shd w:val="clear" w:color="auto" w:fill="auto"/>
        <w:tblLayout w:type="autofit"/>
        <w:tblCellMar>
          <w:top w:w="0" w:type="dxa"/>
          <w:left w:w="108" w:type="dxa"/>
          <w:bottom w:w="0" w:type="dxa"/>
          <w:right w:w="108" w:type="dxa"/>
        </w:tblCellMar>
      </w:tblPr>
      <w:tblGrid>
        <w:gridCol w:w="720"/>
        <w:gridCol w:w="1620"/>
        <w:gridCol w:w="1333"/>
        <w:gridCol w:w="1253"/>
        <w:gridCol w:w="2955"/>
        <w:gridCol w:w="1637"/>
        <w:gridCol w:w="1523"/>
        <w:gridCol w:w="826"/>
        <w:gridCol w:w="826"/>
        <w:gridCol w:w="555"/>
        <w:gridCol w:w="1245"/>
      </w:tblGrid>
      <w:tr>
        <w:tblPrEx>
          <w:tblCellMar>
            <w:top w:w="0" w:type="dxa"/>
            <w:left w:w="108" w:type="dxa"/>
            <w:bottom w:w="0" w:type="dxa"/>
            <w:right w:w="108" w:type="dxa"/>
          </w:tblCellMar>
        </w:tblPrEx>
        <w:trPr>
          <w:trHeight w:val="558" w:hRule="atLeast"/>
        </w:trPr>
        <w:tc>
          <w:tcPr>
            <w:tcW w:w="14438" w:type="dxa"/>
            <w:gridSpan w:val="11"/>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项目自评表</w:t>
            </w:r>
          </w:p>
        </w:tc>
      </w:tr>
      <w:tr>
        <w:tblPrEx>
          <w:tblCellMar>
            <w:top w:w="0" w:type="dxa"/>
            <w:left w:w="108" w:type="dxa"/>
            <w:bottom w:w="0" w:type="dxa"/>
            <w:right w:w="108" w:type="dxa"/>
          </w:tblCellMar>
        </w:tblPrEx>
        <w:trPr>
          <w:trHeight w:val="480" w:hRule="atLeast"/>
        </w:trPr>
        <w:tc>
          <w:tcPr>
            <w:tcW w:w="14438" w:type="dxa"/>
            <w:gridSpan w:val="11"/>
            <w:tcBorders>
              <w:top w:val="nil"/>
              <w:left w:val="nil"/>
              <w:bottom w:val="nil"/>
              <w:right w:val="nil"/>
            </w:tcBorders>
            <w:shd w:val="clear" w:color="auto" w:fill="auto"/>
            <w:noWrap/>
            <w:vAlign w:val="top"/>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2"/>
              </w:rPr>
            </w:pPr>
            <w:r>
              <w:rPr>
                <w:rFonts w:hint="eastAsia" w:ascii="宋体" w:hAnsi="宋体" w:cs="宋体"/>
                <w:color w:val="000000"/>
                <w:kern w:val="0"/>
                <w:sz w:val="22"/>
              </w:rPr>
              <w:t>（2023年度）</w:t>
            </w:r>
          </w:p>
        </w:tc>
      </w:tr>
      <w:tr>
        <w:tblPrEx>
          <w:tblCellMar>
            <w:top w:w="0" w:type="dxa"/>
            <w:left w:w="108" w:type="dxa"/>
            <w:bottom w:w="0" w:type="dxa"/>
            <w:right w:w="108" w:type="dxa"/>
          </w:tblCellMar>
        </w:tblPrEx>
        <w:trPr>
          <w:trHeight w:val="360" w:hRule="atLeast"/>
        </w:trPr>
        <w:tc>
          <w:tcPr>
            <w:tcW w:w="14438" w:type="dxa"/>
            <w:gridSpan w:val="11"/>
            <w:tcBorders>
              <w:top w:val="nil"/>
              <w:left w:val="nil"/>
              <w:bottom w:val="single" w:color="000000" w:sz="4" w:space="0"/>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jc w:val="righ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填表人及联系方式： 李媛媛  15938733150                        </w:t>
            </w:r>
          </w:p>
        </w:tc>
      </w:tr>
      <w:tr>
        <w:tblPrEx>
          <w:tblCellMar>
            <w:top w:w="0" w:type="dxa"/>
            <w:left w:w="108" w:type="dxa"/>
            <w:bottom w:w="0" w:type="dxa"/>
            <w:right w:w="108" w:type="dxa"/>
          </w:tblCellMar>
        </w:tblPrEx>
        <w:trPr>
          <w:trHeight w:val="378"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2098"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餐饮油烟在线监控平台(尾款)</w:t>
            </w:r>
          </w:p>
        </w:tc>
      </w:tr>
      <w:tr>
        <w:tblPrEx>
          <w:tblCellMar>
            <w:top w:w="0" w:type="dxa"/>
            <w:left w:w="108" w:type="dxa"/>
            <w:bottom w:w="0" w:type="dxa"/>
            <w:right w:w="108" w:type="dxa"/>
          </w:tblCellMar>
        </w:tblPrEx>
        <w:trPr>
          <w:trHeight w:val="378"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717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205001许昌市城管局</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39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许昌市城市管理执法支队</w:t>
            </w:r>
          </w:p>
        </w:tc>
      </w:tr>
      <w:tr>
        <w:tblPrEx>
          <w:tblCellMar>
            <w:top w:w="0" w:type="dxa"/>
            <w:left w:w="108" w:type="dxa"/>
            <w:bottom w:w="0" w:type="dxa"/>
            <w:right w:w="108" w:type="dxa"/>
          </w:tblCellMar>
        </w:tblPrEx>
        <w:trPr>
          <w:trHeight w:val="630" w:hRule="atLeast"/>
        </w:trPr>
        <w:tc>
          <w:tcPr>
            <w:tcW w:w="2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项目资金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全年预算数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全年执行数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执行率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（B/A</w:t>
            </w:r>
            <w:r>
              <w:rPr>
                <w:rFonts w:ascii="宋体" w:hAnsi="宋体" w:cs="宋体"/>
                <w:color w:val="000000"/>
                <w:kern w:val="0"/>
                <w:sz w:val="24"/>
              </w:rPr>
              <w:t>x</w:t>
            </w:r>
            <w:r>
              <w:rPr>
                <w:rFonts w:ascii="宋体" w:hAnsi="宋体" w:cs="宋体"/>
                <w:color w:val="000000"/>
                <w:kern w:val="0"/>
                <w:sz w:val="18"/>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8.9</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 </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其中：政府预算资金</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8.9</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财政专户管理资金</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单位资金</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480" w:hRule="atLeast"/>
        </w:trPr>
        <w:tc>
          <w:tcPr>
            <w:tcW w:w="2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资金管理情况</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61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情况说明</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存在问题和改进措施</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安排科学性</w:t>
            </w:r>
          </w:p>
        </w:tc>
        <w:tc>
          <w:tcPr>
            <w:tcW w:w="61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资金安排合理，严格按照合同执行。</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拨付合规性</w:t>
            </w:r>
          </w:p>
        </w:tc>
        <w:tc>
          <w:tcPr>
            <w:tcW w:w="61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拨付合规，按照合同约定拨付。</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使用规范性</w:t>
            </w:r>
          </w:p>
        </w:tc>
        <w:tc>
          <w:tcPr>
            <w:tcW w:w="61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使用规范，严格按照项目资金用途进行使用。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预算绩效管理情况</w:t>
            </w:r>
          </w:p>
        </w:tc>
        <w:tc>
          <w:tcPr>
            <w:tcW w:w="61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绩效管理良好，按照预设目标发展。</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879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全年实际完成情况</w:t>
            </w:r>
          </w:p>
        </w:tc>
      </w:tr>
      <w:tr>
        <w:tblPrEx>
          <w:tblCellMar>
            <w:top w:w="0" w:type="dxa"/>
            <w:left w:w="108" w:type="dxa"/>
            <w:bottom w:w="0" w:type="dxa"/>
            <w:right w:w="108" w:type="dxa"/>
          </w:tblCellMar>
        </w:tblPrEx>
        <w:trPr>
          <w:trHeight w:val="94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879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进一步加大餐饮油烟污染治理力度，提高我市空气质量，对重点部位餐饮服务单位油烟排放实现24小时在线监控，解决净化设施运转不正常和清洗不及时等问题。</w:t>
            </w:r>
          </w:p>
        </w:tc>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空气质量有显著提升，重点部位餐饮服务单位油烟排放得到24小时在线监控，有效解决净化设施运转不正常和清洗不及时问题。</w:t>
            </w:r>
          </w:p>
        </w:tc>
      </w:tr>
      <w:tr>
        <w:tblPrEx>
          <w:tblCellMar>
            <w:top w:w="0" w:type="dxa"/>
            <w:left w:w="108" w:type="dxa"/>
            <w:bottom w:w="0" w:type="dxa"/>
            <w:right w:w="108"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blPrEx>
          <w:tblCellMar>
            <w:top w:w="0" w:type="dxa"/>
            <w:left w:w="108" w:type="dxa"/>
            <w:bottom w:w="0" w:type="dxa"/>
            <w:right w:w="108" w:type="dxa"/>
          </w:tblCellMar>
        </w:tblPrEx>
        <w:trPr>
          <w:trHeight w:val="7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成本指标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指标1：项目尾款费</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8.9万元</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8.9万元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产出指标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指标1：安装油烟监测器</w:t>
            </w:r>
          </w:p>
        </w:tc>
        <w:tc>
          <w:tcPr>
            <w:tcW w:w="1637"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200台</w:t>
            </w:r>
          </w:p>
        </w:tc>
        <w:tc>
          <w:tcPr>
            <w:tcW w:w="1523"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指标2：安装油烟在线监测系统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1套</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指标1：达到在线监测数据符合国家标准要求</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指标1：在合同规定时间完工验收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2021年11月12日</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2021年11月12日</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效益指标(25分)</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指标1：对餐饮服务单位油烟排放值进行实时监控</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360天</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360天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指标2：及时发现超标单位督促整改，改善空气质量</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满意度指标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指标1：群众满意度</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1104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100.0 </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885" w:hRule="atLeast"/>
        </w:trPr>
        <w:tc>
          <w:tcPr>
            <w:tcW w:w="14438"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注：1.资金管理情况的考核，对违反预算管理规定行为的，原则上每发现1例扣1分，扣完为止。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2.绩效自评采取打分评价的形式，满分为100分，</w:t>
            </w:r>
            <w:r>
              <w:rPr>
                <w:rFonts w:ascii="宋体" w:hAnsi="宋体" w:cs="宋体"/>
                <w:color w:val="000000"/>
                <w:kern w:val="0"/>
                <w:sz w:val="18"/>
              </w:rPr>
              <w:t>项目单位自评原则上统一按以下方式设置：预算执行率10分、资金管理情况20分、成本指标10分、产出指标30分、效益指标25分、满意度指标5分。二三级指标的分值权重由各单位根据项目实际情况和指标重要程度合理设置。</w:t>
            </w:r>
            <w:r>
              <w:rPr>
                <w:rFonts w:hint="eastAsia" w:ascii="宋体" w:hAnsi="宋体" w:cs="宋体"/>
                <w:color w:val="000000"/>
                <w:kern w:val="0"/>
                <w:sz w:val="18"/>
                <w:szCs w:val="18"/>
              </w:rPr>
              <w:br w:type="textWrapping"/>
            </w:r>
            <w:r>
              <w:rPr>
                <w:rFonts w:ascii="宋体" w:hAnsi="宋体" w:cs="宋体"/>
                <w:color w:val="000000"/>
                <w:kern w:val="0"/>
                <w:sz w:val="18"/>
              </w:rPr>
              <w:t xml:space="preserve">    3.偏差原因分析及改进措施：说明偏离目标、不能完成目标的原因及改进措施。</w:t>
            </w:r>
            <w:r>
              <w:rPr>
                <w:rFonts w:hint="eastAsia" w:ascii="宋体" w:hAnsi="宋体" w:cs="宋体"/>
                <w:color w:val="000000"/>
                <w:kern w:val="0"/>
                <w:sz w:val="18"/>
                <w:szCs w:val="18"/>
              </w:rPr>
              <w:br w:type="textWrapping"/>
            </w:r>
            <w:r>
              <w:rPr>
                <w:rFonts w:ascii="宋体" w:hAnsi="宋体" w:cs="宋体"/>
                <w:color w:val="000000"/>
                <w:kern w:val="0"/>
                <w:sz w:val="18"/>
              </w:rPr>
              <w:t xml:space="preserve">    4.定性指标完成情况分为好、较好、一般、较差四档，在相应档次分别按照100％-90%(含)、90%-80％(含)、80％-60％(含)、60％-0％合理确定分值。定量指标完成指标值的，记该指标所赋全部分值；未完成的，按照完成值与指标值的比例计分。</w:t>
            </w:r>
          </w:p>
        </w:tc>
      </w:tr>
      <w:tr>
        <w:tblPrEx>
          <w:tblCellMar>
            <w:top w:w="0" w:type="dxa"/>
            <w:left w:w="108" w:type="dxa"/>
            <w:bottom w:w="0" w:type="dxa"/>
            <w:right w:w="108" w:type="dxa"/>
          </w:tblCellMar>
        </w:tblPrEx>
        <w:trPr>
          <w:trHeight w:val="360" w:hRule="atLeast"/>
        </w:trPr>
        <w:tc>
          <w:tcPr>
            <w:tcW w:w="1443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70" w:hRule="atLeast"/>
        </w:trPr>
        <w:tc>
          <w:tcPr>
            <w:tcW w:w="1443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bl>
    <w:p>
      <w:pPr>
        <w:pStyle w:val="10"/>
        <w:keepNext w:val="0"/>
        <w:keepLines w:val="0"/>
        <w:pageBreakBefore w:val="0"/>
        <w:widowControl w:val="0"/>
        <w:kinsoku/>
        <w:overflowPunct/>
        <w:topLinePunct w:val="0"/>
        <w:autoSpaceDN/>
        <w:bidi w:val="0"/>
        <w:adjustRightInd/>
        <w:textAlignment w:val="auto"/>
        <w:rPr>
          <w:rFonts w:hint="eastAsia"/>
        </w:rPr>
      </w:pPr>
    </w:p>
    <w:p>
      <w:pPr>
        <w:pStyle w:val="10"/>
        <w:keepNext w:val="0"/>
        <w:keepLines w:val="0"/>
        <w:pageBreakBefore w:val="0"/>
        <w:widowControl w:val="0"/>
        <w:kinsoku/>
        <w:overflowPunct/>
        <w:topLinePunct w:val="0"/>
        <w:autoSpaceDN/>
        <w:bidi w:val="0"/>
        <w:adjustRightInd/>
        <w:textAlignment w:val="auto"/>
        <w:rPr>
          <w:rFonts w:hint="eastAsia"/>
        </w:rPr>
      </w:pPr>
    </w:p>
    <w:tbl>
      <w:tblPr>
        <w:tblStyle w:val="11"/>
        <w:tblW w:w="12390" w:type="dxa"/>
        <w:tblInd w:w="93" w:type="dxa"/>
        <w:shd w:val="clear" w:color="auto" w:fill="auto"/>
        <w:tblLayout w:type="autofit"/>
        <w:tblCellMar>
          <w:top w:w="0" w:type="dxa"/>
          <w:left w:w="108" w:type="dxa"/>
          <w:bottom w:w="0" w:type="dxa"/>
          <w:right w:w="108" w:type="dxa"/>
        </w:tblCellMar>
      </w:tblPr>
      <w:tblGrid>
        <w:gridCol w:w="720"/>
        <w:gridCol w:w="1093"/>
        <w:gridCol w:w="1266"/>
        <w:gridCol w:w="2180"/>
        <w:gridCol w:w="1317"/>
        <w:gridCol w:w="1240"/>
        <w:gridCol w:w="1226"/>
        <w:gridCol w:w="826"/>
        <w:gridCol w:w="838"/>
        <w:gridCol w:w="543"/>
        <w:gridCol w:w="1249"/>
      </w:tblGrid>
      <w:tr>
        <w:tblPrEx>
          <w:tblCellMar>
            <w:top w:w="0" w:type="dxa"/>
            <w:left w:w="108" w:type="dxa"/>
            <w:bottom w:w="0" w:type="dxa"/>
            <w:right w:w="108" w:type="dxa"/>
          </w:tblCellMar>
        </w:tblPrEx>
        <w:trPr>
          <w:trHeight w:val="558" w:hRule="atLeast"/>
        </w:trPr>
        <w:tc>
          <w:tcPr>
            <w:tcW w:w="12443" w:type="dxa"/>
            <w:gridSpan w:val="11"/>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项目自评表</w:t>
            </w:r>
          </w:p>
        </w:tc>
      </w:tr>
      <w:tr>
        <w:tblPrEx>
          <w:tblCellMar>
            <w:top w:w="0" w:type="dxa"/>
            <w:left w:w="108" w:type="dxa"/>
            <w:bottom w:w="0" w:type="dxa"/>
            <w:right w:w="108" w:type="dxa"/>
          </w:tblCellMar>
        </w:tblPrEx>
        <w:trPr>
          <w:trHeight w:val="480" w:hRule="atLeast"/>
        </w:trPr>
        <w:tc>
          <w:tcPr>
            <w:tcW w:w="12443" w:type="dxa"/>
            <w:gridSpan w:val="11"/>
            <w:tcBorders>
              <w:top w:val="nil"/>
              <w:left w:val="nil"/>
              <w:bottom w:val="nil"/>
              <w:right w:val="nil"/>
            </w:tcBorders>
            <w:shd w:val="clear" w:color="auto" w:fill="auto"/>
            <w:noWrap/>
            <w:vAlign w:val="top"/>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22"/>
              </w:rPr>
            </w:pPr>
            <w:r>
              <w:rPr>
                <w:rFonts w:hint="eastAsia" w:ascii="宋体" w:hAnsi="宋体" w:cs="宋体"/>
                <w:color w:val="000000"/>
                <w:kern w:val="0"/>
                <w:sz w:val="22"/>
              </w:rPr>
              <w:t>（   2023 年度）</w:t>
            </w:r>
          </w:p>
        </w:tc>
      </w:tr>
      <w:tr>
        <w:tblPrEx>
          <w:tblCellMar>
            <w:top w:w="0" w:type="dxa"/>
            <w:left w:w="108" w:type="dxa"/>
            <w:bottom w:w="0" w:type="dxa"/>
            <w:right w:w="108" w:type="dxa"/>
          </w:tblCellMar>
        </w:tblPrEx>
        <w:trPr>
          <w:trHeight w:val="360" w:hRule="atLeast"/>
        </w:trPr>
        <w:tc>
          <w:tcPr>
            <w:tcW w:w="12443" w:type="dxa"/>
            <w:gridSpan w:val="11"/>
            <w:tcBorders>
              <w:top w:val="nil"/>
              <w:left w:val="nil"/>
              <w:bottom w:val="single" w:color="000000" w:sz="4" w:space="0"/>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jc w:val="righ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填表人及联系方式：李媛媛  15938733150                          </w:t>
            </w:r>
          </w:p>
        </w:tc>
      </w:tr>
      <w:tr>
        <w:tblPrEx>
          <w:tblCellMar>
            <w:top w:w="0" w:type="dxa"/>
            <w:left w:w="108" w:type="dxa"/>
            <w:bottom w:w="0" w:type="dxa"/>
            <w:right w:w="108" w:type="dxa"/>
          </w:tblCellMar>
        </w:tblPrEx>
        <w:trPr>
          <w:trHeight w:val="378" w:hRule="atLeast"/>
        </w:trPr>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063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毓秀路街景整治提升项目(尾款)</w:t>
            </w:r>
          </w:p>
        </w:tc>
      </w:tr>
      <w:tr>
        <w:tblPrEx>
          <w:tblCellMar>
            <w:top w:w="0" w:type="dxa"/>
            <w:left w:w="108" w:type="dxa"/>
            <w:bottom w:w="0" w:type="dxa"/>
            <w:right w:w="108" w:type="dxa"/>
          </w:tblCellMar>
        </w:tblPrEx>
        <w:trPr>
          <w:trHeight w:val="378" w:hRule="atLeast"/>
        </w:trPr>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600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205001许昌市城管局</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40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许昌市城市管理执法支队</w:t>
            </w:r>
          </w:p>
        </w:tc>
      </w:tr>
      <w:tr>
        <w:tblPrEx>
          <w:tblCellMar>
            <w:top w:w="0" w:type="dxa"/>
            <w:left w:w="108" w:type="dxa"/>
            <w:bottom w:w="0" w:type="dxa"/>
            <w:right w:w="108" w:type="dxa"/>
          </w:tblCellMar>
        </w:tblPrEx>
        <w:trPr>
          <w:trHeight w:val="630" w:hRule="atLeast"/>
        </w:trPr>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项目资金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全年预算数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全年执行数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执行率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（B/A</w:t>
            </w:r>
            <w:r>
              <w:rPr>
                <w:rFonts w:ascii="宋体" w:hAnsi="宋体" w:cs="宋体"/>
                <w:color w:val="000000"/>
                <w:kern w:val="0"/>
                <w:sz w:val="24"/>
              </w:rPr>
              <w:t>x</w:t>
            </w:r>
            <w:r>
              <w:rPr>
                <w:rFonts w:ascii="宋体" w:hAnsi="宋体" w:cs="宋体"/>
                <w:color w:val="000000"/>
                <w:kern w:val="0"/>
                <w:sz w:val="18"/>
              </w:rPr>
              <w:t>100%）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17.33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17.33</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 </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其中：政府预算资金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17.33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17.33</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480" w:hRule="atLeast"/>
        </w:trPr>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资金管理情况</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情况说明</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分值（20）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存在问题和改进措施</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安排科学性</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根据签订合同金额，安排资金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拨付合规性</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依据合同约定，及时拨付</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使用规范性</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专款专用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预算绩效管理情况</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预算绩效管理合规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7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709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462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全年实际完成情况</w:t>
            </w:r>
          </w:p>
        </w:tc>
      </w:tr>
      <w:tr>
        <w:tblPrEx>
          <w:tblCellMar>
            <w:top w:w="0" w:type="dxa"/>
            <w:left w:w="108" w:type="dxa"/>
            <w:bottom w:w="0" w:type="dxa"/>
            <w:right w:w="108" w:type="dxa"/>
          </w:tblCellMar>
        </w:tblPrEx>
        <w:trPr>
          <w:trHeight w:val="94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709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进一步改善城市环境，更好的服务沿线的学校、医院、商户、居民，切实为市民群众创造一个优美的工作和生活环境。       </w:t>
            </w:r>
          </w:p>
        </w:tc>
        <w:tc>
          <w:tcPr>
            <w:tcW w:w="462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全部完成预期目标</w:t>
            </w:r>
          </w:p>
        </w:tc>
      </w:tr>
      <w:tr>
        <w:tblPrEx>
          <w:tblCellMar>
            <w:top w:w="0" w:type="dxa"/>
            <w:left w:w="108" w:type="dxa"/>
            <w:bottom w:w="0" w:type="dxa"/>
            <w:right w:w="108"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分值</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得分</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成本指标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（10分）</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指标1：项目施工（尾款）</w:t>
            </w:r>
          </w:p>
        </w:tc>
        <w:tc>
          <w:tcPr>
            <w:tcW w:w="1240"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12.65万元</w:t>
            </w:r>
          </w:p>
        </w:tc>
        <w:tc>
          <w:tcPr>
            <w:tcW w:w="1226"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12.65万元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指标2：监理费（尾款）</w:t>
            </w:r>
          </w:p>
        </w:tc>
        <w:tc>
          <w:tcPr>
            <w:tcW w:w="1240"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1.4万元</w:t>
            </w:r>
          </w:p>
        </w:tc>
        <w:tc>
          <w:tcPr>
            <w:tcW w:w="1226" w:type="dxa"/>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1.4万元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指标3：设计费（尾款）</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1.84万元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1.84万元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指标4：可行性研究报告</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0.55万元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0.55万元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指标5：招标代理费</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1.1万元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1.1万元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产出指标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指标1：沿街建筑外墙真石漆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17371.06平方米</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17371.06平方米</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指标2：门头牌匾更新更换731米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731米</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731米</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指标3：沿街建筑物外墙清洗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3408.25平方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3408.25平方 </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指标4：新建围墙</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68米</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68米</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指标5：空调移机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21个</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21个</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指标6：空调罩制作和安装</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526个</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526个</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指标1：沿街建筑外墙真石漆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指标2：门头牌匾更新更换731米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指标3：沿街建筑物外墙清洗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指标4：新建围墙</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指标5：空调移机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指标6：空调罩制作和安装</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指标1：在合同规定时间完工</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达标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效益指标(25分)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20"/>
                <w:szCs w:val="20"/>
              </w:rPr>
            </w:pPr>
            <w:r>
              <w:rPr>
                <w:rFonts w:hint="eastAsia" w:ascii="宋体" w:hAnsi="宋体" w:cs="宋体"/>
                <w:color w:val="000000"/>
                <w:kern w:val="0"/>
                <w:sz w:val="20"/>
                <w:szCs w:val="20"/>
              </w:rPr>
              <w:t xml:space="preserve"> 指标1：毓秀路街道干净整洁</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满意度指标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指标1：沿街单位、门店满意度</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378" w:hRule="atLeast"/>
        </w:trPr>
        <w:tc>
          <w:tcPr>
            <w:tcW w:w="904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100.0 </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885" w:hRule="atLeast"/>
        </w:trPr>
        <w:tc>
          <w:tcPr>
            <w:tcW w:w="12443"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r>
              <w:rPr>
                <w:rFonts w:hint="eastAsia" w:ascii="宋体" w:hAnsi="宋体" w:cs="宋体"/>
                <w:color w:val="000000"/>
                <w:kern w:val="0"/>
                <w:sz w:val="18"/>
                <w:szCs w:val="18"/>
              </w:rPr>
              <w:t>注：1.资金管理情况的考核，对违反预算管理规定行为的，原则上每发现1例扣1分，扣完为止。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2.绩效自评采取打分评价的形式，满分为100分，</w:t>
            </w:r>
            <w:r>
              <w:rPr>
                <w:rFonts w:ascii="宋体" w:hAnsi="宋体" w:cs="宋体"/>
                <w:color w:val="000000"/>
                <w:kern w:val="0"/>
                <w:sz w:val="18"/>
              </w:rPr>
              <w:t>项目单位自评原则上统一按以下方式设置：预算执行率10分、资金管理情况20分、成本指标10分、产出指标30分、效益指标25分、满意度指标5分。二三级指标的分值权重由各单位根据项目实际情况和指标重要程度合理设置。</w:t>
            </w:r>
            <w:r>
              <w:rPr>
                <w:rFonts w:hint="eastAsia" w:ascii="宋体" w:hAnsi="宋体" w:cs="宋体"/>
                <w:color w:val="000000"/>
                <w:kern w:val="0"/>
                <w:sz w:val="18"/>
                <w:szCs w:val="18"/>
              </w:rPr>
              <w:br w:type="textWrapping"/>
            </w:r>
            <w:r>
              <w:rPr>
                <w:rFonts w:ascii="宋体" w:hAnsi="宋体" w:cs="宋体"/>
                <w:color w:val="000000"/>
                <w:kern w:val="0"/>
                <w:sz w:val="18"/>
              </w:rPr>
              <w:t xml:space="preserve">    3.偏差原因分析及改进措施：说明偏离目标、不能完成目标的原因及改进措施。</w:t>
            </w:r>
            <w:r>
              <w:rPr>
                <w:rFonts w:hint="eastAsia" w:ascii="宋体" w:hAnsi="宋体" w:cs="宋体"/>
                <w:color w:val="000000"/>
                <w:kern w:val="0"/>
                <w:sz w:val="18"/>
                <w:szCs w:val="18"/>
              </w:rPr>
              <w:br w:type="textWrapping"/>
            </w:r>
            <w:r>
              <w:rPr>
                <w:rFonts w:ascii="宋体" w:hAnsi="宋体" w:cs="宋体"/>
                <w:color w:val="000000"/>
                <w:kern w:val="0"/>
                <w:sz w:val="18"/>
              </w:rPr>
              <w:t xml:space="preserve">    4.定性指标完成情况分为好、较好、一般、较差四档，在相应档次分别按照100％-90%(含)、90%-80％(含)、80％-60％(含)、60％-0％合理确定分值。定量指标完成指标值的，记该指标所赋全部分值；未完成的，按照完成值与指标值的比例计分。</w:t>
            </w:r>
          </w:p>
        </w:tc>
      </w:tr>
      <w:tr>
        <w:tblPrEx>
          <w:tblCellMar>
            <w:top w:w="0" w:type="dxa"/>
            <w:left w:w="108" w:type="dxa"/>
            <w:bottom w:w="0" w:type="dxa"/>
            <w:right w:w="108" w:type="dxa"/>
          </w:tblCellMar>
        </w:tblPrEx>
        <w:trPr>
          <w:trHeight w:val="360" w:hRule="atLeast"/>
        </w:trPr>
        <w:tc>
          <w:tcPr>
            <w:tcW w:w="1244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570" w:hRule="atLeast"/>
        </w:trPr>
        <w:tc>
          <w:tcPr>
            <w:tcW w:w="1244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left"/>
              <w:textAlignment w:val="auto"/>
              <w:rPr>
                <w:rFonts w:ascii="宋体" w:hAnsi="宋体" w:cs="宋体"/>
                <w:color w:val="000000"/>
                <w:kern w:val="0"/>
                <w:sz w:val="18"/>
                <w:szCs w:val="18"/>
              </w:rPr>
            </w:pPr>
          </w:p>
        </w:tc>
      </w:tr>
    </w:tbl>
    <w:p>
      <w:pPr>
        <w:pStyle w:val="10"/>
        <w:keepNext w:val="0"/>
        <w:keepLines w:val="0"/>
        <w:pageBreakBefore w:val="0"/>
        <w:widowControl w:val="0"/>
        <w:kinsoku/>
        <w:overflowPunct/>
        <w:topLinePunct w:val="0"/>
        <w:autoSpaceDN/>
        <w:bidi w:val="0"/>
        <w:adjustRightInd/>
        <w:textAlignment w:val="auto"/>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textAlignment w:val="auto"/>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textAlignment w:val="auto"/>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keepNext w:val="0"/>
        <w:keepLines w:val="0"/>
        <w:pageBreakBefore w:val="0"/>
        <w:widowControl w:val="0"/>
        <w:kinsoku/>
        <w:overflowPunct/>
        <w:topLinePunct w:val="0"/>
        <w:autoSpaceDN/>
        <w:bidi w:val="0"/>
        <w:adjustRightInd/>
        <w:textAlignment w:val="auto"/>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textAlignment w:val="auto"/>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ybBza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77C41"/>
    <w:multiLevelType w:val="multilevel"/>
    <w:tmpl w:val="9F777C4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6BEB16C9"/>
    <w:rsid w:val="6F7BAF62"/>
    <w:rsid w:val="F7EEE44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e670b99b-d7c4-4d31-bc33-2adcd8cb342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1">
    <w:name w:val="普通表格1"/>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15</TotalTime>
  <ScaleCrop>false</ScaleCrop>
  <LinksUpToDate>false</LinksUpToDate>
  <CharactersWithSpaces>19414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2023-05-05T10:54:00Z</dcterms:created>
  <dc:creator>HSX</dc:creator>
  <cp:lastModifiedBy>huanghe</cp:lastModifiedBy>
  <dcterms:modified xsi:type="dcterms:W3CDTF">2024-10-09T17:35:30Z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DF94CE1DC53D4C5F990C8EECCB3F5EB2_13</vt:lpwstr>
  </property>
</Properties>
</file>