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许昌市城市公共交通管理处</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许昌市城市公共交通管理处</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许昌市城市公共交通管理处概况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（一）负责城市公共交通行业监督管理、安全生产、应急管理和节能减排工作；</w:t>
        <w:br/>
        <w:t xml:space="preserve">    （二）负责城市公共交通从业人员、公共汽（电）车、出租汽车相关营运证件的核发；</w:t>
        <w:br/>
        <w:t xml:space="preserve">    （三）受理乘客投诉和举报，及时反馈处理意见。</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许昌市城市公共交通管理处</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办公室、工会、公交管理科、出租管理科、服务质量监督科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许昌市城市公共交通管理处</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许昌市城市公共交通管理处</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837.62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1.12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12.31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6.19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3.60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1,218.73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11.67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837.62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1,253.62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416.00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1,253.62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1,253.62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837.62</w:t>
            </w:r>
          </w:p>
        </w:tc>
        <w:tc>
          <w:tcPr>
            <w:tcW w:w="1440" w:type="dxa"/>
            <w:tcBorders/>
            <w:vAlign w:val="center"/>
          </w:tcPr>
          <w:p>
            <w:pPr>
              <w:jc w:val="right"/>
            </w:pPr>
            <w:r>
              <w:rPr>
                <w:rFonts w:ascii="宋体" w:eastAsia="宋体" w:hAnsi="宋体" w:cs="宋体"/>
                <w:b/>
                <w:i w:val="0"/>
                <w:color w:val="000000"/>
                <w:sz w:val="17"/>
              </w:rPr>
              <w:t xml:space="preserve">837.62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1.12</w:t>
            </w:r>
          </w:p>
        </w:tc>
        <w:tc>
          <w:tcPr>
            <w:tcW w:w="1440" w:type="dxa"/>
            <w:tcBorders/>
            <w:vAlign w:val="center"/>
          </w:tcPr>
          <w:p>
            <w:pPr>
              <w:jc w:val="right"/>
            </w:pPr>
            <w:r>
              <w:rPr>
                <w:rFonts w:ascii="宋体" w:eastAsia="宋体" w:hAnsi="宋体" w:cs="宋体"/>
                <w:b w:val="0"/>
                <w:i w:val="0"/>
                <w:color w:val="000000"/>
                <w:sz w:val="17"/>
              </w:rPr>
              <w:t xml:space="preserve">1.12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1.12</w:t>
            </w:r>
          </w:p>
        </w:tc>
        <w:tc>
          <w:tcPr>
            <w:tcW w:w="1440" w:type="dxa"/>
            <w:tcBorders/>
            <w:vAlign w:val="center"/>
          </w:tcPr>
          <w:p>
            <w:pPr>
              <w:jc w:val="right"/>
            </w:pPr>
            <w:r>
              <w:rPr>
                <w:rFonts w:ascii="宋体" w:eastAsia="宋体" w:hAnsi="宋体" w:cs="宋体"/>
                <w:b w:val="0"/>
                <w:i w:val="0"/>
                <w:color w:val="000000"/>
                <w:sz w:val="17"/>
              </w:rPr>
              <w:t xml:space="preserve">1.12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1.12</w:t>
            </w:r>
          </w:p>
        </w:tc>
        <w:tc>
          <w:tcPr>
            <w:tcW w:w="1440" w:type="dxa"/>
            <w:tcBorders/>
            <w:vAlign w:val="center"/>
          </w:tcPr>
          <w:p>
            <w:pPr>
              <w:jc w:val="right"/>
            </w:pPr>
            <w:r>
              <w:rPr>
                <w:rFonts w:ascii="宋体" w:eastAsia="宋体" w:hAnsi="宋体" w:cs="宋体"/>
                <w:b w:val="0"/>
                <w:i w:val="0"/>
                <w:color w:val="000000"/>
                <w:sz w:val="17"/>
              </w:rPr>
              <w:t xml:space="preserve">1.12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12.31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6.19</w:t>
            </w:r>
          </w:p>
        </w:tc>
        <w:tc>
          <w:tcPr>
            <w:tcW w:w="1440" w:type="dxa"/>
            <w:tcBorders/>
            <w:vAlign w:val="center"/>
          </w:tcPr>
          <w:p>
            <w:pPr>
              <w:jc w:val="right"/>
            </w:pPr>
            <w:r>
              <w:rPr>
                <w:rFonts w:ascii="宋体" w:eastAsia="宋体" w:hAnsi="宋体" w:cs="宋体"/>
                <w:b w:val="0"/>
                <w:i w:val="0"/>
                <w:color w:val="000000"/>
                <w:sz w:val="17"/>
              </w:rPr>
              <w:t xml:space="preserve">6.19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6.19</w:t>
            </w:r>
          </w:p>
        </w:tc>
        <w:tc>
          <w:tcPr>
            <w:tcW w:w="1440" w:type="dxa"/>
            <w:tcBorders/>
            <w:vAlign w:val="center"/>
          </w:tcPr>
          <w:p>
            <w:pPr>
              <w:jc w:val="right"/>
            </w:pPr>
            <w:r>
              <w:rPr>
                <w:rFonts w:ascii="宋体" w:eastAsia="宋体" w:hAnsi="宋体" w:cs="宋体"/>
                <w:b w:val="0"/>
                <w:i w:val="0"/>
                <w:color w:val="000000"/>
                <w:sz w:val="17"/>
              </w:rPr>
              <w:t xml:space="preserve">6.19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6.19</w:t>
            </w:r>
          </w:p>
        </w:tc>
        <w:tc>
          <w:tcPr>
            <w:tcW w:w="1440" w:type="dxa"/>
            <w:tcBorders/>
            <w:vAlign w:val="center"/>
          </w:tcPr>
          <w:p>
            <w:pPr>
              <w:jc w:val="right"/>
            </w:pPr>
            <w:r>
              <w:rPr>
                <w:rFonts w:ascii="宋体" w:eastAsia="宋体" w:hAnsi="宋体" w:cs="宋体"/>
                <w:b w:val="0"/>
                <w:i w:val="0"/>
                <w:color w:val="000000"/>
                <w:sz w:val="17"/>
              </w:rPr>
              <w:t xml:space="preserve">6.19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节能环保支出</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污染防治</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2110301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大气</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3.60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交通运输支出</w:t>
            </w:r>
          </w:p>
        </w:tc>
        <w:tc>
          <w:tcPr>
            <w:tcW w:w="1440" w:type="dxa"/>
            <w:tcBorders/>
            <w:vAlign w:val="center"/>
          </w:tcPr>
          <w:p>
            <w:pPr>
              <w:jc w:val="right"/>
            </w:pPr>
            <w:r>
              <w:rPr>
                <w:rFonts w:ascii="宋体" w:eastAsia="宋体" w:hAnsi="宋体" w:cs="宋体"/>
                <w:b w:val="0"/>
                <w:i w:val="0"/>
                <w:color w:val="000000"/>
                <w:sz w:val="17"/>
              </w:rPr>
              <w:t xml:space="preserve">802.73</w:t>
            </w:r>
          </w:p>
        </w:tc>
        <w:tc>
          <w:tcPr>
            <w:tcW w:w="1440" w:type="dxa"/>
            <w:tcBorders/>
            <w:vAlign w:val="center"/>
          </w:tcPr>
          <w:p>
            <w:pPr>
              <w:jc w:val="right"/>
            </w:pPr>
            <w:r>
              <w:rPr>
                <w:rFonts w:ascii="宋体" w:eastAsia="宋体" w:hAnsi="宋体" w:cs="宋体"/>
                <w:b w:val="0"/>
                <w:i w:val="0"/>
                <w:color w:val="000000"/>
                <w:sz w:val="17"/>
              </w:rPr>
              <w:t xml:space="preserve">802.73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公路水路运输</w:t>
            </w:r>
          </w:p>
        </w:tc>
        <w:tc>
          <w:tcPr>
            <w:tcW w:w="1440" w:type="dxa"/>
            <w:tcBorders/>
            <w:vAlign w:val="center"/>
          </w:tcPr>
          <w:p>
            <w:pPr>
              <w:jc w:val="right"/>
            </w:pPr>
            <w:r>
              <w:rPr>
                <w:rFonts w:ascii="宋体" w:eastAsia="宋体" w:hAnsi="宋体" w:cs="宋体"/>
                <w:b w:val="0"/>
                <w:i w:val="0"/>
                <w:color w:val="000000"/>
                <w:sz w:val="17"/>
              </w:rPr>
              <w:t xml:space="preserve">343.00</w:t>
            </w:r>
          </w:p>
        </w:tc>
        <w:tc>
          <w:tcPr>
            <w:tcW w:w="1440" w:type="dxa"/>
            <w:tcBorders/>
            <w:vAlign w:val="center"/>
          </w:tcPr>
          <w:p>
            <w:pPr>
              <w:jc w:val="right"/>
            </w:pPr>
            <w:r>
              <w:rPr>
                <w:rFonts w:ascii="宋体" w:eastAsia="宋体" w:hAnsi="宋体" w:cs="宋体"/>
                <w:b w:val="0"/>
                <w:i w:val="0"/>
                <w:color w:val="000000"/>
                <w:sz w:val="17"/>
              </w:rPr>
              <w:t xml:space="preserve">343.00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332.37</w:t>
            </w:r>
          </w:p>
        </w:tc>
        <w:tc>
          <w:tcPr>
            <w:tcW w:w="1440" w:type="dxa"/>
            <w:tcBorders/>
            <w:vAlign w:val="center"/>
          </w:tcPr>
          <w:p>
            <w:pPr>
              <w:jc w:val="right"/>
            </w:pPr>
            <w:r>
              <w:rPr>
                <w:rFonts w:ascii="宋体" w:eastAsia="宋体" w:hAnsi="宋体" w:cs="宋体"/>
                <w:b w:val="0"/>
                <w:i w:val="0"/>
                <w:color w:val="000000"/>
                <w:sz w:val="17"/>
              </w:rPr>
              <w:t xml:space="preserve">332.37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其他公路水路运输支出</w:t>
            </w:r>
          </w:p>
        </w:tc>
        <w:tc>
          <w:tcPr>
            <w:tcW w:w="1440" w:type="dxa"/>
            <w:tcBorders/>
            <w:vAlign w:val="center"/>
          </w:tcPr>
          <w:p>
            <w:pPr>
              <w:jc w:val="right"/>
            </w:pPr>
            <w:r>
              <w:rPr>
                <w:rFonts w:ascii="宋体" w:eastAsia="宋体" w:hAnsi="宋体" w:cs="宋体"/>
                <w:b w:val="0"/>
                <w:i w:val="0"/>
                <w:color w:val="000000"/>
                <w:sz w:val="17"/>
              </w:rPr>
              <w:t xml:space="preserve">10.63</w:t>
            </w:r>
          </w:p>
        </w:tc>
        <w:tc>
          <w:tcPr>
            <w:tcW w:w="1440" w:type="dxa"/>
            <w:tcBorders/>
            <w:vAlign w:val="center"/>
          </w:tcPr>
          <w:p>
            <w:pPr>
              <w:jc w:val="right"/>
            </w:pPr>
            <w:r>
              <w:rPr>
                <w:rFonts w:ascii="宋体" w:eastAsia="宋体" w:hAnsi="宋体" w:cs="宋体"/>
                <w:b w:val="0"/>
                <w:i w:val="0"/>
                <w:color w:val="000000"/>
                <w:sz w:val="17"/>
              </w:rPr>
              <w:t xml:space="preserve">10.63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459.73</w:t>
            </w:r>
          </w:p>
        </w:tc>
        <w:tc>
          <w:tcPr>
            <w:tcW w:w="1440" w:type="dxa"/>
            <w:tcBorders/>
            <w:vAlign w:val="center"/>
          </w:tcPr>
          <w:p>
            <w:pPr>
              <w:jc w:val="right"/>
            </w:pPr>
            <w:r>
              <w:rPr>
                <w:rFonts w:ascii="宋体" w:eastAsia="宋体" w:hAnsi="宋体" w:cs="宋体"/>
                <w:b w:val="0"/>
                <w:i w:val="0"/>
                <w:color w:val="000000"/>
                <w:sz w:val="17"/>
              </w:rPr>
              <w:t xml:space="preserve">459.73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2149999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其他交通运输支出</w:t>
            </w:r>
          </w:p>
        </w:tc>
        <w:tc>
          <w:tcPr>
            <w:tcW w:w="1440" w:type="dxa"/>
            <w:tcBorders/>
            <w:vAlign w:val="center"/>
          </w:tcPr>
          <w:p>
            <w:pPr>
              <w:jc w:val="right"/>
            </w:pPr>
            <w:r>
              <w:rPr>
                <w:rFonts w:ascii="宋体" w:eastAsia="宋体" w:hAnsi="宋体" w:cs="宋体"/>
                <w:b w:val="0"/>
                <w:i w:val="0"/>
                <w:color w:val="000000"/>
                <w:sz w:val="17"/>
              </w:rPr>
              <w:t xml:space="preserve">459.73</w:t>
            </w:r>
          </w:p>
        </w:tc>
        <w:tc>
          <w:tcPr>
            <w:tcW w:w="1440" w:type="dxa"/>
            <w:tcBorders/>
            <w:vAlign w:val="center"/>
          </w:tcPr>
          <w:p>
            <w:pPr>
              <w:jc w:val="right"/>
            </w:pPr>
            <w:r>
              <w:rPr>
                <w:rFonts w:ascii="宋体" w:eastAsia="宋体" w:hAnsi="宋体" w:cs="宋体"/>
                <w:b w:val="0"/>
                <w:i w:val="0"/>
                <w:color w:val="000000"/>
                <w:sz w:val="17"/>
              </w:rPr>
              <w:t xml:space="preserve">459.73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11.67</w:t>
            </w:r>
          </w:p>
        </w:tc>
        <w:tc>
          <w:tcPr>
            <w:tcW w:w="1440" w:type="dxa"/>
            <w:tcBorders/>
            <w:vAlign w:val="center"/>
          </w:tcPr>
          <w:p>
            <w:pPr>
              <w:jc w:val="right"/>
            </w:pPr>
            <w:r>
              <w:rPr>
                <w:rFonts w:ascii="宋体" w:eastAsia="宋体" w:hAnsi="宋体" w:cs="宋体"/>
                <w:b w:val="0"/>
                <w:i w:val="0"/>
                <w:color w:val="000000"/>
                <w:sz w:val="17"/>
              </w:rPr>
              <w:t xml:space="preserve">11.67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11.67</w:t>
            </w:r>
          </w:p>
        </w:tc>
        <w:tc>
          <w:tcPr>
            <w:tcW w:w="1440" w:type="dxa"/>
            <w:tcBorders/>
            <w:vAlign w:val="center"/>
          </w:tcPr>
          <w:p>
            <w:pPr>
              <w:jc w:val="right"/>
            </w:pPr>
            <w:r>
              <w:rPr>
                <w:rFonts w:ascii="宋体" w:eastAsia="宋体" w:hAnsi="宋体" w:cs="宋体"/>
                <w:b w:val="0"/>
                <w:i w:val="0"/>
                <w:color w:val="000000"/>
                <w:sz w:val="17"/>
              </w:rPr>
              <w:t xml:space="preserve">11.67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11.67</w:t>
            </w:r>
          </w:p>
        </w:tc>
        <w:tc>
          <w:tcPr>
            <w:tcW w:w="1440" w:type="dxa"/>
            <w:tcBorders/>
            <w:vAlign w:val="center"/>
          </w:tcPr>
          <w:p>
            <w:pPr>
              <w:jc w:val="right"/>
            </w:pPr>
            <w:r>
              <w:rPr>
                <w:rFonts w:ascii="宋体" w:eastAsia="宋体" w:hAnsi="宋体" w:cs="宋体"/>
                <w:b w:val="0"/>
                <w:i w:val="0"/>
                <w:color w:val="000000"/>
                <w:sz w:val="17"/>
              </w:rPr>
              <w:t xml:space="preserve">11.67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1,253.62</w:t>
            </w:r>
          </w:p>
        </w:tc>
        <w:tc>
          <w:tcPr>
            <w:tcW w:w="1600" w:type="dxa"/>
            <w:tcBorders/>
            <w:vAlign w:val="center"/>
          </w:tcPr>
          <w:p>
            <w:pPr>
              <w:jc w:val="right"/>
            </w:pPr>
            <w:r>
              <w:rPr>
                <w:rFonts w:ascii="宋体" w:eastAsia="宋体" w:hAnsi="宋体" w:cs="宋体"/>
                <w:b/>
                <w:i w:val="0"/>
                <w:color w:val="000000"/>
                <w:sz w:val="19"/>
              </w:rPr>
              <w:t xml:space="preserve">368.29</w:t>
            </w:r>
          </w:p>
        </w:tc>
        <w:tc>
          <w:tcPr>
            <w:tcW w:w="1600" w:type="dxa"/>
            <w:tcBorders/>
            <w:vAlign w:val="center"/>
          </w:tcPr>
          <w:p>
            <w:pPr>
              <w:jc w:val="right"/>
            </w:pPr>
            <w:r>
              <w:rPr>
                <w:rFonts w:ascii="宋体" w:eastAsia="宋体" w:hAnsi="宋体" w:cs="宋体"/>
                <w:b/>
                <w:i w:val="0"/>
                <w:color w:val="000000"/>
                <w:sz w:val="19"/>
              </w:rPr>
              <w:t xml:space="preserve">885.33</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1.12</w:t>
            </w:r>
          </w:p>
        </w:tc>
        <w:tc>
          <w:tcPr>
            <w:tcW w:w="1600" w:type="dxa"/>
            <w:tcBorders/>
            <w:vAlign w:val="center"/>
          </w:tcPr>
          <w:p>
            <w:pPr>
              <w:jc w:val="right"/>
            </w:pPr>
            <w:r>
              <w:rPr>
                <w:rFonts w:ascii="宋体" w:eastAsia="宋体" w:hAnsi="宋体" w:cs="宋体"/>
                <w:b w:val="0"/>
                <w:i w:val="0"/>
                <w:color w:val="000000"/>
                <w:sz w:val="19"/>
              </w:rPr>
              <w:t xml:space="preserve">1.12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1.12</w:t>
            </w:r>
          </w:p>
        </w:tc>
        <w:tc>
          <w:tcPr>
            <w:tcW w:w="1600" w:type="dxa"/>
            <w:tcBorders/>
            <w:vAlign w:val="center"/>
          </w:tcPr>
          <w:p>
            <w:pPr>
              <w:jc w:val="right"/>
            </w:pPr>
            <w:r>
              <w:rPr>
                <w:rFonts w:ascii="宋体" w:eastAsia="宋体" w:hAnsi="宋体" w:cs="宋体"/>
                <w:b w:val="0"/>
                <w:i w:val="0"/>
                <w:color w:val="000000"/>
                <w:sz w:val="19"/>
              </w:rPr>
              <w:t xml:space="preserve">1.12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1.12</w:t>
            </w:r>
          </w:p>
        </w:tc>
        <w:tc>
          <w:tcPr>
            <w:tcW w:w="1600" w:type="dxa"/>
            <w:tcBorders/>
            <w:vAlign w:val="center"/>
          </w:tcPr>
          <w:p>
            <w:pPr>
              <w:jc w:val="right"/>
            </w:pPr>
            <w:r>
              <w:rPr>
                <w:rFonts w:ascii="宋体" w:eastAsia="宋体" w:hAnsi="宋体" w:cs="宋体"/>
                <w:b w:val="0"/>
                <w:i w:val="0"/>
                <w:color w:val="000000"/>
                <w:sz w:val="19"/>
              </w:rPr>
              <w:t xml:space="preserve">1.12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12.31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6.19</w:t>
            </w:r>
          </w:p>
        </w:tc>
        <w:tc>
          <w:tcPr>
            <w:tcW w:w="1600" w:type="dxa"/>
            <w:tcBorders/>
            <w:vAlign w:val="center"/>
          </w:tcPr>
          <w:p>
            <w:pPr>
              <w:jc w:val="right"/>
            </w:pPr>
            <w:r>
              <w:rPr>
                <w:rFonts w:ascii="宋体" w:eastAsia="宋体" w:hAnsi="宋体" w:cs="宋体"/>
                <w:b w:val="0"/>
                <w:i w:val="0"/>
                <w:color w:val="000000"/>
                <w:sz w:val="19"/>
              </w:rPr>
              <w:t xml:space="preserve">6.19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6.19</w:t>
            </w:r>
          </w:p>
        </w:tc>
        <w:tc>
          <w:tcPr>
            <w:tcW w:w="1600" w:type="dxa"/>
            <w:tcBorders/>
            <w:vAlign w:val="center"/>
          </w:tcPr>
          <w:p>
            <w:pPr>
              <w:jc w:val="right"/>
            </w:pPr>
            <w:r>
              <w:rPr>
                <w:rFonts w:ascii="宋体" w:eastAsia="宋体" w:hAnsi="宋体" w:cs="宋体"/>
                <w:b w:val="0"/>
                <w:i w:val="0"/>
                <w:color w:val="000000"/>
                <w:sz w:val="19"/>
              </w:rPr>
              <w:t xml:space="preserve">6.19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6.19</w:t>
            </w:r>
          </w:p>
        </w:tc>
        <w:tc>
          <w:tcPr>
            <w:tcW w:w="1600" w:type="dxa"/>
            <w:tcBorders/>
            <w:vAlign w:val="center"/>
          </w:tcPr>
          <w:p>
            <w:pPr>
              <w:jc w:val="right"/>
            </w:pPr>
            <w:r>
              <w:rPr>
                <w:rFonts w:ascii="宋体" w:eastAsia="宋体" w:hAnsi="宋体" w:cs="宋体"/>
                <w:b w:val="0"/>
                <w:i w:val="0"/>
                <w:color w:val="000000"/>
                <w:sz w:val="19"/>
              </w:rPr>
              <w:t xml:space="preserve">6.19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节能环保支出</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污染防治</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2110301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大气</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交通运输支出</w:t>
            </w:r>
          </w:p>
        </w:tc>
        <w:tc>
          <w:tcPr>
            <w:tcW w:w="1600" w:type="dxa"/>
            <w:tcBorders/>
            <w:vAlign w:val="center"/>
          </w:tcPr>
          <w:p>
            <w:pPr>
              <w:jc w:val="right"/>
            </w:pPr>
            <w:r>
              <w:rPr>
                <w:rFonts w:ascii="宋体" w:eastAsia="宋体" w:hAnsi="宋体" w:cs="宋体"/>
                <w:b w:val="0"/>
                <w:i w:val="0"/>
                <w:color w:val="000000"/>
                <w:sz w:val="19"/>
              </w:rPr>
              <w:t xml:space="preserve">1,218.73</w:t>
            </w:r>
          </w:p>
        </w:tc>
        <w:tc>
          <w:tcPr>
            <w:tcW w:w="1600" w:type="dxa"/>
            <w:tcBorders/>
            <w:vAlign w:val="center"/>
          </w:tcPr>
          <w:p>
            <w:pPr>
              <w:jc w:val="right"/>
            </w:pPr>
            <w:r>
              <w:rPr>
                <w:rFonts w:ascii="宋体" w:eastAsia="宋体" w:hAnsi="宋体" w:cs="宋体"/>
                <w:b w:val="0"/>
                <w:i w:val="0"/>
                <w:color w:val="000000"/>
                <w:sz w:val="19"/>
              </w:rPr>
              <w:t xml:space="preserve">337.00</w:t>
            </w:r>
          </w:p>
        </w:tc>
        <w:tc>
          <w:tcPr>
            <w:tcW w:w="1600" w:type="dxa"/>
            <w:tcBorders/>
            <w:vAlign w:val="center"/>
          </w:tcPr>
          <w:p>
            <w:pPr>
              <w:jc w:val="right"/>
            </w:pPr>
            <w:r>
              <w:rPr>
                <w:rFonts w:ascii="宋体" w:eastAsia="宋体" w:hAnsi="宋体" w:cs="宋体"/>
                <w:b w:val="0"/>
                <w:i w:val="0"/>
                <w:color w:val="000000"/>
                <w:sz w:val="19"/>
              </w:rPr>
              <w:t xml:space="preserve">881.73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公路水路运输</w:t>
            </w:r>
          </w:p>
        </w:tc>
        <w:tc>
          <w:tcPr>
            <w:tcW w:w="1600" w:type="dxa"/>
            <w:tcBorders/>
            <w:vAlign w:val="center"/>
          </w:tcPr>
          <w:p>
            <w:pPr>
              <w:jc w:val="right"/>
            </w:pPr>
            <w:r>
              <w:rPr>
                <w:rFonts w:ascii="宋体" w:eastAsia="宋体" w:hAnsi="宋体" w:cs="宋体"/>
                <w:b w:val="0"/>
                <w:i w:val="0"/>
                <w:color w:val="000000"/>
                <w:sz w:val="19"/>
              </w:rPr>
              <w:t xml:space="preserve">343.00</w:t>
            </w:r>
          </w:p>
        </w:tc>
        <w:tc>
          <w:tcPr>
            <w:tcW w:w="1600" w:type="dxa"/>
            <w:tcBorders/>
            <w:vAlign w:val="center"/>
          </w:tcPr>
          <w:p>
            <w:pPr>
              <w:jc w:val="right"/>
            </w:pPr>
            <w:r>
              <w:rPr>
                <w:rFonts w:ascii="宋体" w:eastAsia="宋体" w:hAnsi="宋体" w:cs="宋体"/>
                <w:b w:val="0"/>
                <w:i w:val="0"/>
                <w:color w:val="000000"/>
                <w:sz w:val="19"/>
              </w:rPr>
              <w:t xml:space="preserve">337.00</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332.37</w:t>
            </w:r>
          </w:p>
        </w:tc>
        <w:tc>
          <w:tcPr>
            <w:tcW w:w="1600" w:type="dxa"/>
            <w:tcBorders/>
            <w:vAlign w:val="center"/>
          </w:tcPr>
          <w:p>
            <w:pPr>
              <w:jc w:val="right"/>
            </w:pPr>
            <w:r>
              <w:rPr>
                <w:rFonts w:ascii="宋体" w:eastAsia="宋体" w:hAnsi="宋体" w:cs="宋体"/>
                <w:b w:val="0"/>
                <w:i w:val="0"/>
                <w:color w:val="000000"/>
                <w:sz w:val="19"/>
              </w:rPr>
              <w:t xml:space="preserve">332.37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其他公路水路运输支出</w:t>
            </w:r>
          </w:p>
        </w:tc>
        <w:tc>
          <w:tcPr>
            <w:tcW w:w="1600" w:type="dxa"/>
            <w:tcBorders/>
            <w:vAlign w:val="center"/>
          </w:tcPr>
          <w:p>
            <w:pPr>
              <w:jc w:val="right"/>
            </w:pPr>
            <w:r>
              <w:rPr>
                <w:rFonts w:ascii="宋体" w:eastAsia="宋体" w:hAnsi="宋体" w:cs="宋体"/>
                <w:b w:val="0"/>
                <w:i w:val="0"/>
                <w:color w:val="000000"/>
                <w:sz w:val="19"/>
              </w:rPr>
              <w:t xml:space="preserve">10.63</w:t>
            </w:r>
          </w:p>
        </w:tc>
        <w:tc>
          <w:tcPr>
            <w:tcW w:w="1600" w:type="dxa"/>
            <w:tcBorders/>
            <w:vAlign w:val="center"/>
          </w:tcPr>
          <w:p>
            <w:pPr>
              <w:jc w:val="right"/>
            </w:pPr>
            <w:r>
              <w:rPr>
                <w:rFonts w:ascii="宋体" w:eastAsia="宋体" w:hAnsi="宋体" w:cs="宋体"/>
                <w:b w:val="0"/>
                <w:i w:val="0"/>
                <w:color w:val="000000"/>
                <w:sz w:val="19"/>
              </w:rPr>
              <w:t xml:space="preserve">4.63</w:t>
            </w:r>
          </w:p>
        </w:tc>
        <w:tc>
          <w:tcPr>
            <w:tcW w:w="1600" w:type="dxa"/>
            <w:tcBorders/>
            <w:vAlign w:val="center"/>
          </w:tcPr>
          <w:p>
            <w:pPr>
              <w:jc w:val="right"/>
            </w:pPr>
            <w:r>
              <w:rPr>
                <w:rFonts w:ascii="宋体" w:eastAsia="宋体" w:hAnsi="宋体" w:cs="宋体"/>
                <w:b w:val="0"/>
                <w:i w:val="0"/>
                <w:color w:val="000000"/>
                <w:sz w:val="19"/>
              </w:rPr>
              <w:t xml:space="preserve">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875.73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875.73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2149999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其他交通运输支出</w:t>
            </w:r>
          </w:p>
        </w:tc>
        <w:tc>
          <w:tcPr>
            <w:tcW w:w="1600" w:type="dxa"/>
            <w:tcBorders/>
            <w:vAlign w:val="center"/>
          </w:tcPr>
          <w:p>
            <w:pPr>
              <w:jc w:val="right"/>
            </w:pPr>
            <w:r>
              <w:rPr>
                <w:rFonts w:ascii="宋体" w:eastAsia="宋体" w:hAnsi="宋体" w:cs="宋体"/>
                <w:b w:val="0"/>
                <w:i w:val="0"/>
                <w:color w:val="000000"/>
                <w:sz w:val="19"/>
              </w:rPr>
              <w:t xml:space="preserve">875.73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875.73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11.67</w:t>
            </w:r>
          </w:p>
        </w:tc>
        <w:tc>
          <w:tcPr>
            <w:tcW w:w="1600" w:type="dxa"/>
            <w:tcBorders/>
            <w:vAlign w:val="center"/>
          </w:tcPr>
          <w:p>
            <w:pPr>
              <w:jc w:val="right"/>
            </w:pPr>
            <w:r>
              <w:rPr>
                <w:rFonts w:ascii="宋体" w:eastAsia="宋体" w:hAnsi="宋体" w:cs="宋体"/>
                <w:b w:val="0"/>
                <w:i w:val="0"/>
                <w:color w:val="000000"/>
                <w:sz w:val="19"/>
              </w:rPr>
              <w:t xml:space="preserve">11.67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11.67</w:t>
            </w:r>
          </w:p>
        </w:tc>
        <w:tc>
          <w:tcPr>
            <w:tcW w:w="1600" w:type="dxa"/>
            <w:tcBorders/>
            <w:vAlign w:val="center"/>
          </w:tcPr>
          <w:p>
            <w:pPr>
              <w:jc w:val="right"/>
            </w:pPr>
            <w:r>
              <w:rPr>
                <w:rFonts w:ascii="宋体" w:eastAsia="宋体" w:hAnsi="宋体" w:cs="宋体"/>
                <w:b w:val="0"/>
                <w:i w:val="0"/>
                <w:color w:val="000000"/>
                <w:sz w:val="19"/>
              </w:rPr>
              <w:t xml:space="preserve">11.67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11.67</w:t>
            </w:r>
          </w:p>
        </w:tc>
        <w:tc>
          <w:tcPr>
            <w:tcW w:w="1600" w:type="dxa"/>
            <w:tcBorders/>
            <w:vAlign w:val="center"/>
          </w:tcPr>
          <w:p>
            <w:pPr>
              <w:jc w:val="right"/>
            </w:pPr>
            <w:r>
              <w:rPr>
                <w:rFonts w:ascii="宋体" w:eastAsia="宋体" w:hAnsi="宋体" w:cs="宋体"/>
                <w:b w:val="0"/>
                <w:i w:val="0"/>
                <w:color w:val="000000"/>
                <w:sz w:val="19"/>
              </w:rPr>
              <w:t xml:space="preserve">11.67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837.62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1.12</w:t>
            </w:r>
          </w:p>
        </w:tc>
        <w:tc>
          <w:tcPr>
            <w:tcW w:w="1420" w:type="dxa"/>
            <w:tcBorders/>
            <w:vAlign w:val="center"/>
          </w:tcPr>
          <w:p>
            <w:pPr>
              <w:jc w:val="right"/>
            </w:pPr>
            <w:r>
              <w:rPr>
                <w:rFonts w:ascii="宋体" w:eastAsia="宋体" w:hAnsi="宋体" w:cs="宋体"/>
                <w:b w:val="0"/>
                <w:i w:val="0"/>
                <w:color w:val="000000"/>
                <w:sz w:val="18"/>
              </w:rPr>
              <w:t xml:space="preserve">1.12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12.31</w:t>
            </w:r>
          </w:p>
        </w:tc>
        <w:tc>
          <w:tcPr>
            <w:tcW w:w="1420" w:type="dxa"/>
            <w:tcBorders/>
            <w:vAlign w:val="center"/>
          </w:tcPr>
          <w:p>
            <w:pPr>
              <w:jc w:val="right"/>
            </w:pPr>
            <w:r>
              <w:rPr>
                <w:rFonts w:ascii="宋体" w:eastAsia="宋体" w:hAnsi="宋体" w:cs="宋体"/>
                <w:b w:val="0"/>
                <w:i w:val="0"/>
                <w:color w:val="000000"/>
                <w:sz w:val="18"/>
              </w:rPr>
              <w:t xml:space="preserve">12.31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6.19</w:t>
            </w:r>
          </w:p>
        </w:tc>
        <w:tc>
          <w:tcPr>
            <w:tcW w:w="1420" w:type="dxa"/>
            <w:tcBorders/>
            <w:vAlign w:val="center"/>
          </w:tcPr>
          <w:p>
            <w:pPr>
              <w:jc w:val="right"/>
            </w:pPr>
            <w:r>
              <w:rPr>
                <w:rFonts w:ascii="宋体" w:eastAsia="宋体" w:hAnsi="宋体" w:cs="宋体"/>
                <w:b w:val="0"/>
                <w:i w:val="0"/>
                <w:color w:val="000000"/>
                <w:sz w:val="18"/>
              </w:rPr>
              <w:t xml:space="preserve">6.19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3.60</w:t>
            </w:r>
          </w:p>
        </w:tc>
        <w:tc>
          <w:tcPr>
            <w:tcW w:w="1420" w:type="dxa"/>
            <w:tcBorders/>
            <w:vAlign w:val="center"/>
          </w:tcPr>
          <w:p>
            <w:pPr>
              <w:jc w:val="right"/>
            </w:pPr>
            <w:r>
              <w:rPr>
                <w:rFonts w:ascii="宋体" w:eastAsia="宋体" w:hAnsi="宋体" w:cs="宋体"/>
                <w:b w:val="0"/>
                <w:i w:val="0"/>
                <w:color w:val="000000"/>
                <w:sz w:val="18"/>
              </w:rPr>
              <w:t xml:space="preserve">3.60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1,218.73</w:t>
            </w:r>
          </w:p>
        </w:tc>
        <w:tc>
          <w:tcPr>
            <w:tcW w:w="1420" w:type="dxa"/>
            <w:tcBorders/>
            <w:vAlign w:val="center"/>
          </w:tcPr>
          <w:p>
            <w:pPr>
              <w:jc w:val="right"/>
            </w:pPr>
            <w:r>
              <w:rPr>
                <w:rFonts w:ascii="宋体" w:eastAsia="宋体" w:hAnsi="宋体" w:cs="宋体"/>
                <w:b w:val="0"/>
                <w:i w:val="0"/>
                <w:color w:val="000000"/>
                <w:sz w:val="18"/>
              </w:rPr>
              <w:t xml:space="preserve">1,218.73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11.67</w:t>
            </w:r>
          </w:p>
        </w:tc>
        <w:tc>
          <w:tcPr>
            <w:tcW w:w="1420" w:type="dxa"/>
            <w:tcBorders/>
            <w:vAlign w:val="center"/>
          </w:tcPr>
          <w:p>
            <w:pPr>
              <w:jc w:val="right"/>
            </w:pPr>
            <w:r>
              <w:rPr>
                <w:rFonts w:ascii="宋体" w:eastAsia="宋体" w:hAnsi="宋体" w:cs="宋体"/>
                <w:b w:val="0"/>
                <w:i w:val="0"/>
                <w:color w:val="000000"/>
                <w:sz w:val="18"/>
              </w:rPr>
              <w:t xml:space="preserve">11.67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837.62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1,253.62</w:t>
            </w:r>
          </w:p>
        </w:tc>
        <w:tc>
          <w:tcPr>
            <w:tcW w:w="1420" w:type="dxa"/>
            <w:tcBorders/>
            <w:vAlign w:val="center"/>
          </w:tcPr>
          <w:p>
            <w:pPr>
              <w:jc w:val="right"/>
            </w:pPr>
            <w:r>
              <w:rPr>
                <w:rFonts w:ascii="宋体" w:eastAsia="宋体" w:hAnsi="宋体" w:cs="宋体"/>
                <w:b w:val="0"/>
                <w:i w:val="0"/>
                <w:color w:val="000000"/>
                <w:sz w:val="18"/>
              </w:rPr>
              <w:t xml:space="preserve">1,253.62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416.00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416.00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1,253.62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1,253.62</w:t>
            </w:r>
          </w:p>
        </w:tc>
        <w:tc>
          <w:tcPr>
            <w:tcW w:w="1420" w:type="dxa"/>
            <w:tcBorders/>
            <w:vAlign w:val="center"/>
          </w:tcPr>
          <w:p>
            <w:pPr>
              <w:jc w:val="right"/>
            </w:pPr>
            <w:r>
              <w:rPr>
                <w:rFonts w:ascii="宋体" w:eastAsia="宋体" w:hAnsi="宋体" w:cs="宋体"/>
                <w:b w:val="0"/>
                <w:i w:val="0"/>
                <w:color w:val="000000"/>
                <w:sz w:val="18"/>
              </w:rPr>
              <w:t xml:space="preserve">1,253.62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1,253.62</w:t>
            </w:r>
          </w:p>
        </w:tc>
        <w:tc>
          <w:tcPr>
            <w:tcW w:w="2700" w:type="dxa"/>
            <w:tcBorders/>
            <w:vAlign w:val="center"/>
          </w:tcPr>
          <w:p>
            <w:pPr>
              <w:jc w:val="right"/>
            </w:pPr>
            <w:r>
              <w:rPr>
                <w:rFonts w:ascii="宋体" w:eastAsia="宋体" w:hAnsi="宋体" w:cs="宋体"/>
                <w:b/>
                <w:i w:val="0"/>
                <w:color w:val="000000"/>
                <w:sz w:val="25"/>
              </w:rPr>
              <w:t xml:space="preserve">368.29</w:t>
            </w:r>
          </w:p>
        </w:tc>
        <w:tc>
          <w:tcPr>
            <w:tcW w:w="2658" w:type="dxa"/>
            <w:tcBorders/>
            <w:vAlign w:val="center"/>
          </w:tcPr>
          <w:p>
            <w:pPr>
              <w:jc w:val="right"/>
            </w:pPr>
            <w:r>
              <w:rPr>
                <w:rFonts w:ascii="宋体" w:eastAsia="宋体" w:hAnsi="宋体" w:cs="宋体"/>
                <w:b/>
                <w:i w:val="0"/>
                <w:color w:val="000000"/>
                <w:sz w:val="25"/>
              </w:rPr>
              <w:t xml:space="preserve">885.33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1.12</w:t>
            </w:r>
          </w:p>
        </w:tc>
        <w:tc>
          <w:tcPr>
            <w:tcW w:w="2700" w:type="dxa"/>
            <w:tcBorders/>
            <w:vAlign w:val="center"/>
          </w:tcPr>
          <w:p>
            <w:pPr>
              <w:jc w:val="right"/>
            </w:pPr>
            <w:r>
              <w:rPr>
                <w:rFonts w:ascii="宋体" w:eastAsia="宋体" w:hAnsi="宋体" w:cs="宋体"/>
                <w:b w:val="0"/>
                <w:i w:val="0"/>
                <w:color w:val="000000"/>
                <w:sz w:val="25"/>
              </w:rPr>
              <w:t xml:space="preserve">1.12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1.12</w:t>
            </w:r>
          </w:p>
        </w:tc>
        <w:tc>
          <w:tcPr>
            <w:tcW w:w="2700" w:type="dxa"/>
            <w:tcBorders/>
            <w:vAlign w:val="center"/>
          </w:tcPr>
          <w:p>
            <w:pPr>
              <w:jc w:val="right"/>
            </w:pPr>
            <w:r>
              <w:rPr>
                <w:rFonts w:ascii="宋体" w:eastAsia="宋体" w:hAnsi="宋体" w:cs="宋体"/>
                <w:b w:val="0"/>
                <w:i w:val="0"/>
                <w:color w:val="000000"/>
                <w:sz w:val="25"/>
              </w:rPr>
              <w:t xml:space="preserve">1.12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1.12</w:t>
            </w:r>
          </w:p>
        </w:tc>
        <w:tc>
          <w:tcPr>
            <w:tcW w:w="2700" w:type="dxa"/>
            <w:tcBorders/>
            <w:vAlign w:val="center"/>
          </w:tcPr>
          <w:p>
            <w:pPr>
              <w:jc w:val="right"/>
            </w:pPr>
            <w:r>
              <w:rPr>
                <w:rFonts w:ascii="宋体" w:eastAsia="宋体" w:hAnsi="宋体" w:cs="宋体"/>
                <w:b w:val="0"/>
                <w:i w:val="0"/>
                <w:color w:val="000000"/>
                <w:sz w:val="25"/>
              </w:rPr>
              <w:t xml:space="preserve">1.12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700" w:type="dxa"/>
            <w:tcBorders/>
            <w:vAlign w:val="center"/>
          </w:tcPr>
          <w:p>
            <w:pPr>
              <w:jc w:val="right"/>
            </w:pPr>
            <w:r>
              <w:rPr>
                <w:rFonts w:ascii="宋体" w:eastAsia="宋体" w:hAnsi="宋体" w:cs="宋体"/>
                <w:b w:val="0"/>
                <w:i w:val="0"/>
                <w:color w:val="000000"/>
                <w:sz w:val="25"/>
              </w:rPr>
              <w:t xml:space="preserve">12.31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6.19</w:t>
            </w:r>
          </w:p>
        </w:tc>
        <w:tc>
          <w:tcPr>
            <w:tcW w:w="2700" w:type="dxa"/>
            <w:tcBorders/>
            <w:vAlign w:val="center"/>
          </w:tcPr>
          <w:p>
            <w:pPr>
              <w:jc w:val="right"/>
            </w:pPr>
            <w:r>
              <w:rPr>
                <w:rFonts w:ascii="宋体" w:eastAsia="宋体" w:hAnsi="宋体" w:cs="宋体"/>
                <w:b w:val="0"/>
                <w:i w:val="0"/>
                <w:color w:val="000000"/>
                <w:sz w:val="25"/>
              </w:rPr>
              <w:t xml:space="preserve">6.19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6.19</w:t>
            </w:r>
          </w:p>
        </w:tc>
        <w:tc>
          <w:tcPr>
            <w:tcW w:w="2700" w:type="dxa"/>
            <w:tcBorders/>
            <w:vAlign w:val="center"/>
          </w:tcPr>
          <w:p>
            <w:pPr>
              <w:jc w:val="right"/>
            </w:pPr>
            <w:r>
              <w:rPr>
                <w:rFonts w:ascii="宋体" w:eastAsia="宋体" w:hAnsi="宋体" w:cs="宋体"/>
                <w:b w:val="0"/>
                <w:i w:val="0"/>
                <w:color w:val="000000"/>
                <w:sz w:val="25"/>
              </w:rPr>
              <w:t xml:space="preserve">6.19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6.19</w:t>
            </w:r>
          </w:p>
        </w:tc>
        <w:tc>
          <w:tcPr>
            <w:tcW w:w="2700" w:type="dxa"/>
            <w:tcBorders/>
            <w:vAlign w:val="center"/>
          </w:tcPr>
          <w:p>
            <w:pPr>
              <w:jc w:val="right"/>
            </w:pPr>
            <w:r>
              <w:rPr>
                <w:rFonts w:ascii="宋体" w:eastAsia="宋体" w:hAnsi="宋体" w:cs="宋体"/>
                <w:b w:val="0"/>
                <w:i w:val="0"/>
                <w:color w:val="000000"/>
                <w:sz w:val="25"/>
              </w:rPr>
              <w:t xml:space="preserve">6.19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节能环保支出</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污染防治</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2110301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大气</w:t>
            </w:r>
          </w:p>
        </w:tc>
        <w:tc>
          <w:tcPr>
            <w:tcW w:w="2700" w:type="dxa"/>
            <w:tcBorders/>
            <w:vAlign w:val="center"/>
          </w:tcPr>
          <w:p>
            <w:pPr>
              <w:jc w:val="right"/>
            </w:pPr>
            <w:r>
              <w:rPr>
                <w:rFonts w:ascii="宋体" w:eastAsia="宋体" w:hAnsi="宋体" w:cs="宋体"/>
                <w:b w:val="0"/>
                <w:i w:val="0"/>
                <w:color w:val="000000"/>
                <w:sz w:val="25"/>
              </w:rPr>
              <w:t xml:space="preserve">3.60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3.60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交通运输支出</w:t>
            </w:r>
          </w:p>
        </w:tc>
        <w:tc>
          <w:tcPr>
            <w:tcW w:w="2700" w:type="dxa"/>
            <w:tcBorders/>
            <w:vAlign w:val="center"/>
          </w:tcPr>
          <w:p>
            <w:pPr>
              <w:jc w:val="right"/>
            </w:pPr>
            <w:r>
              <w:rPr>
                <w:rFonts w:ascii="宋体" w:eastAsia="宋体" w:hAnsi="宋体" w:cs="宋体"/>
                <w:b w:val="0"/>
                <w:i w:val="0"/>
                <w:color w:val="000000"/>
                <w:sz w:val="25"/>
              </w:rPr>
              <w:t xml:space="preserve">1,218.73</w:t>
            </w:r>
          </w:p>
        </w:tc>
        <w:tc>
          <w:tcPr>
            <w:tcW w:w="2700" w:type="dxa"/>
            <w:tcBorders/>
            <w:vAlign w:val="center"/>
          </w:tcPr>
          <w:p>
            <w:pPr>
              <w:jc w:val="right"/>
            </w:pPr>
            <w:r>
              <w:rPr>
                <w:rFonts w:ascii="宋体" w:eastAsia="宋体" w:hAnsi="宋体" w:cs="宋体"/>
                <w:b w:val="0"/>
                <w:i w:val="0"/>
                <w:color w:val="000000"/>
                <w:sz w:val="25"/>
              </w:rPr>
              <w:t xml:space="preserve">337.00</w:t>
            </w:r>
          </w:p>
        </w:tc>
        <w:tc>
          <w:tcPr>
            <w:tcW w:w="2658" w:type="dxa"/>
            <w:tcBorders/>
            <w:vAlign w:val="center"/>
          </w:tcPr>
          <w:p>
            <w:pPr>
              <w:jc w:val="right"/>
            </w:pPr>
            <w:r>
              <w:rPr>
                <w:rFonts w:ascii="宋体" w:eastAsia="宋体" w:hAnsi="宋体" w:cs="宋体"/>
                <w:b w:val="0"/>
                <w:i w:val="0"/>
                <w:color w:val="000000"/>
                <w:sz w:val="25"/>
              </w:rPr>
              <w:t xml:space="preserve">881.73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公路水路运输</w:t>
            </w:r>
          </w:p>
        </w:tc>
        <w:tc>
          <w:tcPr>
            <w:tcW w:w="2700" w:type="dxa"/>
            <w:tcBorders/>
            <w:vAlign w:val="center"/>
          </w:tcPr>
          <w:p>
            <w:pPr>
              <w:jc w:val="right"/>
            </w:pPr>
            <w:r>
              <w:rPr>
                <w:rFonts w:ascii="宋体" w:eastAsia="宋体" w:hAnsi="宋体" w:cs="宋体"/>
                <w:b w:val="0"/>
                <w:i w:val="0"/>
                <w:color w:val="000000"/>
                <w:sz w:val="25"/>
              </w:rPr>
              <w:t xml:space="preserve">343.00</w:t>
            </w:r>
          </w:p>
        </w:tc>
        <w:tc>
          <w:tcPr>
            <w:tcW w:w="2700" w:type="dxa"/>
            <w:tcBorders/>
            <w:vAlign w:val="center"/>
          </w:tcPr>
          <w:p>
            <w:pPr>
              <w:jc w:val="right"/>
            </w:pPr>
            <w:r>
              <w:rPr>
                <w:rFonts w:ascii="宋体" w:eastAsia="宋体" w:hAnsi="宋体" w:cs="宋体"/>
                <w:b w:val="0"/>
                <w:i w:val="0"/>
                <w:color w:val="000000"/>
                <w:sz w:val="25"/>
              </w:rPr>
              <w:t xml:space="preserve">337.00</w:t>
            </w:r>
          </w:p>
        </w:tc>
        <w:tc>
          <w:tcPr>
            <w:tcW w:w="2658" w:type="dxa"/>
            <w:tcBorders/>
            <w:vAlign w:val="center"/>
          </w:tcPr>
          <w:p>
            <w:pPr>
              <w:jc w:val="right"/>
            </w:pPr>
            <w:r>
              <w:rPr>
                <w:rFonts w:ascii="宋体" w:eastAsia="宋体" w:hAnsi="宋体" w:cs="宋体"/>
                <w:b w:val="0"/>
                <w:i w:val="0"/>
                <w:color w:val="000000"/>
                <w:sz w:val="25"/>
              </w:rPr>
              <w:t xml:space="preserve">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332.37</w:t>
            </w:r>
          </w:p>
        </w:tc>
        <w:tc>
          <w:tcPr>
            <w:tcW w:w="2700" w:type="dxa"/>
            <w:tcBorders/>
            <w:vAlign w:val="center"/>
          </w:tcPr>
          <w:p>
            <w:pPr>
              <w:jc w:val="right"/>
            </w:pPr>
            <w:r>
              <w:rPr>
                <w:rFonts w:ascii="宋体" w:eastAsia="宋体" w:hAnsi="宋体" w:cs="宋体"/>
                <w:b w:val="0"/>
                <w:i w:val="0"/>
                <w:color w:val="000000"/>
                <w:sz w:val="25"/>
              </w:rPr>
              <w:t xml:space="preserve">332.37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其他公路水路运输支出</w:t>
            </w:r>
          </w:p>
        </w:tc>
        <w:tc>
          <w:tcPr>
            <w:tcW w:w="2700" w:type="dxa"/>
            <w:tcBorders/>
            <w:vAlign w:val="center"/>
          </w:tcPr>
          <w:p>
            <w:pPr>
              <w:jc w:val="right"/>
            </w:pPr>
            <w:r>
              <w:rPr>
                <w:rFonts w:ascii="宋体" w:eastAsia="宋体" w:hAnsi="宋体" w:cs="宋体"/>
                <w:b w:val="0"/>
                <w:i w:val="0"/>
                <w:color w:val="000000"/>
                <w:sz w:val="25"/>
              </w:rPr>
              <w:t xml:space="preserve">10.63</w:t>
            </w:r>
          </w:p>
        </w:tc>
        <w:tc>
          <w:tcPr>
            <w:tcW w:w="2700" w:type="dxa"/>
            <w:tcBorders/>
            <w:vAlign w:val="center"/>
          </w:tcPr>
          <w:p>
            <w:pPr>
              <w:jc w:val="right"/>
            </w:pPr>
            <w:r>
              <w:rPr>
                <w:rFonts w:ascii="宋体" w:eastAsia="宋体" w:hAnsi="宋体" w:cs="宋体"/>
                <w:b w:val="0"/>
                <w:i w:val="0"/>
                <w:color w:val="000000"/>
                <w:sz w:val="25"/>
              </w:rPr>
              <w:t xml:space="preserve">4.63</w:t>
            </w:r>
          </w:p>
        </w:tc>
        <w:tc>
          <w:tcPr>
            <w:tcW w:w="2658" w:type="dxa"/>
            <w:tcBorders/>
            <w:vAlign w:val="center"/>
          </w:tcPr>
          <w:p>
            <w:pPr>
              <w:jc w:val="right"/>
            </w:pPr>
            <w:r>
              <w:rPr>
                <w:rFonts w:ascii="宋体" w:eastAsia="宋体" w:hAnsi="宋体" w:cs="宋体"/>
                <w:b w:val="0"/>
                <w:i w:val="0"/>
                <w:color w:val="000000"/>
                <w:sz w:val="25"/>
              </w:rPr>
              <w:t xml:space="preserve">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875.73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875.73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2149999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其他交通运输支出</w:t>
            </w:r>
          </w:p>
        </w:tc>
        <w:tc>
          <w:tcPr>
            <w:tcW w:w="2700" w:type="dxa"/>
            <w:tcBorders/>
            <w:vAlign w:val="center"/>
          </w:tcPr>
          <w:p>
            <w:pPr>
              <w:jc w:val="right"/>
            </w:pPr>
            <w:r>
              <w:rPr>
                <w:rFonts w:ascii="宋体" w:eastAsia="宋体" w:hAnsi="宋体" w:cs="宋体"/>
                <w:b w:val="0"/>
                <w:i w:val="0"/>
                <w:color w:val="000000"/>
                <w:sz w:val="25"/>
              </w:rPr>
              <w:t xml:space="preserve">875.73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875.73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11.67</w:t>
            </w:r>
          </w:p>
        </w:tc>
        <w:tc>
          <w:tcPr>
            <w:tcW w:w="2700" w:type="dxa"/>
            <w:tcBorders/>
            <w:vAlign w:val="center"/>
          </w:tcPr>
          <w:p>
            <w:pPr>
              <w:jc w:val="right"/>
            </w:pPr>
            <w:r>
              <w:rPr>
                <w:rFonts w:ascii="宋体" w:eastAsia="宋体" w:hAnsi="宋体" w:cs="宋体"/>
                <w:b w:val="0"/>
                <w:i w:val="0"/>
                <w:color w:val="000000"/>
                <w:sz w:val="25"/>
              </w:rPr>
              <w:t xml:space="preserve">11.67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11.67</w:t>
            </w:r>
          </w:p>
        </w:tc>
        <w:tc>
          <w:tcPr>
            <w:tcW w:w="2700" w:type="dxa"/>
            <w:tcBorders/>
            <w:vAlign w:val="center"/>
          </w:tcPr>
          <w:p>
            <w:pPr>
              <w:jc w:val="right"/>
            </w:pPr>
            <w:r>
              <w:rPr>
                <w:rFonts w:ascii="宋体" w:eastAsia="宋体" w:hAnsi="宋体" w:cs="宋体"/>
                <w:b w:val="0"/>
                <w:i w:val="0"/>
                <w:color w:val="000000"/>
                <w:sz w:val="25"/>
              </w:rPr>
              <w:t xml:space="preserve">11.67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11.67</w:t>
            </w:r>
          </w:p>
        </w:tc>
        <w:tc>
          <w:tcPr>
            <w:tcW w:w="2700" w:type="dxa"/>
            <w:tcBorders/>
            <w:vAlign w:val="center"/>
          </w:tcPr>
          <w:p>
            <w:pPr>
              <w:jc w:val="right"/>
            </w:pPr>
            <w:r>
              <w:rPr>
                <w:rFonts w:ascii="宋体" w:eastAsia="宋体" w:hAnsi="宋体" w:cs="宋体"/>
                <w:b w:val="0"/>
                <w:i w:val="0"/>
                <w:color w:val="000000"/>
                <w:sz w:val="25"/>
              </w:rPr>
              <w:t xml:space="preserve">11.67</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332.18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16.12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58.81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2.34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186.94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2.94</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21.53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25.55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12.31</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6.19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6.08</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2.14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12.59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0.56</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2.17</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20.00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20.00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2.55</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1.12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1.38</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352.17</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16.12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单位：许昌市城市公共交通管理处</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1253.62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减少1098.76万元，下降46.71%</w:t>
      </w:r>
      <w:r>
        <w:rPr>
          <w:rFonts w:ascii="仿宋" w:eastAsia="仿宋" w:hAnsi="仿宋" w:cs="仿宋" w:hint="eastAsia"/>
          <w:kern w:val="0"/>
          <w:sz w:val="32"/>
          <w:szCs w:val="32"/>
          <w:lang w:val="en-US" w:eastAsia="zh-CN"/>
        </w:rPr>
        <w:t xml:space="preserve">。主要原因是2022年度发放新能源出租车更新补贴项目资金1000万元。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837.62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财政拨款收入837.62万元，占100.00%；上级补助收入0.00万元，占0.00%；事业收入0.00万元，占0.00%；经营收入0.00万元，占0.00%；附属单位上缴收入0.00万元，占0.00%；其他收入0.00万元，占0.00%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1253.62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基本支出368.29万元，占29.38%；项目支出885.33万元，占70.62%；上缴上级支出0.00万元，占0.00%；经营支出0.00万元，占0.00%；对附属单位补助支出0.00万元，占0.00%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1253.62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减少1098.76万元，下降46.71%</w:t>
      </w:r>
      <w:r>
        <w:rPr>
          <w:rFonts w:ascii="仿宋" w:eastAsia="仿宋" w:hAnsi="仿宋" w:cs="仿宋" w:hint="eastAsia"/>
          <w:kern w:val="0"/>
          <w:sz w:val="32"/>
          <w:szCs w:val="32"/>
          <w:lang w:val="en-US" w:eastAsia="zh-CN"/>
        </w:rPr>
        <w:t xml:space="preserve">。主要原因是2022年度发放新能源出租车更新补贴项目资金1000万元。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1253.62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减少1098.76万元，下降46.71%</w:t>
      </w:r>
      <w:r>
        <w:rPr>
          <w:rFonts w:ascii="仿宋" w:eastAsia="仿宋" w:hAnsi="仿宋" w:cs="仿宋" w:hint="eastAsia"/>
          <w:kern w:val="0"/>
          <w:sz w:val="32"/>
          <w:szCs w:val="32"/>
          <w:lang w:val="en-US" w:eastAsia="zh-CN"/>
        </w:rPr>
        <w:t xml:space="preserve">。主要原因是2022年度发放新能源出租车更新补贴项目资金1000万元。</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1253.62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1.12万元，占0.09%；社会保障和就业支出（类）12.31万元，占0.98%；卫生健康支出（类）6.19万元，占0.49%；节能环保支出（类）3.60万元，占0.29%；交通运输支出（类）1218.73万元，占97.22%；住房保障支出（类）11.67万元，占0.93%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10378.67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1253.62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12.08</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年初预算数为1.12万元，决算数1.12万元,完成年初预算的100.00%，决算数与年初预算数不存在差异。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年初预算数为13.37万元，决算数12.31万元,完成年初预算的92.07%，决算数与年初预算数存在差异的主要原因是2023年人员调出，故养老保险缴费项支出减少。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3.卫生健康支出（类）行政事业单位医疗（款）事业单位医疗（项）</w:t>
      </w:r>
      <w:r>
        <w:rPr>
          <w:rFonts w:ascii="仿宋" w:eastAsia="仿宋" w:hAnsi="仿宋" w:cs="仿宋" w:hint="default"/>
          <w:kern w:val="2"/>
          <w:sz w:val="32"/>
          <w:szCs w:val="32"/>
          <w:lang w:val="en-US" w:eastAsia="zh-CN"/>
        </w:rPr>
        <w:t xml:space="preserve">年初预算数为6.19万元，决算数6.19万元,完成年初预算的100.00%，决算数与年初预算数不存在差异。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4.节能环保支出（类）污染防治（款）大气（项）</w:t>
      </w:r>
      <w:r>
        <w:rPr>
          <w:rFonts w:ascii="仿宋" w:eastAsia="仿宋" w:hAnsi="仿宋" w:cs="仿宋" w:hint="default"/>
          <w:kern w:val="2"/>
          <w:sz w:val="32"/>
          <w:szCs w:val="32"/>
          <w:lang w:val="en-US" w:eastAsia="zh-CN"/>
        </w:rPr>
        <w:t xml:space="preserve">年初预算数为10000.00万元，决算数3.60万元,完成年初预算的0.04%，决算数与年初预算数存在差异的主要原因是年初预算金额为全年城市公交、水上公交运营预拨补贴，资金财政直接下达至公交企业，我单位实际支付3.6万元为当年度成本规制运营补贴清算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5.交通运输支出（类）公路水路运输（款）一般行政管理事务（项）</w:t>
      </w:r>
      <w:r>
        <w:rPr>
          <w:rFonts w:ascii="仿宋" w:eastAsia="仿宋" w:hAnsi="仿宋" w:cs="仿宋" w:hint="default"/>
          <w:kern w:val="2"/>
          <w:sz w:val="32"/>
          <w:szCs w:val="32"/>
          <w:lang w:val="en-US" w:eastAsia="zh-CN"/>
        </w:rPr>
        <w:t xml:space="preserve">年初预算数为340.20万元，决算数332.37万元,完成年初预算的97.70%，决算数与年初预算数存在差异的主要原因是2023年人员调出，故对个人和家庭的补助等支出减少。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6.交通运输支出（类）公路水路运输（款）其他公路水路运输支出（项）</w:t>
      </w:r>
      <w:r>
        <w:rPr>
          <w:rFonts w:ascii="仿宋" w:eastAsia="仿宋" w:hAnsi="仿宋" w:cs="仿宋" w:hint="default"/>
          <w:kern w:val="2"/>
          <w:sz w:val="32"/>
          <w:szCs w:val="32"/>
          <w:lang w:val="en-US" w:eastAsia="zh-CN"/>
        </w:rPr>
        <w:t xml:space="preserve">年初预算数为6.00万元，决算数10.63万元,完成年初预算的177.17%，决算数与年初预算数存在差异的主要原因是年初预算项目为出租车驾驶员考场租赁费6万元，实际支付中4.63万元为2022年度出租汽车改革场地租赁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7.交通运输支出（类）其他交通运输支出（款）其他交通运输支出（项）</w:t>
      </w:r>
      <w:r>
        <w:rPr>
          <w:rFonts w:ascii="仿宋" w:eastAsia="仿宋" w:hAnsi="仿宋" w:cs="仿宋" w:hint="default"/>
          <w:kern w:val="2"/>
          <w:sz w:val="32"/>
          <w:szCs w:val="32"/>
          <w:lang w:val="en-US" w:eastAsia="zh-CN"/>
        </w:rPr>
        <w:t xml:space="preserve">年初预算数为0.00万元，决算数875.73万元,决算数与年初预算数存在差异的主要原因是支付省补切块资金，2022年城市发展奖励资金，此项资金为省补通过一卡通直接发放至出租车驾驶员，年初无预算。。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年初预算数为11.79万元，决算数11.67万元,完成年初预算的98.98%，决算数与年初预算数存在差异的主要原因是2023年人员调出，故住房公积金缴费项支出减少。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368.29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其中：人员经费352.17万元，主要包括：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公用经费16.12万元，主要包括：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主要用于公务用车的燃油费、维修费、过路过桥费、保险费等支出。</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2</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10378.67</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我单位本着清晰明确可量化、可实现的原则，切实结合我单位工作实际，使单位整体绩效评价指标具有较强的针对性，充分体现出我单位的工作的性质、工作内容和特点。</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基于项目预期目标的实现程度，我单位对2023年度单位预算项目支出（含单位参与分配的转移支付项目）开展绩效自评，涉及项目5个，项目金额867.21万元。其中：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（1）出租车驾驶员考场租赁费，自评得分为100分，等级为“优”。预算执行情况为完成100%，目标完成情况为按照合同规定，及时拨付了项目资金，保障了出租车驾驶员的考试及资格证发放。</w:t>
        <w:br/>
        <w:t xml:space="preserve">    （2）中心城区新能源补贴，自评得分为100分，等级为“优”。预算执行情况为完成100%，等级为“优”，预算执行情况为良好，因当年未完成认证登记，补贴未按时发放。认证完成后及时发放。  </w:t>
        <w:br/>
        <w:t xml:space="preserve">    （3）预拨2021年度城市发展奖励资金，自评得分为100分，等级为“优”，预算执行情况为完成100%，目标完成情况为较好的及时对付奖励补贴资金。</w:t>
        <w:br/>
        <w:t xml:space="preserve">    （4）2021年度城市发展奖励资金，自评得分为100分，等级为“优”，预算执行情况为完成100%，目标完成情况为较好的及时对付奖励补贴资金。</w:t>
        <w:br/>
        <w:t xml:space="preserve">    （5）中心城区巡游出租汽车改革更新工作经费，自评得分为100分，等级为“优”，预算执行情况为完成100%，目标完全情况为较好的完成巡游出租汽车改革更新工作。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从项目绩效自评情况来看，对2023年度项目绩效自评平均得分为100分。其中：5个项目评价等级为“优”、0个项目评价等级为“良”、0个项目评价等级为“中”、0个项目评价等级为“差”。。</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76a10c4f-0123-4383-b152-099ef150119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18"/>
        <w:gridCol w:w="401"/>
        <w:gridCol w:w="779"/>
        <w:gridCol w:w="617"/>
        <w:gridCol w:w="1116"/>
        <w:gridCol w:w="1706"/>
        <w:gridCol w:w="1626"/>
        <w:gridCol w:w="748"/>
        <w:gridCol w:w="1451"/>
        <w:gridCol w:w="1820"/>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nil"/>
              <w:left w:val="nil"/>
              <w:bottom w:val="nil"/>
              <w:right w:val="nil"/>
            </w:tcBorders>
            <w:shd w:val="clear" w:color="auto" w:fill="auto"/>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b/>
                <w:bCs/>
                <w:i w:val="0"/>
                <w:iCs w:val="0"/>
                <w:color w:val="000000"/>
                <w:sz w:val="32"/>
                <w:szCs w:val="32"/>
                <w:u w:val="none"/>
              </w:rPr>
            </w:pPr>
            <w:r>
              <w:rPr>
                <w:rFonts w:ascii="宋体" w:eastAsia="宋体" w:hAnsi="宋体" w:cs="宋体" w:hint="eastAsia"/>
                <w:b/>
                <w:bCs/>
                <w:i w:val="0"/>
                <w:iCs w:val="0"/>
                <w:color w:val="000000"/>
                <w:kern w:val="0"/>
                <w:sz w:val="32"/>
                <w:szCs w:val="32"/>
                <w:u w:val="none"/>
                <w:bdr w:val="none" w:sz="0" w:space="0" w:color="auto"/>
                <w:lang w:val="en-US" w:eastAsia="zh-CN"/>
              </w:rPr>
              <w:t xml:space="preserve">部门整体自评表</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5"/>
        </w:trPr>
        <w:tc>
          <w:tcPr>
            <w:tcW w:type="auto" w:w="0"/>
            <w:gridSpan w:val="10"/>
            <w:tcBorders>
              <w:top w:val="nil"/>
              <w:left w:val="nil"/>
              <w:bottom w:val="nil"/>
              <w:right w:val="nil"/>
            </w:tcBorders>
            <w:shd w:val="clear" w:color="auto" w:fill="auto"/>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rPr>
              <w:t xml:space="preserve">（   2023  年度）</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5"/>
        </w:trPr>
        <w:tc>
          <w:tcPr>
            <w:tcW w:type="auto" w:w="0"/>
            <w:tcBorders>
              <w:top w:val="nil"/>
              <w:left w:val="nil"/>
              <w:bottom w:val="single" w:sz="4" w:space="0" w:color="000000"/>
              <w:right w:val="nil"/>
            </w:tcBorders>
            <w:shd w:val="clear" w:color="auto" w:fill="auto"/>
            <w:vAlign w:val="bottom"/>
          </w:tcPr>
          <w:p>
            <w:pPr>
              <w:pStyle w:val="Normal_6078c321-9a66-4163-91f5-e1eb93fa2447"/>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w:t>
            </w:r>
          </w:p>
        </w:tc>
        <w:tc>
          <w:tcPr>
            <w:tcW w:type="auto" w:w="0"/>
            <w:tcBorders>
              <w:top w:val="nil"/>
              <w:left w:val="nil"/>
              <w:bottom w:val="single" w:sz="4" w:space="0" w:color="000000"/>
              <w:right w:val="nil"/>
            </w:tcBorders>
            <w:shd w:val="clear" w:color="auto" w:fill="auto"/>
            <w:vAlign w:val="bottom"/>
          </w:tcPr>
          <w:p>
            <w:pPr>
              <w:pStyle w:val="Normal_6078c321-9a66-4163-91f5-e1eb93fa2447"/>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6078c321-9a66-4163-91f5-e1eb93fa2447"/>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6078c321-9a66-4163-91f5-e1eb93fa2447"/>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6078c321-9a66-4163-91f5-e1eb93fa2447"/>
              <w:rPr>
                <w:rFonts w:ascii="宋体" w:eastAsia="宋体" w:hAnsi="宋体" w:cs="宋体" w:hint="eastAsia"/>
                <w:i w:val="0"/>
                <w:iCs w:val="0"/>
                <w:color w:val="000000"/>
                <w:sz w:val="18"/>
                <w:szCs w:val="18"/>
                <w:u w:val="none"/>
              </w:rPr>
            </w:pPr>
          </w:p>
        </w:tc>
        <w:tc>
          <w:tcPr>
            <w:tcW w:type="auto" w:w="0"/>
            <w:tcBorders>
              <w:top w:val="nil"/>
              <w:left w:val="nil"/>
              <w:bottom w:val="single" w:sz="4" w:space="0" w:color="000000"/>
              <w:right w:val="nil"/>
            </w:tcBorders>
            <w:shd w:val="clear" w:color="auto" w:fill="auto"/>
            <w:vAlign w:val="bottom"/>
          </w:tcPr>
          <w:p>
            <w:pPr>
              <w:pStyle w:val="Normal_6078c321-9a66-4163-91f5-e1eb93fa2447"/>
              <w:rPr>
                <w:rFonts w:ascii="宋体" w:eastAsia="宋体" w:hAnsi="宋体" w:cs="宋体" w:hint="eastAsia"/>
                <w:i w:val="0"/>
                <w:iCs w:val="0"/>
                <w:color w:val="000000"/>
                <w:sz w:val="18"/>
                <w:szCs w:val="18"/>
                <w:u w:val="none"/>
              </w:rPr>
            </w:pPr>
          </w:p>
        </w:tc>
        <w:tc>
          <w:tcPr>
            <w:tcW w:type="auto" w:w="0"/>
            <w:gridSpan w:val="2"/>
            <w:tcBorders>
              <w:top w:val="nil"/>
              <w:left w:val="nil"/>
              <w:bottom w:val="single" w:sz="4" w:space="0" w:color="000000"/>
              <w:right w:val="nil"/>
            </w:tcBorders>
            <w:shd w:val="clear" w:color="auto" w:fill="auto"/>
            <w:vAlign w:val="bottom"/>
          </w:tcPr>
          <w:p>
            <w:pPr>
              <w:pStyle w:val="Normal_6078c321-9a66-4163-91f5-e1eb93fa2447"/>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填表人及联系方式：</w:t>
            </w:r>
          </w:p>
        </w:tc>
        <w:tc>
          <w:tcPr>
            <w:tcW w:type="auto" w:w="0"/>
            <w:gridSpan w:val="2"/>
            <w:tcBorders>
              <w:top w:val="nil"/>
              <w:left w:val="nil"/>
              <w:bottom w:val="single" w:sz="4" w:space="0" w:color="000000"/>
              <w:right w:val="nil"/>
            </w:tcBorders>
            <w:shd w:val="clear" w:color="auto" w:fill="auto"/>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杨思雨 1873749944</w:t>
            </w:r>
            <w:r>
              <w:rPr>
                <w:rFonts w:ascii="宋体" w:eastAsia="宋体" w:hAnsi="宋体" w:cs="宋体" w:hint="eastAsia"/>
                <w:i w:val="0"/>
                <w:iCs w:val="0"/>
                <w:color w:val="000000"/>
                <w:kern w:val="0"/>
                <w:sz w:val="18"/>
                <w:szCs w:val="18"/>
                <w:u w:val="none"/>
                <w:bdr w:val="none" w:sz="0" w:space="0" w:color="auto"/>
                <w:lang w:val="en-US" w:eastAsia="zh-CN"/>
              </w:rPr>
              <w:t xml:space="preserve">9</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部门名称</w:t>
            </w:r>
          </w:p>
        </w:tc>
        <w:tc>
          <w:tcPr>
            <w:tcW w:type="auto" w:w="0"/>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许昌市城市公共交通服务中心</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执行</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10378.67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10378.67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12536.24</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vMerge w:val="restart"/>
            <w:tcBorders>
              <w:top w:val="single" w:sz="4" w:space="0" w:color="000000"/>
              <w:left w:val="single" w:sz="4" w:space="0" w:color="000000"/>
              <w:bottom w:val="nil"/>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资金来源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10378.67</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10378.67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12536.24</w:t>
            </w:r>
          </w:p>
        </w:tc>
        <w:tc>
          <w:tcPr>
            <w:tcW w:type="auto" w:w="0"/>
            <w:vMerge/>
            <w:tcBorders>
              <w:top w:val="single" w:sz="4" w:space="0" w:color="000000"/>
              <w:left w:val="single" w:sz="4" w:space="0" w:color="000000"/>
              <w:bottom w:val="nil"/>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vMerge/>
            <w:tcBorders>
              <w:top w:val="single" w:sz="4" w:space="0" w:color="000000"/>
              <w:left w:val="single" w:sz="4" w:space="0" w:color="000000"/>
              <w:bottom w:val="nil"/>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财政专户管理资金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6078c321-9a66-4163-91f5-e1eb93fa2447"/>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vMerge/>
            <w:tcBorders>
              <w:top w:val="single" w:sz="4" w:space="0" w:color="000000"/>
              <w:left w:val="single" w:sz="4" w:space="0" w:color="000000"/>
              <w:bottom w:val="nil"/>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单位资金</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6078c321-9a66-4163-91f5-e1eb93fa2447"/>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vMerge/>
            <w:tcBorders>
              <w:top w:val="single" w:sz="4" w:space="0" w:color="000000"/>
              <w:left w:val="single" w:sz="4" w:space="0" w:color="000000"/>
              <w:bottom w:val="nil"/>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履职</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实际完成情况</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5"/>
        </w:trPr>
        <w:tc>
          <w:tcPr>
            <w:tcW w:type="auto" w:w="0"/>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目标完成情况</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tcW w:type="auto" w:w="0"/>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保障城市公交运营</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48条线路、1004台公交车正常运营，满足城市居民公共出行需求。</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
        </w:trPr>
        <w:tc>
          <w:tcPr>
            <w:tcW w:type="auto" w:w="0"/>
            <w:gridSpan w:val="2"/>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目标2：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完成公交都市创建</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完成城市公共交通规划编制、实施许昌市国家公交都市创建</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主要</w:t>
            </w:r>
            <w:r>
              <w:rPr/>
              <w:br/>
            </w:r>
            <w:r>
              <w:rPr>
                <w:rFonts w:ascii="宋体" w:eastAsia="宋体" w:hAnsi="宋体" w:cs="宋体" w:hint="eastAsia"/>
                <w:i w:val="0"/>
                <w:iCs w:val="0"/>
                <w:color w:val="000000"/>
                <w:kern w:val="0"/>
                <w:sz w:val="18"/>
                <w:szCs w:val="18"/>
                <w:u w:val="none"/>
                <w:bdr w:val="none" w:sz="0" w:space="0" w:color="auto"/>
                <w:lang w:val="en-US" w:eastAsia="zh-CN"/>
              </w:rPr>
              <w:t xml:space="preserve">任务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主要内容 </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任务完成情况</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任务1：</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加强党建工作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严格履行全面从严治党要求，落实中央八项规定，营造“高效、务实、心齐、劲足”的工作氛围，打造出一支风清气正的队伍。</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任务2：</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推动、指导公交系统协调发展，完成许昌市国家公交都市创建工作</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完成城市公共交通规划编制、实施许昌市国家公交都市创建</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任务3：</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保障城市公交运营</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noWrap w:val="1"/>
            <w:vAlign w:val="bottom"/>
          </w:tcPr>
          <w:p>
            <w:pPr>
              <w:pStyle w:val="Normal_6078c321-9a66-4163-91f5-e1eb93fa2447"/>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48条线路、1004台公交车正常运营，满足城市居民公共出行需求。</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指标值说明</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偏差原因分析及改进措施</w:t>
            </w: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2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相关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年度履职目标是否与部门职责、工作规划和重点工作相关；确定的预算项目是否合理，是否与工作目标密切相关；工作任务和项目预算安排是否合理。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工作任务对应的预算项目是否有明确的绩效目标，绩效目标是否与部门职责目标、工作任务目标一致，是否能体现预算项目的产出和效果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8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工作任务、预算项目绩效指标设置是否准确反映部门绩效完成情况；工作任务、预算项目绩效指标是否清晰、细化、可评价、可衡量；工作任务、预算项目绩效指标的评价标准是否清晰、可衡量；是否与部门年度的任务数或计划数相对应。</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2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完整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部门所有收入是否全部纳入部门预算；部门支出预算是否统筹各类资金来源，全部纳入部门预算管理。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6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0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预算调整率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2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结转结余率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righ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“三公经费”控制率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“三公经费”控制率=本年度“三公经费”实际支出数/“三公经费”预算数*100%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2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6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决算真实性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真实</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2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0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部分达成预期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0.5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54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76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8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     达成预期</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黑体" w:eastAsia="黑体" w:hAnsi="宋体" w:cs="黑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8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0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黑体" w:eastAsia="黑体" w:hAnsi="宋体" w:cs="黑体" w:hint="eastAsia"/>
                <w:i w:val="0"/>
                <w:iCs w:val="0"/>
                <w:color w:val="000000"/>
                <w:sz w:val="18"/>
                <w:szCs w:val="18"/>
                <w:u w:val="none"/>
              </w:rPr>
            </w:pPr>
            <w:r>
              <w:rPr>
                <w:rFonts w:ascii="黑体" w:eastAsia="黑体" w:hAnsi="宋体" w:cs="黑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25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城市公交运营</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保障城市公共交通出行。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100%</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7</w:t>
            </w:r>
          </w:p>
        </w:tc>
        <w:tc>
          <w:tcPr>
            <w:tcW w:type="auto" w:w="0"/>
            <w:tcBorders>
              <w:top w:val="nil"/>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7</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公交都市创建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争创国家级“公交都市”示范市。</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公共交通提质增效完成率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完成“公交都市”创建、出租汽车改革更新。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公交都市创建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争创国家级“公交都市”示范市。</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效益指标</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35</w:t>
            </w:r>
          </w:p>
        </w:tc>
        <w:tc>
          <w:tcPr>
            <w:tcW w:type="auto" w:w="0"/>
            <w:vMerge w:val="restart"/>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履职效益</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公共交通作用完成率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rPr>
              <w:t xml:space="preserve">≥95%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城市公共交通出行获得民众认可度，出租汽车改革更新有效提高经营者收入和市民出行多元化满意体验</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98%</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15</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20"/>
                <w:szCs w:val="20"/>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left"/>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满意度</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群众满意度</w:t>
            </w:r>
          </w:p>
        </w:tc>
        <w:tc>
          <w:tcPr>
            <w:tcW w:type="auto" w:w="0"/>
            <w:vMerge w:val="restart"/>
            <w:tcBorders>
              <w:top w:val="single" w:sz="4" w:space="0" w:color="000000"/>
              <w:left w:val="nil"/>
              <w:bottom w:val="single" w:sz="4" w:space="0" w:color="000000"/>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数据一般通过问卷调查的方式获得，用百分比衡量</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96%</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5"/>
        </w:trPr>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nil"/>
              <w:bottom w:val="single" w:sz="4" w:space="0" w:color="000000"/>
              <w:right w:val="nil"/>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noWrap w:val="1"/>
            <w:vAlign w:val="center"/>
          </w:tcPr>
          <w:p>
            <w:pPr>
              <w:pStyle w:val="Normal_6078c321-9a66-4163-91f5-e1eb93fa2447"/>
              <w:rPr>
                <w:rFonts w:ascii="宋体" w:eastAsia="宋体" w:hAnsi="宋体" w:cs="宋体" w:hint="eastAsia"/>
                <w:i w:val="0"/>
                <w:iCs w:val="0"/>
                <w:color w:val="000000"/>
                <w:sz w:val="18"/>
                <w:szCs w:val="18"/>
                <w:u w:val="none"/>
              </w:rPr>
            </w:pPr>
          </w:p>
        </w:tc>
      </w:tr>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98"/>
        </w:trPr>
        <w:tc>
          <w:tcPr>
            <w:tcW w:type="auto" w:w="0"/>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Normal_6078c321-9a66-4163-91f5-e1eb93fa2447"/>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bl>
    <w:p>
      <w:pPr>
        <w:pStyle w:val="Normal_6078c321-9a66-4163-91f5-e1eb93fa2447"/>
        <w:sectPr>
          <w:pgSz w:w="11906" w:h="16838" w:orient="portrait"/>
          <w:pgMar w:top="720" w:right="720" w:bottom="720" w:left="720" w:header="851" w:footer="992" w:gutter="0"/>
          <w:pgBorders w:offsetFrom="page">
            <w:top w:val="none" w:sz="0" w:space="0" w:color="auto"/>
            <w:left w:val="none" w:sz="0" w:space="0" w:color="auto"/>
            <w:bottom w:val="none" w:sz="0" w:space="0" w:color="auto"/>
            <w:right w:val="none" w:sz="0" w:space="0" w:color="auto"/>
          </w:pgBorders>
          <w:cols w:num="1" w:space="425">
            <w:col w:w="10466" w:space="425"/>
          </w:cols>
          <w:docGrid w:type="lines" w:linePitch="312" w:charSpace="0"/>
        </w:sectPr>
      </w:pPr>
    </w:p>
    <w:tbl>
      <w:tblPr>
        <w:tblStyle w:val="NormalTable_76a10c4f-0123-4383-b152-099ef1501195"/>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63"/>
        <w:gridCol w:w="824"/>
        <w:gridCol w:w="1317"/>
        <w:gridCol w:w="521"/>
        <w:gridCol w:w="588"/>
        <w:gridCol w:w="1461"/>
        <w:gridCol w:w="441"/>
        <w:gridCol w:w="810"/>
        <w:gridCol w:w="700"/>
        <w:gridCol w:w="894"/>
        <w:gridCol w:w="627"/>
        <w:gridCol w:w="964"/>
        <w:gridCol w:w="452"/>
        <w:gridCol w:w="427"/>
      </w:tblGrid>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出租车驾驶员考场租赁费（定额外基本运转支出）</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许昌市城市公共交通管理处</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根据实际工作需求，合理安排</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项目资金及时纳入绩效管理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一、租用办公用房11间（约260平方米）、水泥硬化场地1块、计算机53台。保证出租汽车驾驶员从业资格业务顺便开展，满足驾驶员需要，为驾驶员提供便利。</w:t>
            </w:r>
            <w:r>
              <w:rPr/>
              <w:br/>
            </w:r>
            <w:r>
              <w:rPr>
                <w:rFonts w:ascii="宋体" w:eastAsia="宋体" w:hAnsi="宋体" w:cs="宋体"/>
                <w:i w:val="0"/>
                <w:iCs w:val="0"/>
                <w:color w:val="000000"/>
                <w:kern w:val="0"/>
                <w:sz w:val="18"/>
                <w:szCs w:val="18"/>
                <w:u w:val="none"/>
                <w:bdr w:val="none" w:sz="0" w:space="0" w:color="auto"/>
                <w:lang w:val="en-US" w:eastAsia="zh-CN"/>
              </w:rPr>
              <w:t xml:space="preserve">二、租赁方负责房屋及场地的修缮及日常水电。</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使用办公用房11间（约260平方米）、水泥硬化场地1块、计算机53台。保证出租汽车驾驶员从业资格业务顺便开展，满足驾驶员需要，为驾驶员提供便利。</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租赁费用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水泥硬化场地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≥1200平方米</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1200平方米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计算机设备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≥53台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53台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办公楼房</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11间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场地设备达到使用标准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完好无损坏</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支付租金后立即使用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付款后立即使用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为驾驶员办理业务提供便利</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更加便利</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职工满意度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驾驶员满意度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中心城区新能源汽车补贴（重点一事一议支出）</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许昌市城市公共交通管理处</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w:t>
            </w:r>
          </w:p>
        </w:tc>
        <w:tc>
          <w:tcPr>
            <w:tcW w:type="auto" w:w="0"/>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6.89</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合理测算，据实补贴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项目资金及时纳入绩效管理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对2022年4月30日前（以购置发票时间为准）更新新能源电动巡游出租汽车的车辆实际出资人按照1万元/台的标准进行补贴，预计共计补贴1400台，总计1400万元。</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更新新能源电动巡游出租汽车的车辆实际出资人按照1万元/台的标准进行补贴，共计补贴964台，总计964万元</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新能源汽车被他标准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1万元/台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416万元/台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补贴车辆数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416辆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发放到位率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资金发放准确率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FF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出租车行业服务水平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出租车绿色发展</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市民满意度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驾驶员满意度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92.89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2021年度城市交通发展奖励资金</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许昌市城市公共交通管理处</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合理测算，据实补贴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项目资金及时纳入绩效管理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持续提升城市公共交通发展水平，加强公交车安全行车管理，促进城市公交高质量发展。</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优先发展城市公共交通，落实节能减排任务。</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资金投入</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公交高质量发展年度重点工作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按期推进</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公交优先发展水平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缓解大气污染</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缓解</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公交服务满意度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中心城区巡游出租汽车改革更新工作经费</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许昌市城市公共交通管理处</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70.31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70.31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70.31</w:t>
            </w:r>
          </w:p>
        </w:tc>
        <w:tc>
          <w:tcPr>
            <w:tcW w:type="auto" w:w="0"/>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70.31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70.31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70.31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合理测算，据实补贴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项目资金及时纳入绩效管理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维护出租车行业稳定，优先发展城市公共交通，落实节能减排任务。</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维护出租车行业稳定，优先发展城市公共交通，落实节能减排任务。</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许昌市中心城区巡游出租汽车改革更新工作经费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70.31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70.31%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纯电动新能源巡游出租汽车更新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1396台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1396台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巡游出租汽车经营者改革整合</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巡游出租汽车经营者运营成本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公共出行体验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对节能减排影响力</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增强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c>
          <w:tcPr>
            <w:tcW w:type="auto" w:w="0"/>
            <w:tcBorders>
              <w:top w:val="nil"/>
              <w:left w:val="nil"/>
              <w:bottom w:val="nil"/>
              <w:right w:val="nil"/>
            </w:tcBorders>
            <w:shd w:val="clear" w:color="auto" w:fill="auto"/>
            <w:noWrap w:val="1"/>
            <w:vAlign w:val="center"/>
          </w:tcPr>
          <w:p>
            <w:pPr>
              <w:pStyle w:val="Normal_6078c321-9a66-4163-91f5-e1eb93fa2447"/>
              <w:rPr>
                <w:rFonts w:ascii="宋体" w:eastAsia="宋体" w:hAnsi="宋体" w:cs="宋体" w:hint="eastAsia"/>
                <w:i w:val="0"/>
                <w:iCs w:val="0"/>
                <w:color w:val="000000"/>
                <w:sz w:val="24"/>
                <w:szCs w:val="24"/>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4"/>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预拨2021年度城市交通发展奖励资金</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许昌市交通运输局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许昌市城市公共交通管理处</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334.9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334.9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334.9</w:t>
            </w:r>
          </w:p>
        </w:tc>
        <w:tc>
          <w:tcPr>
            <w:tcW w:type="auto" w:w="0"/>
            <w:tcBorders>
              <w:top w:val="nil"/>
              <w:left w:val="nil"/>
              <w:bottom w:val="nil"/>
              <w:right w:val="nil"/>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334.9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334.9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334.9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合理测算，据实补贴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项目资金及时纳入绩效管理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维护出租车行业稳定，优先发展城市公共交通，落实节能减排任务。</w:t>
            </w:r>
          </w:p>
        </w:tc>
        <w:tc>
          <w:tcPr>
            <w:tcW w:type="auto" w:w="0"/>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维护出租车行业稳定，优先发展城市公共交通，落实节能减排任务。</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资金投入</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334.9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334.9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巡游出租车台数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1396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1396</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符合条件的资金拨付合规性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社会公众出行成本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公共出行体验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公共交通节能减排效果</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运输企业满意度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r>
        <w:tblPrEx>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6078c321-9a66-4163-91f5-e1eb93fa2447"/>
              <w:jc w:val="center"/>
              <w:rPr>
                <w:rFonts w:ascii="宋体" w:eastAsia="宋体" w:hAnsi="宋体" w:cs="宋体" w:hint="eastAsia"/>
                <w:i w:val="0"/>
                <w:iCs w:val="0"/>
                <w:color w:val="000000"/>
                <w:sz w:val="18"/>
                <w:szCs w:val="18"/>
                <w:u w:val="none"/>
              </w:rPr>
            </w:pPr>
          </w:p>
        </w:tc>
      </w:tr>
    </w:tbl>
    <w:p>
      <w:pPr>
        <w:pStyle w:val="Normal_6078c321-9a66-4163-91f5-e1eb93fa2447"/>
        <w:sectPr>
          <w:pgSz w:w="11906" w:h="16838" w:orient="portrait"/>
          <w:pgMar w:top="720" w:right="720" w:bottom="720" w:left="720" w:header="851" w:footer="992" w:gutter="0"/>
          <w:cols w:num="1" w:space="425">
            <w:col w:w="1046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369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6078c321-9a66-4163-91f5-e1eb93fa2447">
    <w:name w:val="Normal_6078c321-9a66-4163-91f5-e1eb93fa2447"/>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table" w:styleId="NormalTable_76a10c4f-0123-4383-b152-099ef1501195">
    <w:name w:val="Normal Table_76a10c4f-0123-4383-b152-099ef1501195"/>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