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许昌市地方史志编纂室部门决算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许昌市地方史志编纂室概况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许昌市地方史志编纂室概况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（一）贯彻落实党和国家及河南省关于地方史志工作的方针、政策和规定；受市政府委托，代市政府拟定全市地方史志工作的政策、规划及实施意见，指导市、县、乡三级的地方史志工作。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（二）组织、指导市直单位和有关部门编纂市级志书、史志、年鉴工作。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（三）指导县、乡级志书、史书、年鉴的编纂工作，参与审查验收县（市、区）及乡（镇）志稿，协助安排县、乡（镇）志书的印刷出版工作。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（四）收集、整理市情资料，开发市情信息，开展用志工作。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（五）编辑出版史志书籍，开展史志理论研究。</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许昌市地方史志编纂室内设机构3个,包括：秘书科、编审科、资料科。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从决算单位构成看，许昌市地方史志编纂室部门决算包括：本级决算（1个）。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纳入本部门2023年度部门决算编制范围的单位共1个，具体是：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许昌市地方史志编纂室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部门：许昌市地方史志编纂室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333.21</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248.02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57.72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14.04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13.43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333.21</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333.21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333.21</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333.21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部门：许昌市地方史志编纂室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333.21</w:t>
            </w:r>
          </w:p>
        </w:tc>
        <w:tc>
          <w:tcPr>
            <w:tcW w:w="1440" w:type="dxa"/>
            <w:vAlign w:val="center"/>
          </w:tcPr>
          <w:p>
            <w:pPr>
              <w:jc w:val="right"/>
            </w:pPr>
            <w:r>
              <w:rPr>
                <w:rFonts w:ascii="宋体" w:hAnsi="宋体" w:eastAsia="宋体" w:cs="宋体"/>
                <w:b/>
                <w:i w:val="0"/>
                <w:color w:val="000000"/>
                <w:sz w:val="17"/>
              </w:rPr>
              <w:t>333.21</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248.03</w:t>
            </w:r>
          </w:p>
        </w:tc>
        <w:tc>
          <w:tcPr>
            <w:tcW w:w="1440" w:type="dxa"/>
            <w:vAlign w:val="center"/>
          </w:tcPr>
          <w:p>
            <w:pPr>
              <w:jc w:val="right"/>
            </w:pPr>
            <w:r>
              <w:rPr>
                <w:rFonts w:ascii="宋体" w:hAnsi="宋体" w:eastAsia="宋体" w:cs="宋体"/>
                <w:b w:val="0"/>
                <w:i w:val="0"/>
                <w:color w:val="000000"/>
                <w:sz w:val="17"/>
              </w:rPr>
              <w:t>248.03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1.33</w:t>
            </w:r>
          </w:p>
        </w:tc>
        <w:tc>
          <w:tcPr>
            <w:tcW w:w="1440" w:type="dxa"/>
            <w:vAlign w:val="center"/>
          </w:tcPr>
          <w:p>
            <w:pPr>
              <w:jc w:val="right"/>
            </w:pPr>
            <w:r>
              <w:rPr>
                <w:rFonts w:ascii="宋体" w:hAnsi="宋体" w:eastAsia="宋体" w:cs="宋体"/>
                <w:b w:val="0"/>
                <w:i w:val="0"/>
                <w:color w:val="000000"/>
                <w:sz w:val="17"/>
              </w:rPr>
              <w:t>1.33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1.33</w:t>
            </w:r>
          </w:p>
        </w:tc>
        <w:tc>
          <w:tcPr>
            <w:tcW w:w="1440" w:type="dxa"/>
            <w:vAlign w:val="center"/>
          </w:tcPr>
          <w:p>
            <w:pPr>
              <w:jc w:val="right"/>
            </w:pPr>
            <w:r>
              <w:rPr>
                <w:rFonts w:ascii="宋体" w:hAnsi="宋体" w:eastAsia="宋体" w:cs="宋体"/>
                <w:b w:val="0"/>
                <w:i w:val="0"/>
                <w:color w:val="000000"/>
                <w:sz w:val="17"/>
              </w:rPr>
              <w:t>1.33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20103</w:t>
            </w:r>
          </w:p>
        </w:tc>
        <w:tc>
          <w:tcPr>
            <w:tcW w:w="3140" w:type="dxa"/>
            <w:vAlign w:val="center"/>
          </w:tcPr>
          <w:p>
            <w:pPr>
              <w:jc w:val="left"/>
            </w:pPr>
            <w:r>
              <w:rPr>
                <w:rFonts w:ascii="宋体" w:hAnsi="宋体" w:eastAsia="宋体" w:cs="宋体"/>
                <w:b w:val="0"/>
                <w:i w:val="0"/>
                <w:color w:val="000000"/>
                <w:sz w:val="17"/>
              </w:rPr>
              <w:t>政府办公厅（室）及相关机构事务</w:t>
            </w:r>
          </w:p>
        </w:tc>
        <w:tc>
          <w:tcPr>
            <w:tcW w:w="1440" w:type="dxa"/>
            <w:vAlign w:val="center"/>
          </w:tcPr>
          <w:p>
            <w:pPr>
              <w:jc w:val="right"/>
            </w:pPr>
            <w:r>
              <w:rPr>
                <w:rFonts w:ascii="宋体" w:hAnsi="宋体" w:eastAsia="宋体" w:cs="宋体"/>
                <w:b w:val="0"/>
                <w:i w:val="0"/>
                <w:color w:val="000000"/>
                <w:sz w:val="17"/>
              </w:rPr>
              <w:t>229.77</w:t>
            </w:r>
          </w:p>
        </w:tc>
        <w:tc>
          <w:tcPr>
            <w:tcW w:w="1440" w:type="dxa"/>
            <w:vAlign w:val="center"/>
          </w:tcPr>
          <w:p>
            <w:pPr>
              <w:jc w:val="right"/>
            </w:pPr>
            <w:r>
              <w:rPr>
                <w:rFonts w:ascii="宋体" w:hAnsi="宋体" w:eastAsia="宋体" w:cs="宋体"/>
                <w:b w:val="0"/>
                <w:i w:val="0"/>
                <w:color w:val="000000"/>
                <w:sz w:val="17"/>
              </w:rPr>
              <w:t>229.77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2010301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229.77</w:t>
            </w:r>
          </w:p>
        </w:tc>
        <w:tc>
          <w:tcPr>
            <w:tcW w:w="1440" w:type="dxa"/>
            <w:vAlign w:val="center"/>
          </w:tcPr>
          <w:p>
            <w:pPr>
              <w:jc w:val="right"/>
            </w:pPr>
            <w:r>
              <w:rPr>
                <w:rFonts w:ascii="宋体" w:hAnsi="宋体" w:eastAsia="宋体" w:cs="宋体"/>
                <w:b w:val="0"/>
                <w:i w:val="0"/>
                <w:color w:val="000000"/>
                <w:sz w:val="17"/>
              </w:rPr>
              <w:t>229.77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1.12</w:t>
            </w:r>
          </w:p>
        </w:tc>
        <w:tc>
          <w:tcPr>
            <w:tcW w:w="1440" w:type="dxa"/>
            <w:vAlign w:val="center"/>
          </w:tcPr>
          <w:p>
            <w:pPr>
              <w:jc w:val="right"/>
            </w:pPr>
            <w:r>
              <w:rPr>
                <w:rFonts w:ascii="宋体" w:hAnsi="宋体" w:eastAsia="宋体" w:cs="宋体"/>
                <w:b w:val="0"/>
                <w:i w:val="0"/>
                <w:color w:val="000000"/>
                <w:sz w:val="17"/>
              </w:rPr>
              <w:t>1.12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1.12</w:t>
            </w:r>
          </w:p>
        </w:tc>
        <w:tc>
          <w:tcPr>
            <w:tcW w:w="1440" w:type="dxa"/>
            <w:vAlign w:val="center"/>
          </w:tcPr>
          <w:p>
            <w:pPr>
              <w:jc w:val="right"/>
            </w:pPr>
            <w:r>
              <w:rPr>
                <w:rFonts w:ascii="宋体" w:hAnsi="宋体" w:eastAsia="宋体" w:cs="宋体"/>
                <w:b w:val="0"/>
                <w:i w:val="0"/>
                <w:color w:val="000000"/>
                <w:sz w:val="17"/>
              </w:rPr>
              <w:t>1.12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15.81</w:t>
            </w:r>
          </w:p>
        </w:tc>
        <w:tc>
          <w:tcPr>
            <w:tcW w:w="1440" w:type="dxa"/>
            <w:vAlign w:val="center"/>
          </w:tcPr>
          <w:p>
            <w:pPr>
              <w:jc w:val="right"/>
            </w:pPr>
            <w:r>
              <w:rPr>
                <w:rFonts w:ascii="宋体" w:hAnsi="宋体" w:eastAsia="宋体" w:cs="宋体"/>
                <w:b w:val="0"/>
                <w:i w:val="0"/>
                <w:color w:val="000000"/>
                <w:sz w:val="17"/>
              </w:rPr>
              <w:t>15.81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15.81</w:t>
            </w:r>
          </w:p>
        </w:tc>
        <w:tc>
          <w:tcPr>
            <w:tcW w:w="1440" w:type="dxa"/>
            <w:vAlign w:val="center"/>
          </w:tcPr>
          <w:p>
            <w:pPr>
              <w:jc w:val="right"/>
            </w:pPr>
            <w:r>
              <w:rPr>
                <w:rFonts w:ascii="宋体" w:hAnsi="宋体" w:eastAsia="宋体" w:cs="宋体"/>
                <w:b w:val="0"/>
                <w:i w:val="0"/>
                <w:color w:val="000000"/>
                <w:sz w:val="17"/>
              </w:rPr>
              <w:t>15.81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57.72</w:t>
            </w:r>
          </w:p>
        </w:tc>
        <w:tc>
          <w:tcPr>
            <w:tcW w:w="1440" w:type="dxa"/>
            <w:vAlign w:val="center"/>
          </w:tcPr>
          <w:p>
            <w:pPr>
              <w:jc w:val="right"/>
            </w:pPr>
            <w:r>
              <w:rPr>
                <w:rFonts w:ascii="宋体" w:hAnsi="宋体" w:eastAsia="宋体" w:cs="宋体"/>
                <w:b w:val="0"/>
                <w:i w:val="0"/>
                <w:color w:val="000000"/>
                <w:sz w:val="17"/>
              </w:rPr>
              <w:t>57.72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57.72</w:t>
            </w:r>
          </w:p>
        </w:tc>
        <w:tc>
          <w:tcPr>
            <w:tcW w:w="1440" w:type="dxa"/>
            <w:vAlign w:val="center"/>
          </w:tcPr>
          <w:p>
            <w:pPr>
              <w:jc w:val="right"/>
            </w:pPr>
            <w:r>
              <w:rPr>
                <w:rFonts w:ascii="宋体" w:hAnsi="宋体" w:eastAsia="宋体" w:cs="宋体"/>
                <w:b w:val="0"/>
                <w:i w:val="0"/>
                <w:color w:val="000000"/>
                <w:sz w:val="17"/>
              </w:rPr>
              <w:t>57.72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44.27</w:t>
            </w:r>
          </w:p>
        </w:tc>
        <w:tc>
          <w:tcPr>
            <w:tcW w:w="1440" w:type="dxa"/>
            <w:vAlign w:val="center"/>
          </w:tcPr>
          <w:p>
            <w:pPr>
              <w:jc w:val="right"/>
            </w:pPr>
            <w:r>
              <w:rPr>
                <w:rFonts w:ascii="宋体" w:hAnsi="宋体" w:eastAsia="宋体" w:cs="宋体"/>
                <w:b w:val="0"/>
                <w:i w:val="0"/>
                <w:color w:val="000000"/>
                <w:sz w:val="17"/>
              </w:rPr>
              <w:t>44.27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13.45</w:t>
            </w:r>
          </w:p>
        </w:tc>
        <w:tc>
          <w:tcPr>
            <w:tcW w:w="1440" w:type="dxa"/>
            <w:vAlign w:val="center"/>
          </w:tcPr>
          <w:p>
            <w:pPr>
              <w:jc w:val="right"/>
            </w:pPr>
            <w:r>
              <w:rPr>
                <w:rFonts w:ascii="宋体" w:hAnsi="宋体" w:eastAsia="宋体" w:cs="宋体"/>
                <w:b w:val="0"/>
                <w:i w:val="0"/>
                <w:color w:val="000000"/>
                <w:sz w:val="17"/>
              </w:rPr>
              <w:t>13.45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14.04</w:t>
            </w:r>
          </w:p>
        </w:tc>
        <w:tc>
          <w:tcPr>
            <w:tcW w:w="1440" w:type="dxa"/>
            <w:vAlign w:val="center"/>
          </w:tcPr>
          <w:p>
            <w:pPr>
              <w:jc w:val="right"/>
            </w:pPr>
            <w:r>
              <w:rPr>
                <w:rFonts w:ascii="宋体" w:hAnsi="宋体" w:eastAsia="宋体" w:cs="宋体"/>
                <w:b w:val="0"/>
                <w:i w:val="0"/>
                <w:color w:val="000000"/>
                <w:sz w:val="17"/>
              </w:rPr>
              <w:t>14.04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14.04</w:t>
            </w:r>
          </w:p>
        </w:tc>
        <w:tc>
          <w:tcPr>
            <w:tcW w:w="1440" w:type="dxa"/>
            <w:vAlign w:val="center"/>
          </w:tcPr>
          <w:p>
            <w:pPr>
              <w:jc w:val="right"/>
            </w:pPr>
            <w:r>
              <w:rPr>
                <w:rFonts w:ascii="宋体" w:hAnsi="宋体" w:eastAsia="宋体" w:cs="宋体"/>
                <w:b w:val="0"/>
                <w:i w:val="0"/>
                <w:color w:val="000000"/>
                <w:sz w:val="17"/>
              </w:rPr>
              <w:t>14.04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7.33</w:t>
            </w:r>
          </w:p>
        </w:tc>
        <w:tc>
          <w:tcPr>
            <w:tcW w:w="1440" w:type="dxa"/>
            <w:vAlign w:val="center"/>
          </w:tcPr>
          <w:p>
            <w:pPr>
              <w:jc w:val="right"/>
            </w:pPr>
            <w:r>
              <w:rPr>
                <w:rFonts w:ascii="宋体" w:hAnsi="宋体" w:eastAsia="宋体" w:cs="宋体"/>
                <w:b w:val="0"/>
                <w:i w:val="0"/>
                <w:color w:val="000000"/>
                <w:sz w:val="17"/>
              </w:rPr>
              <w:t>7.33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6.71</w:t>
            </w:r>
          </w:p>
        </w:tc>
        <w:tc>
          <w:tcPr>
            <w:tcW w:w="1440" w:type="dxa"/>
            <w:vAlign w:val="center"/>
          </w:tcPr>
          <w:p>
            <w:pPr>
              <w:jc w:val="right"/>
            </w:pPr>
            <w:r>
              <w:rPr>
                <w:rFonts w:ascii="宋体" w:hAnsi="宋体" w:eastAsia="宋体" w:cs="宋体"/>
                <w:b w:val="0"/>
                <w:i w:val="0"/>
                <w:color w:val="000000"/>
                <w:sz w:val="17"/>
              </w:rPr>
              <w:t>6.71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13.43</w:t>
            </w:r>
          </w:p>
        </w:tc>
        <w:tc>
          <w:tcPr>
            <w:tcW w:w="1440" w:type="dxa"/>
            <w:vAlign w:val="center"/>
          </w:tcPr>
          <w:p>
            <w:pPr>
              <w:jc w:val="right"/>
            </w:pPr>
            <w:r>
              <w:rPr>
                <w:rFonts w:ascii="宋体" w:hAnsi="宋体" w:eastAsia="宋体" w:cs="宋体"/>
                <w:b w:val="0"/>
                <w:i w:val="0"/>
                <w:color w:val="000000"/>
                <w:sz w:val="17"/>
              </w:rPr>
              <w:t>13.43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13.43</w:t>
            </w:r>
          </w:p>
        </w:tc>
        <w:tc>
          <w:tcPr>
            <w:tcW w:w="1440" w:type="dxa"/>
            <w:vAlign w:val="center"/>
          </w:tcPr>
          <w:p>
            <w:pPr>
              <w:jc w:val="right"/>
            </w:pPr>
            <w:r>
              <w:rPr>
                <w:rFonts w:ascii="宋体" w:hAnsi="宋体" w:eastAsia="宋体" w:cs="宋体"/>
                <w:b w:val="0"/>
                <w:i w:val="0"/>
                <w:color w:val="000000"/>
                <w:sz w:val="17"/>
              </w:rPr>
              <w:t>13.43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13.43</w:t>
            </w:r>
          </w:p>
        </w:tc>
        <w:tc>
          <w:tcPr>
            <w:tcW w:w="1440" w:type="dxa"/>
            <w:vAlign w:val="center"/>
          </w:tcPr>
          <w:p>
            <w:pPr>
              <w:jc w:val="right"/>
            </w:pPr>
            <w:r>
              <w:rPr>
                <w:rFonts w:ascii="宋体" w:hAnsi="宋体" w:eastAsia="宋体" w:cs="宋体"/>
                <w:b w:val="0"/>
                <w:i w:val="0"/>
                <w:color w:val="000000"/>
                <w:sz w:val="17"/>
              </w:rPr>
              <w:t>13.43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部门：许昌市地方史志编纂室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333.21</w:t>
            </w:r>
          </w:p>
        </w:tc>
        <w:tc>
          <w:tcPr>
            <w:tcW w:w="1600" w:type="dxa"/>
            <w:vAlign w:val="center"/>
          </w:tcPr>
          <w:p>
            <w:pPr>
              <w:jc w:val="right"/>
            </w:pPr>
            <w:r>
              <w:rPr>
                <w:rFonts w:ascii="宋体" w:hAnsi="宋体" w:eastAsia="宋体" w:cs="宋体"/>
                <w:b/>
                <w:i w:val="0"/>
                <w:color w:val="000000"/>
                <w:sz w:val="19"/>
              </w:rPr>
              <w:t>333.21</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248.03</w:t>
            </w:r>
          </w:p>
        </w:tc>
        <w:tc>
          <w:tcPr>
            <w:tcW w:w="1600" w:type="dxa"/>
            <w:vAlign w:val="center"/>
          </w:tcPr>
          <w:p>
            <w:pPr>
              <w:jc w:val="right"/>
            </w:pPr>
            <w:r>
              <w:rPr>
                <w:rFonts w:ascii="宋体" w:hAnsi="宋体" w:eastAsia="宋体" w:cs="宋体"/>
                <w:b w:val="0"/>
                <w:i w:val="0"/>
                <w:color w:val="000000"/>
                <w:sz w:val="19"/>
              </w:rPr>
              <w:t>248.03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1.33</w:t>
            </w:r>
          </w:p>
        </w:tc>
        <w:tc>
          <w:tcPr>
            <w:tcW w:w="1600" w:type="dxa"/>
            <w:vAlign w:val="center"/>
          </w:tcPr>
          <w:p>
            <w:pPr>
              <w:jc w:val="right"/>
            </w:pPr>
            <w:r>
              <w:rPr>
                <w:rFonts w:ascii="宋体" w:hAnsi="宋体" w:eastAsia="宋体" w:cs="宋体"/>
                <w:b w:val="0"/>
                <w:i w:val="0"/>
                <w:color w:val="000000"/>
                <w:sz w:val="19"/>
              </w:rPr>
              <w:t>1.33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1.33</w:t>
            </w:r>
          </w:p>
        </w:tc>
        <w:tc>
          <w:tcPr>
            <w:tcW w:w="1600" w:type="dxa"/>
            <w:vAlign w:val="center"/>
          </w:tcPr>
          <w:p>
            <w:pPr>
              <w:jc w:val="right"/>
            </w:pPr>
            <w:r>
              <w:rPr>
                <w:rFonts w:ascii="宋体" w:hAnsi="宋体" w:eastAsia="宋体" w:cs="宋体"/>
                <w:b w:val="0"/>
                <w:i w:val="0"/>
                <w:color w:val="000000"/>
                <w:sz w:val="19"/>
              </w:rPr>
              <w:t>1.33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20103</w:t>
            </w:r>
          </w:p>
        </w:tc>
        <w:tc>
          <w:tcPr>
            <w:tcW w:w="3480" w:type="dxa"/>
            <w:vAlign w:val="center"/>
          </w:tcPr>
          <w:p>
            <w:pPr>
              <w:jc w:val="left"/>
            </w:pPr>
            <w:r>
              <w:rPr>
                <w:rFonts w:ascii="宋体" w:hAnsi="宋体" w:eastAsia="宋体" w:cs="宋体"/>
                <w:b w:val="0"/>
                <w:i w:val="0"/>
                <w:color w:val="000000"/>
                <w:sz w:val="19"/>
              </w:rPr>
              <w:t>政府办公厅（室）及相关机构事务</w:t>
            </w:r>
          </w:p>
        </w:tc>
        <w:tc>
          <w:tcPr>
            <w:tcW w:w="1600" w:type="dxa"/>
            <w:vAlign w:val="center"/>
          </w:tcPr>
          <w:p>
            <w:pPr>
              <w:jc w:val="right"/>
            </w:pPr>
            <w:r>
              <w:rPr>
                <w:rFonts w:ascii="宋体" w:hAnsi="宋体" w:eastAsia="宋体" w:cs="宋体"/>
                <w:b w:val="0"/>
                <w:i w:val="0"/>
                <w:color w:val="000000"/>
                <w:sz w:val="19"/>
              </w:rPr>
              <w:t>229.77</w:t>
            </w:r>
          </w:p>
        </w:tc>
        <w:tc>
          <w:tcPr>
            <w:tcW w:w="1600" w:type="dxa"/>
            <w:vAlign w:val="center"/>
          </w:tcPr>
          <w:p>
            <w:pPr>
              <w:jc w:val="right"/>
            </w:pPr>
            <w:r>
              <w:rPr>
                <w:rFonts w:ascii="宋体" w:hAnsi="宋体" w:eastAsia="宋体" w:cs="宋体"/>
                <w:b w:val="0"/>
                <w:i w:val="0"/>
                <w:color w:val="000000"/>
                <w:sz w:val="19"/>
              </w:rPr>
              <w:t>229.77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2010301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229.77</w:t>
            </w:r>
          </w:p>
        </w:tc>
        <w:tc>
          <w:tcPr>
            <w:tcW w:w="1600" w:type="dxa"/>
            <w:vAlign w:val="center"/>
          </w:tcPr>
          <w:p>
            <w:pPr>
              <w:jc w:val="right"/>
            </w:pPr>
            <w:r>
              <w:rPr>
                <w:rFonts w:ascii="宋体" w:hAnsi="宋体" w:eastAsia="宋体" w:cs="宋体"/>
                <w:b w:val="0"/>
                <w:i w:val="0"/>
                <w:color w:val="000000"/>
                <w:sz w:val="19"/>
              </w:rPr>
              <w:t>229.77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1.12</w:t>
            </w:r>
          </w:p>
        </w:tc>
        <w:tc>
          <w:tcPr>
            <w:tcW w:w="1600" w:type="dxa"/>
            <w:vAlign w:val="center"/>
          </w:tcPr>
          <w:p>
            <w:pPr>
              <w:jc w:val="right"/>
            </w:pPr>
            <w:r>
              <w:rPr>
                <w:rFonts w:ascii="宋体" w:hAnsi="宋体" w:eastAsia="宋体" w:cs="宋体"/>
                <w:b w:val="0"/>
                <w:i w:val="0"/>
                <w:color w:val="000000"/>
                <w:sz w:val="19"/>
              </w:rPr>
              <w:t>1.12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1.12</w:t>
            </w:r>
          </w:p>
        </w:tc>
        <w:tc>
          <w:tcPr>
            <w:tcW w:w="1600" w:type="dxa"/>
            <w:vAlign w:val="center"/>
          </w:tcPr>
          <w:p>
            <w:pPr>
              <w:jc w:val="right"/>
            </w:pPr>
            <w:r>
              <w:rPr>
                <w:rFonts w:ascii="宋体" w:hAnsi="宋体" w:eastAsia="宋体" w:cs="宋体"/>
                <w:b w:val="0"/>
                <w:i w:val="0"/>
                <w:color w:val="000000"/>
                <w:sz w:val="19"/>
              </w:rPr>
              <w:t>1.12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15.81</w:t>
            </w:r>
          </w:p>
        </w:tc>
        <w:tc>
          <w:tcPr>
            <w:tcW w:w="1600" w:type="dxa"/>
            <w:vAlign w:val="center"/>
          </w:tcPr>
          <w:p>
            <w:pPr>
              <w:jc w:val="right"/>
            </w:pPr>
            <w:r>
              <w:rPr>
                <w:rFonts w:ascii="宋体" w:hAnsi="宋体" w:eastAsia="宋体" w:cs="宋体"/>
                <w:b w:val="0"/>
                <w:i w:val="0"/>
                <w:color w:val="000000"/>
                <w:sz w:val="19"/>
              </w:rPr>
              <w:t>15.81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15.81</w:t>
            </w:r>
          </w:p>
        </w:tc>
        <w:tc>
          <w:tcPr>
            <w:tcW w:w="1600" w:type="dxa"/>
            <w:vAlign w:val="center"/>
          </w:tcPr>
          <w:p>
            <w:pPr>
              <w:jc w:val="right"/>
            </w:pPr>
            <w:r>
              <w:rPr>
                <w:rFonts w:ascii="宋体" w:hAnsi="宋体" w:eastAsia="宋体" w:cs="宋体"/>
                <w:b w:val="0"/>
                <w:i w:val="0"/>
                <w:color w:val="000000"/>
                <w:sz w:val="19"/>
              </w:rPr>
              <w:t>15.81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57.72</w:t>
            </w:r>
          </w:p>
        </w:tc>
        <w:tc>
          <w:tcPr>
            <w:tcW w:w="1600" w:type="dxa"/>
            <w:vAlign w:val="center"/>
          </w:tcPr>
          <w:p>
            <w:pPr>
              <w:jc w:val="right"/>
            </w:pPr>
            <w:r>
              <w:rPr>
                <w:rFonts w:ascii="宋体" w:hAnsi="宋体" w:eastAsia="宋体" w:cs="宋体"/>
                <w:b w:val="0"/>
                <w:i w:val="0"/>
                <w:color w:val="000000"/>
                <w:sz w:val="19"/>
              </w:rPr>
              <w:t>57.72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57.72</w:t>
            </w:r>
          </w:p>
        </w:tc>
        <w:tc>
          <w:tcPr>
            <w:tcW w:w="1600" w:type="dxa"/>
            <w:vAlign w:val="center"/>
          </w:tcPr>
          <w:p>
            <w:pPr>
              <w:jc w:val="right"/>
            </w:pPr>
            <w:r>
              <w:rPr>
                <w:rFonts w:ascii="宋体" w:hAnsi="宋体" w:eastAsia="宋体" w:cs="宋体"/>
                <w:b w:val="0"/>
                <w:i w:val="0"/>
                <w:color w:val="000000"/>
                <w:sz w:val="19"/>
              </w:rPr>
              <w:t>57.72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44.27</w:t>
            </w:r>
          </w:p>
        </w:tc>
        <w:tc>
          <w:tcPr>
            <w:tcW w:w="1600" w:type="dxa"/>
            <w:vAlign w:val="center"/>
          </w:tcPr>
          <w:p>
            <w:pPr>
              <w:jc w:val="right"/>
            </w:pPr>
            <w:r>
              <w:rPr>
                <w:rFonts w:ascii="宋体" w:hAnsi="宋体" w:eastAsia="宋体" w:cs="宋体"/>
                <w:b w:val="0"/>
                <w:i w:val="0"/>
                <w:color w:val="000000"/>
                <w:sz w:val="19"/>
              </w:rPr>
              <w:t>44.27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13.45</w:t>
            </w:r>
          </w:p>
        </w:tc>
        <w:tc>
          <w:tcPr>
            <w:tcW w:w="1600" w:type="dxa"/>
            <w:vAlign w:val="center"/>
          </w:tcPr>
          <w:p>
            <w:pPr>
              <w:jc w:val="right"/>
            </w:pPr>
            <w:r>
              <w:rPr>
                <w:rFonts w:ascii="宋体" w:hAnsi="宋体" w:eastAsia="宋体" w:cs="宋体"/>
                <w:b w:val="0"/>
                <w:i w:val="0"/>
                <w:color w:val="000000"/>
                <w:sz w:val="19"/>
              </w:rPr>
              <w:t>13.45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14.04</w:t>
            </w:r>
          </w:p>
        </w:tc>
        <w:tc>
          <w:tcPr>
            <w:tcW w:w="1600" w:type="dxa"/>
            <w:vAlign w:val="center"/>
          </w:tcPr>
          <w:p>
            <w:pPr>
              <w:jc w:val="right"/>
            </w:pPr>
            <w:r>
              <w:rPr>
                <w:rFonts w:ascii="宋体" w:hAnsi="宋体" w:eastAsia="宋体" w:cs="宋体"/>
                <w:b w:val="0"/>
                <w:i w:val="0"/>
                <w:color w:val="000000"/>
                <w:sz w:val="19"/>
              </w:rPr>
              <w:t>14.04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14.04</w:t>
            </w:r>
          </w:p>
        </w:tc>
        <w:tc>
          <w:tcPr>
            <w:tcW w:w="1600" w:type="dxa"/>
            <w:vAlign w:val="center"/>
          </w:tcPr>
          <w:p>
            <w:pPr>
              <w:jc w:val="right"/>
            </w:pPr>
            <w:r>
              <w:rPr>
                <w:rFonts w:ascii="宋体" w:hAnsi="宋体" w:eastAsia="宋体" w:cs="宋体"/>
                <w:b w:val="0"/>
                <w:i w:val="0"/>
                <w:color w:val="000000"/>
                <w:sz w:val="19"/>
              </w:rPr>
              <w:t>14.04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7.33</w:t>
            </w:r>
          </w:p>
        </w:tc>
        <w:tc>
          <w:tcPr>
            <w:tcW w:w="1600" w:type="dxa"/>
            <w:vAlign w:val="center"/>
          </w:tcPr>
          <w:p>
            <w:pPr>
              <w:jc w:val="right"/>
            </w:pPr>
            <w:r>
              <w:rPr>
                <w:rFonts w:ascii="宋体" w:hAnsi="宋体" w:eastAsia="宋体" w:cs="宋体"/>
                <w:b w:val="0"/>
                <w:i w:val="0"/>
                <w:color w:val="000000"/>
                <w:sz w:val="19"/>
              </w:rPr>
              <w:t>7.33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6.71</w:t>
            </w:r>
          </w:p>
        </w:tc>
        <w:tc>
          <w:tcPr>
            <w:tcW w:w="1600" w:type="dxa"/>
            <w:vAlign w:val="center"/>
          </w:tcPr>
          <w:p>
            <w:pPr>
              <w:jc w:val="right"/>
            </w:pPr>
            <w:r>
              <w:rPr>
                <w:rFonts w:ascii="宋体" w:hAnsi="宋体" w:eastAsia="宋体" w:cs="宋体"/>
                <w:b w:val="0"/>
                <w:i w:val="0"/>
                <w:color w:val="000000"/>
                <w:sz w:val="19"/>
              </w:rPr>
              <w:t>6.71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13.43</w:t>
            </w:r>
          </w:p>
        </w:tc>
        <w:tc>
          <w:tcPr>
            <w:tcW w:w="1600" w:type="dxa"/>
            <w:vAlign w:val="center"/>
          </w:tcPr>
          <w:p>
            <w:pPr>
              <w:jc w:val="right"/>
            </w:pPr>
            <w:r>
              <w:rPr>
                <w:rFonts w:ascii="宋体" w:hAnsi="宋体" w:eastAsia="宋体" w:cs="宋体"/>
                <w:b w:val="0"/>
                <w:i w:val="0"/>
                <w:color w:val="000000"/>
                <w:sz w:val="19"/>
              </w:rPr>
              <w:t>13.43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13.43</w:t>
            </w:r>
          </w:p>
        </w:tc>
        <w:tc>
          <w:tcPr>
            <w:tcW w:w="1600" w:type="dxa"/>
            <w:vAlign w:val="center"/>
          </w:tcPr>
          <w:p>
            <w:pPr>
              <w:jc w:val="right"/>
            </w:pPr>
            <w:r>
              <w:rPr>
                <w:rFonts w:ascii="宋体" w:hAnsi="宋体" w:eastAsia="宋体" w:cs="宋体"/>
                <w:b w:val="0"/>
                <w:i w:val="0"/>
                <w:color w:val="000000"/>
                <w:sz w:val="19"/>
              </w:rPr>
              <w:t>13.43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13.43</w:t>
            </w:r>
          </w:p>
        </w:tc>
        <w:tc>
          <w:tcPr>
            <w:tcW w:w="1600" w:type="dxa"/>
            <w:vAlign w:val="center"/>
          </w:tcPr>
          <w:p>
            <w:pPr>
              <w:jc w:val="right"/>
            </w:pPr>
            <w:r>
              <w:rPr>
                <w:rFonts w:ascii="宋体" w:hAnsi="宋体" w:eastAsia="宋体" w:cs="宋体"/>
                <w:b w:val="0"/>
                <w:i w:val="0"/>
                <w:color w:val="000000"/>
                <w:sz w:val="19"/>
              </w:rPr>
              <w:t>13.43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部门：许昌市地方史志编纂室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333.21</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248.02</w:t>
            </w:r>
          </w:p>
        </w:tc>
        <w:tc>
          <w:tcPr>
            <w:tcW w:w="1420" w:type="dxa"/>
            <w:vAlign w:val="center"/>
          </w:tcPr>
          <w:p>
            <w:pPr>
              <w:jc w:val="right"/>
            </w:pPr>
            <w:r>
              <w:rPr>
                <w:rFonts w:ascii="宋体" w:hAnsi="宋体" w:eastAsia="宋体" w:cs="宋体"/>
                <w:b w:val="0"/>
                <w:i w:val="0"/>
                <w:color w:val="000000"/>
                <w:sz w:val="18"/>
              </w:rPr>
              <w:t>248.02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57.72</w:t>
            </w:r>
          </w:p>
        </w:tc>
        <w:tc>
          <w:tcPr>
            <w:tcW w:w="1420" w:type="dxa"/>
            <w:vAlign w:val="center"/>
          </w:tcPr>
          <w:p>
            <w:pPr>
              <w:jc w:val="right"/>
            </w:pPr>
            <w:r>
              <w:rPr>
                <w:rFonts w:ascii="宋体" w:hAnsi="宋体" w:eastAsia="宋体" w:cs="宋体"/>
                <w:b w:val="0"/>
                <w:i w:val="0"/>
                <w:color w:val="000000"/>
                <w:sz w:val="18"/>
              </w:rPr>
              <w:t>57.72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14.04</w:t>
            </w:r>
          </w:p>
        </w:tc>
        <w:tc>
          <w:tcPr>
            <w:tcW w:w="1420" w:type="dxa"/>
            <w:vAlign w:val="center"/>
          </w:tcPr>
          <w:p>
            <w:pPr>
              <w:jc w:val="right"/>
            </w:pPr>
            <w:r>
              <w:rPr>
                <w:rFonts w:ascii="宋体" w:hAnsi="宋体" w:eastAsia="宋体" w:cs="宋体"/>
                <w:b w:val="0"/>
                <w:i w:val="0"/>
                <w:color w:val="000000"/>
                <w:sz w:val="18"/>
              </w:rPr>
              <w:t>14.04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13.43</w:t>
            </w:r>
          </w:p>
        </w:tc>
        <w:tc>
          <w:tcPr>
            <w:tcW w:w="1420" w:type="dxa"/>
            <w:vAlign w:val="center"/>
          </w:tcPr>
          <w:p>
            <w:pPr>
              <w:jc w:val="right"/>
            </w:pPr>
            <w:r>
              <w:rPr>
                <w:rFonts w:ascii="宋体" w:hAnsi="宋体" w:eastAsia="宋体" w:cs="宋体"/>
                <w:b w:val="0"/>
                <w:i w:val="0"/>
                <w:color w:val="000000"/>
                <w:sz w:val="18"/>
              </w:rPr>
              <w:t>13.43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333.21</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333.21</w:t>
            </w:r>
          </w:p>
        </w:tc>
        <w:tc>
          <w:tcPr>
            <w:tcW w:w="1420" w:type="dxa"/>
            <w:vAlign w:val="center"/>
          </w:tcPr>
          <w:p>
            <w:pPr>
              <w:jc w:val="right"/>
            </w:pPr>
            <w:r>
              <w:rPr>
                <w:rFonts w:ascii="宋体" w:hAnsi="宋体" w:eastAsia="宋体" w:cs="宋体"/>
                <w:b w:val="0"/>
                <w:i w:val="0"/>
                <w:color w:val="000000"/>
                <w:sz w:val="18"/>
              </w:rPr>
              <w:t>333.21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333.21</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333.21</w:t>
            </w:r>
          </w:p>
        </w:tc>
        <w:tc>
          <w:tcPr>
            <w:tcW w:w="1420" w:type="dxa"/>
            <w:vAlign w:val="center"/>
          </w:tcPr>
          <w:p>
            <w:pPr>
              <w:jc w:val="right"/>
            </w:pPr>
            <w:r>
              <w:rPr>
                <w:rFonts w:ascii="宋体" w:hAnsi="宋体" w:eastAsia="宋体" w:cs="宋体"/>
                <w:b w:val="0"/>
                <w:i w:val="0"/>
                <w:color w:val="000000"/>
                <w:sz w:val="18"/>
              </w:rPr>
              <w:t>333.21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部门：许昌市地方史志编纂室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333.21</w:t>
            </w:r>
          </w:p>
        </w:tc>
        <w:tc>
          <w:tcPr>
            <w:tcW w:w="2700" w:type="dxa"/>
            <w:vAlign w:val="center"/>
          </w:tcPr>
          <w:p>
            <w:pPr>
              <w:jc w:val="right"/>
            </w:pPr>
            <w:r>
              <w:rPr>
                <w:rFonts w:ascii="宋体" w:hAnsi="宋体" w:eastAsia="宋体" w:cs="宋体"/>
                <w:b/>
                <w:i w:val="0"/>
                <w:color w:val="000000"/>
                <w:sz w:val="25"/>
              </w:rPr>
              <w:t>333.21</w:t>
            </w:r>
          </w:p>
        </w:tc>
        <w:tc>
          <w:tcPr>
            <w:tcW w:w="2658" w:type="dxa"/>
            <w:vAlign w:val="center"/>
          </w:tcPr>
          <w:p>
            <w:pPr>
              <w:jc w:val="right"/>
            </w:pPr>
            <w:r>
              <w:rPr>
                <w:rFonts w:ascii="宋体" w:hAnsi="宋体" w:eastAsia="宋体" w:cs="宋体"/>
                <w:b/>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248.03</w:t>
            </w:r>
          </w:p>
        </w:tc>
        <w:tc>
          <w:tcPr>
            <w:tcW w:w="2700" w:type="dxa"/>
            <w:vAlign w:val="center"/>
          </w:tcPr>
          <w:p>
            <w:pPr>
              <w:jc w:val="right"/>
            </w:pPr>
            <w:r>
              <w:rPr>
                <w:rFonts w:ascii="宋体" w:hAnsi="宋体" w:eastAsia="宋体" w:cs="宋体"/>
                <w:b w:val="0"/>
                <w:i w:val="0"/>
                <w:color w:val="000000"/>
                <w:sz w:val="25"/>
              </w:rPr>
              <w:t>248.03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1.33</w:t>
            </w:r>
          </w:p>
        </w:tc>
        <w:tc>
          <w:tcPr>
            <w:tcW w:w="2700" w:type="dxa"/>
            <w:vAlign w:val="center"/>
          </w:tcPr>
          <w:p>
            <w:pPr>
              <w:jc w:val="right"/>
            </w:pPr>
            <w:r>
              <w:rPr>
                <w:rFonts w:ascii="宋体" w:hAnsi="宋体" w:eastAsia="宋体" w:cs="宋体"/>
                <w:b w:val="0"/>
                <w:i w:val="0"/>
                <w:color w:val="000000"/>
                <w:sz w:val="25"/>
              </w:rPr>
              <w:t>1.33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1.33</w:t>
            </w:r>
          </w:p>
        </w:tc>
        <w:tc>
          <w:tcPr>
            <w:tcW w:w="2700" w:type="dxa"/>
            <w:vAlign w:val="center"/>
          </w:tcPr>
          <w:p>
            <w:pPr>
              <w:jc w:val="right"/>
            </w:pPr>
            <w:r>
              <w:rPr>
                <w:rFonts w:ascii="宋体" w:hAnsi="宋体" w:eastAsia="宋体" w:cs="宋体"/>
                <w:b w:val="0"/>
                <w:i w:val="0"/>
                <w:color w:val="000000"/>
                <w:sz w:val="25"/>
              </w:rPr>
              <w:t>1.33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w:t>
            </w:r>
          </w:p>
        </w:tc>
        <w:tc>
          <w:tcPr>
            <w:tcW w:w="4700" w:type="dxa"/>
            <w:vAlign w:val="center"/>
          </w:tcPr>
          <w:p>
            <w:pPr>
              <w:jc w:val="left"/>
            </w:pPr>
            <w:r>
              <w:rPr>
                <w:rFonts w:ascii="宋体" w:hAnsi="宋体" w:eastAsia="宋体" w:cs="宋体"/>
                <w:b w:val="0"/>
                <w:i w:val="0"/>
                <w:color w:val="000000"/>
                <w:sz w:val="25"/>
              </w:rPr>
              <w:t>政府办公厅（室）及相关机构事务</w:t>
            </w:r>
          </w:p>
        </w:tc>
        <w:tc>
          <w:tcPr>
            <w:tcW w:w="2700" w:type="dxa"/>
            <w:vAlign w:val="center"/>
          </w:tcPr>
          <w:p>
            <w:pPr>
              <w:jc w:val="right"/>
            </w:pPr>
            <w:r>
              <w:rPr>
                <w:rFonts w:ascii="宋体" w:hAnsi="宋体" w:eastAsia="宋体" w:cs="宋体"/>
                <w:b w:val="0"/>
                <w:i w:val="0"/>
                <w:color w:val="000000"/>
                <w:sz w:val="25"/>
              </w:rPr>
              <w:t>229.77</w:t>
            </w:r>
          </w:p>
        </w:tc>
        <w:tc>
          <w:tcPr>
            <w:tcW w:w="2700" w:type="dxa"/>
            <w:vAlign w:val="center"/>
          </w:tcPr>
          <w:p>
            <w:pPr>
              <w:jc w:val="right"/>
            </w:pPr>
            <w:r>
              <w:rPr>
                <w:rFonts w:ascii="宋体" w:hAnsi="宋体" w:eastAsia="宋体" w:cs="宋体"/>
                <w:b w:val="0"/>
                <w:i w:val="0"/>
                <w:color w:val="000000"/>
                <w:sz w:val="25"/>
              </w:rPr>
              <w:t>229.77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229.77</w:t>
            </w:r>
          </w:p>
        </w:tc>
        <w:tc>
          <w:tcPr>
            <w:tcW w:w="2700" w:type="dxa"/>
            <w:vAlign w:val="center"/>
          </w:tcPr>
          <w:p>
            <w:pPr>
              <w:jc w:val="right"/>
            </w:pPr>
            <w:r>
              <w:rPr>
                <w:rFonts w:ascii="宋体" w:hAnsi="宋体" w:eastAsia="宋体" w:cs="宋体"/>
                <w:b w:val="0"/>
                <w:i w:val="0"/>
                <w:color w:val="000000"/>
                <w:sz w:val="25"/>
              </w:rPr>
              <w:t>229.77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1.12</w:t>
            </w:r>
          </w:p>
        </w:tc>
        <w:tc>
          <w:tcPr>
            <w:tcW w:w="2700" w:type="dxa"/>
            <w:vAlign w:val="center"/>
          </w:tcPr>
          <w:p>
            <w:pPr>
              <w:jc w:val="right"/>
            </w:pPr>
            <w:r>
              <w:rPr>
                <w:rFonts w:ascii="宋体" w:hAnsi="宋体" w:eastAsia="宋体" w:cs="宋体"/>
                <w:b w:val="0"/>
                <w:i w:val="0"/>
                <w:color w:val="000000"/>
                <w:sz w:val="25"/>
              </w:rPr>
              <w:t>1.12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1.12</w:t>
            </w:r>
          </w:p>
        </w:tc>
        <w:tc>
          <w:tcPr>
            <w:tcW w:w="2700" w:type="dxa"/>
            <w:vAlign w:val="center"/>
          </w:tcPr>
          <w:p>
            <w:pPr>
              <w:jc w:val="right"/>
            </w:pPr>
            <w:r>
              <w:rPr>
                <w:rFonts w:ascii="宋体" w:hAnsi="宋体" w:eastAsia="宋体" w:cs="宋体"/>
                <w:b w:val="0"/>
                <w:i w:val="0"/>
                <w:color w:val="000000"/>
                <w:sz w:val="25"/>
              </w:rPr>
              <w:t>1.12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15.81</w:t>
            </w:r>
          </w:p>
        </w:tc>
        <w:tc>
          <w:tcPr>
            <w:tcW w:w="2700" w:type="dxa"/>
            <w:vAlign w:val="center"/>
          </w:tcPr>
          <w:p>
            <w:pPr>
              <w:jc w:val="right"/>
            </w:pPr>
            <w:r>
              <w:rPr>
                <w:rFonts w:ascii="宋体" w:hAnsi="宋体" w:eastAsia="宋体" w:cs="宋体"/>
                <w:b w:val="0"/>
                <w:i w:val="0"/>
                <w:color w:val="000000"/>
                <w:sz w:val="25"/>
              </w:rPr>
              <w:t>15.81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15.81</w:t>
            </w:r>
          </w:p>
        </w:tc>
        <w:tc>
          <w:tcPr>
            <w:tcW w:w="2700" w:type="dxa"/>
            <w:vAlign w:val="center"/>
          </w:tcPr>
          <w:p>
            <w:pPr>
              <w:jc w:val="right"/>
            </w:pPr>
            <w:r>
              <w:rPr>
                <w:rFonts w:ascii="宋体" w:hAnsi="宋体" w:eastAsia="宋体" w:cs="宋体"/>
                <w:b w:val="0"/>
                <w:i w:val="0"/>
                <w:color w:val="000000"/>
                <w:sz w:val="25"/>
              </w:rPr>
              <w:t>15.81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57.72</w:t>
            </w:r>
          </w:p>
        </w:tc>
        <w:tc>
          <w:tcPr>
            <w:tcW w:w="2700" w:type="dxa"/>
            <w:vAlign w:val="center"/>
          </w:tcPr>
          <w:p>
            <w:pPr>
              <w:jc w:val="right"/>
            </w:pPr>
            <w:r>
              <w:rPr>
                <w:rFonts w:ascii="宋体" w:hAnsi="宋体" w:eastAsia="宋体" w:cs="宋体"/>
                <w:b w:val="0"/>
                <w:i w:val="0"/>
                <w:color w:val="000000"/>
                <w:sz w:val="25"/>
              </w:rPr>
              <w:t>57.72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57.72</w:t>
            </w:r>
          </w:p>
        </w:tc>
        <w:tc>
          <w:tcPr>
            <w:tcW w:w="2700" w:type="dxa"/>
            <w:vAlign w:val="center"/>
          </w:tcPr>
          <w:p>
            <w:pPr>
              <w:jc w:val="right"/>
            </w:pPr>
            <w:r>
              <w:rPr>
                <w:rFonts w:ascii="宋体" w:hAnsi="宋体" w:eastAsia="宋体" w:cs="宋体"/>
                <w:b w:val="0"/>
                <w:i w:val="0"/>
                <w:color w:val="000000"/>
                <w:sz w:val="25"/>
              </w:rPr>
              <w:t>57.72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44.27</w:t>
            </w:r>
          </w:p>
        </w:tc>
        <w:tc>
          <w:tcPr>
            <w:tcW w:w="2700" w:type="dxa"/>
            <w:vAlign w:val="center"/>
          </w:tcPr>
          <w:p>
            <w:pPr>
              <w:jc w:val="right"/>
            </w:pPr>
            <w:r>
              <w:rPr>
                <w:rFonts w:ascii="宋体" w:hAnsi="宋体" w:eastAsia="宋体" w:cs="宋体"/>
                <w:b w:val="0"/>
                <w:i w:val="0"/>
                <w:color w:val="000000"/>
                <w:sz w:val="25"/>
              </w:rPr>
              <w:t>44.27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13.45</w:t>
            </w:r>
          </w:p>
        </w:tc>
        <w:tc>
          <w:tcPr>
            <w:tcW w:w="2700" w:type="dxa"/>
            <w:vAlign w:val="center"/>
          </w:tcPr>
          <w:p>
            <w:pPr>
              <w:jc w:val="right"/>
            </w:pPr>
            <w:r>
              <w:rPr>
                <w:rFonts w:ascii="宋体" w:hAnsi="宋体" w:eastAsia="宋体" w:cs="宋体"/>
                <w:b w:val="0"/>
                <w:i w:val="0"/>
                <w:color w:val="000000"/>
                <w:sz w:val="25"/>
              </w:rPr>
              <w:t>13.45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14.04</w:t>
            </w:r>
          </w:p>
        </w:tc>
        <w:tc>
          <w:tcPr>
            <w:tcW w:w="2700" w:type="dxa"/>
            <w:vAlign w:val="center"/>
          </w:tcPr>
          <w:p>
            <w:pPr>
              <w:jc w:val="right"/>
            </w:pPr>
            <w:r>
              <w:rPr>
                <w:rFonts w:ascii="宋体" w:hAnsi="宋体" w:eastAsia="宋体" w:cs="宋体"/>
                <w:b w:val="0"/>
                <w:i w:val="0"/>
                <w:color w:val="000000"/>
                <w:sz w:val="25"/>
              </w:rPr>
              <w:t>14.04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14.04</w:t>
            </w:r>
          </w:p>
        </w:tc>
        <w:tc>
          <w:tcPr>
            <w:tcW w:w="2700" w:type="dxa"/>
            <w:vAlign w:val="center"/>
          </w:tcPr>
          <w:p>
            <w:pPr>
              <w:jc w:val="right"/>
            </w:pPr>
            <w:r>
              <w:rPr>
                <w:rFonts w:ascii="宋体" w:hAnsi="宋体" w:eastAsia="宋体" w:cs="宋体"/>
                <w:b w:val="0"/>
                <w:i w:val="0"/>
                <w:color w:val="000000"/>
                <w:sz w:val="25"/>
              </w:rPr>
              <w:t>14.04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7.33</w:t>
            </w:r>
          </w:p>
        </w:tc>
        <w:tc>
          <w:tcPr>
            <w:tcW w:w="2700" w:type="dxa"/>
            <w:vAlign w:val="center"/>
          </w:tcPr>
          <w:p>
            <w:pPr>
              <w:jc w:val="right"/>
            </w:pPr>
            <w:r>
              <w:rPr>
                <w:rFonts w:ascii="宋体" w:hAnsi="宋体" w:eastAsia="宋体" w:cs="宋体"/>
                <w:b w:val="0"/>
                <w:i w:val="0"/>
                <w:color w:val="000000"/>
                <w:sz w:val="25"/>
              </w:rPr>
              <w:t>7.33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6.71</w:t>
            </w:r>
          </w:p>
        </w:tc>
        <w:tc>
          <w:tcPr>
            <w:tcW w:w="2700" w:type="dxa"/>
            <w:vAlign w:val="center"/>
          </w:tcPr>
          <w:p>
            <w:pPr>
              <w:jc w:val="right"/>
            </w:pPr>
            <w:r>
              <w:rPr>
                <w:rFonts w:ascii="宋体" w:hAnsi="宋体" w:eastAsia="宋体" w:cs="宋体"/>
                <w:b w:val="0"/>
                <w:i w:val="0"/>
                <w:color w:val="000000"/>
                <w:sz w:val="25"/>
              </w:rPr>
              <w:t>6.71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13.43</w:t>
            </w:r>
          </w:p>
        </w:tc>
        <w:tc>
          <w:tcPr>
            <w:tcW w:w="2700" w:type="dxa"/>
            <w:vAlign w:val="center"/>
          </w:tcPr>
          <w:p>
            <w:pPr>
              <w:jc w:val="right"/>
            </w:pPr>
            <w:r>
              <w:rPr>
                <w:rFonts w:ascii="宋体" w:hAnsi="宋体" w:eastAsia="宋体" w:cs="宋体"/>
                <w:b w:val="0"/>
                <w:i w:val="0"/>
                <w:color w:val="000000"/>
                <w:sz w:val="25"/>
              </w:rPr>
              <w:t>13.43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13.43</w:t>
            </w:r>
          </w:p>
        </w:tc>
        <w:tc>
          <w:tcPr>
            <w:tcW w:w="2700" w:type="dxa"/>
            <w:vAlign w:val="center"/>
          </w:tcPr>
          <w:p>
            <w:pPr>
              <w:jc w:val="right"/>
            </w:pPr>
            <w:r>
              <w:rPr>
                <w:rFonts w:ascii="宋体" w:hAnsi="宋体" w:eastAsia="宋体" w:cs="宋体"/>
                <w:b w:val="0"/>
                <w:i w:val="0"/>
                <w:color w:val="000000"/>
                <w:sz w:val="25"/>
              </w:rPr>
              <w:t>13.43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13.43</w:t>
            </w:r>
          </w:p>
        </w:tc>
        <w:tc>
          <w:tcPr>
            <w:tcW w:w="2700" w:type="dxa"/>
            <w:vAlign w:val="center"/>
          </w:tcPr>
          <w:p>
            <w:pPr>
              <w:jc w:val="right"/>
            </w:pPr>
            <w:r>
              <w:rPr>
                <w:rFonts w:ascii="宋体" w:hAnsi="宋体" w:eastAsia="宋体" w:cs="宋体"/>
                <w:b w:val="0"/>
                <w:i w:val="0"/>
                <w:color w:val="000000"/>
                <w:sz w:val="25"/>
              </w:rPr>
              <w:t>13.43</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部门：许昌市地方史志编纂室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263.54</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25.41</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44.83</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9.59</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109.27</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0.20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64.72</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14.64</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0.29</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7.50</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6.71</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0.19</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1.88</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15.67</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44.27</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44.27</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1.12</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0.72</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0.53</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10.24</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0.84</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307.81</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25.41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部门：许昌市地方史志编纂室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部门：许昌市地方史志编纂室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pPr>
              <w:jc w:val="right"/>
            </w:pPr>
            <w:r>
              <w:rPr>
                <w:rFonts w:ascii="宋体" w:hAnsi="宋体" w:eastAsia="宋体" w:cs="宋体"/>
                <w:b/>
                <w:i w:val="0"/>
                <w:color w:val="000000"/>
                <w:sz w:val="28"/>
              </w:rPr>
              <w:t>0.00</w:t>
            </w: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部门：许昌市地方史志编纂室</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0.53</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0.53</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0.53</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0.53</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0.53</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0.53</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2023年度收、支总计均为333.21万元。与上年度相比，收、支总计各增加56.36万元，增长20.36%。主要原因是支付《许昌年鉴2022》费用；基础绩效奖实施、社保公积金基数调整等。</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收入合计333.21万元，其中：财政拨款收入333.21万元，占100.00%；上级补助收入0.00万元，占0.00%；事业收入0.00万元，占0.00%；经营收入0.00万元，占0.00%；附属单位上缴收入0.00万元，占0.00%；其他收入0.00万元，占0.00%</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2023年度支出合计333.21万元，其中：基本支出333.21万元，占100.00%；项目支出0.00万元，占0.00%；上缴上级支出0.00万元，占0.00%；经营支出0.00万元，占0.00%；对附属单位补助支出0.00万元，占0.00%</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2023年度财政拨款收、支总计均为333.21万元。与上年度相比，财政拨款收、支总计各增加56.36万元，增长20.36%。主要原因是支付《许昌年鉴2022》费用；基础绩效奖实施、社保公积金基数调整等。</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333.21万元，占支出合计的100.00%。与上年度相比，一般公共预算财政拨款支出增加56.36万元，增长20.36%。主要原因是支付《许昌年鉴2022》费用；基础绩效奖实施、社保公积金基数调整等。</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333.21万元，主要用于以下方面：一般公共服务支出（类）248.02万元，占74.43%；社会保障和就业支出（类）57.72万元，占17.32%；卫生健康支出（类）14.04万元，占4.21%；住房保障支出（类）13.43万元，占4.04%</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2023年度一般公共预算财政拨款支出年初预算为334.25万元，支出决算为333.21万元，完成年初预算的99.69%。其中：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1.一般公共服务支出（类）人大事务（款）行政运行（项）</w:t>
      </w:r>
      <w:r>
        <w:rPr>
          <w:rFonts w:hint="eastAsia" w:ascii="仿宋_GB2312" w:hAnsi="仿宋_GB2312" w:eastAsia="仿宋_GB2312" w:cs="仿宋_GB2312"/>
          <w:kern w:val="0"/>
          <w:sz w:val="32"/>
          <w:szCs w:val="32"/>
          <w:lang w:val="en-US" w:eastAsia="zh-CN"/>
        </w:rPr>
        <w:t>年初预算数为0.00万元，决算数1.33万元,决算数与年初预算数存在差异的主要原因是追加在职人员基础绩效奖缺口资金。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2.一般公共服务支出（类）政府办公厅（室）及相关机构事务（款）行政运行（项）</w:t>
      </w:r>
      <w:r>
        <w:rPr>
          <w:rFonts w:hint="eastAsia" w:ascii="仿宋_GB2312" w:hAnsi="仿宋_GB2312" w:eastAsia="仿宋_GB2312" w:cs="仿宋_GB2312"/>
          <w:kern w:val="0"/>
          <w:sz w:val="32"/>
          <w:szCs w:val="32"/>
          <w:lang w:val="en-US" w:eastAsia="zh-CN"/>
        </w:rPr>
        <w:t>年初预算数为230.93万元，决算数229.77万元,完成年初预算的99.50%，决算数与年初预算数存在差异的主要原因是厉行节约，压缩经费支出。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3.一般公共服务支出（类）群众团体事务（款）工会事务（项）</w:t>
      </w:r>
      <w:r>
        <w:rPr>
          <w:rFonts w:hint="eastAsia" w:ascii="仿宋_GB2312" w:hAnsi="仿宋_GB2312" w:eastAsia="仿宋_GB2312" w:cs="仿宋_GB2312"/>
          <w:kern w:val="0"/>
          <w:sz w:val="32"/>
          <w:szCs w:val="32"/>
          <w:lang w:val="en-US" w:eastAsia="zh-CN"/>
        </w:rPr>
        <w:t>年初预算数为1.12万元，决算数1.12万元,完成年初预算的100.00%，决算数与年初预算数不存在差异。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4.一般公共服务支出（类）其他一般公共服务支出（款）其他一般公共服务支出（项）</w:t>
      </w:r>
      <w:r>
        <w:rPr>
          <w:rFonts w:hint="eastAsia" w:ascii="仿宋_GB2312" w:hAnsi="仿宋_GB2312" w:eastAsia="仿宋_GB2312" w:cs="仿宋_GB2312"/>
          <w:kern w:val="0"/>
          <w:sz w:val="32"/>
          <w:szCs w:val="32"/>
          <w:lang w:val="en-US" w:eastAsia="zh-CN"/>
        </w:rPr>
        <w:t>年初预算数为0.00万元，决算数15.81万元,决算数与年初预算数存在差异的主要原因是发放平安建设奖及未休假补贴。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5.社会保障和就业支出（类）行政事业单位养老支出（款）行政单位离退休（项）</w:t>
      </w:r>
      <w:r>
        <w:rPr>
          <w:rFonts w:hint="eastAsia" w:ascii="仿宋_GB2312" w:hAnsi="仿宋_GB2312" w:eastAsia="仿宋_GB2312" w:cs="仿宋_GB2312"/>
          <w:kern w:val="0"/>
          <w:sz w:val="32"/>
          <w:szCs w:val="32"/>
          <w:lang w:val="en-US" w:eastAsia="zh-CN"/>
        </w:rPr>
        <w:t>年初预算数为39.46万元，决算数44.27万元,完成年初预算的112.19%，决算数与年初预算数存在差异的主要原因是追加离退休人员基础绩效奖缺口资金。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6.社会保障和就业支出（类）行政事业单位养老支出（款）机关事业单位基本养老保险缴费支出（项）</w:t>
      </w:r>
      <w:r>
        <w:rPr>
          <w:rFonts w:hint="eastAsia" w:ascii="仿宋_GB2312" w:hAnsi="仿宋_GB2312" w:eastAsia="仿宋_GB2312" w:cs="仿宋_GB2312"/>
          <w:kern w:val="0"/>
          <w:sz w:val="32"/>
          <w:szCs w:val="32"/>
          <w:lang w:val="en-US" w:eastAsia="zh-CN"/>
        </w:rPr>
        <w:t>年初预算数为13.45万元，决算数13.45万元,完成年初预算的100.00%，决算数与年初预算数不存在差异。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7.卫生健康支出（类）行政事业单位医疗（款）行政单位医疗（项）</w:t>
      </w:r>
      <w:r>
        <w:rPr>
          <w:rFonts w:hint="eastAsia" w:ascii="仿宋_GB2312" w:hAnsi="仿宋_GB2312" w:eastAsia="仿宋_GB2312" w:cs="仿宋_GB2312"/>
          <w:kern w:val="0"/>
          <w:sz w:val="32"/>
          <w:szCs w:val="32"/>
          <w:lang w:val="en-US" w:eastAsia="zh-CN"/>
        </w:rPr>
        <w:t>年初预算数为7.05万元，决算数7.33万元,完成年初预算的103.97%，决算数与年初预算数存在差异的主要原因是下半年调整医疗保险基数。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8.卫生健康支出（类）行政事业单位医疗（款）公务员医疗补助（项）</w:t>
      </w:r>
      <w:r>
        <w:rPr>
          <w:rFonts w:hint="eastAsia" w:ascii="仿宋_GB2312" w:hAnsi="仿宋_GB2312" w:eastAsia="仿宋_GB2312" w:cs="仿宋_GB2312"/>
          <w:kern w:val="0"/>
          <w:sz w:val="32"/>
          <w:szCs w:val="32"/>
          <w:lang w:val="en-US" w:eastAsia="zh-CN"/>
        </w:rPr>
        <w:t>年初预算数为6.71万元，决算数6.71万元,完成年初预算的100.00%，决算数与年初预算数不存在差异。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9.住房保障支出（类）住房改革支出（款）住房公积金（项）</w:t>
      </w:r>
      <w:r>
        <w:rPr>
          <w:rFonts w:hint="eastAsia" w:ascii="仿宋_GB2312" w:hAnsi="仿宋_GB2312" w:eastAsia="仿宋_GB2312" w:cs="仿宋_GB2312"/>
          <w:kern w:val="0"/>
          <w:sz w:val="32"/>
          <w:szCs w:val="32"/>
          <w:lang w:val="en-US" w:eastAsia="zh-CN"/>
        </w:rPr>
        <w:t>年初预算数为13.43万元，决算数13.43万元,完成年初预算的100.00%，决算数与年初预算数不存在差异。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333.21万元。其中：人员经费307.81万元，主要包括：基本工资、津贴补贴、奖金、机关事业单位基本养老保险缴费、职工基本医疗保险缴费、公务员医疗补助缴费、其他社会保障缴费、住房公积金、退休费。公用经费25.41万元，主要包括：办公费、印刷费、邮电费、差旅费、工会经费、福利费、公务用车运行维护费、其他交通费用、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2023年度“三公”经费财政拨款支出预算为0.53万元，支出决算为0.53万元，完成预算的100.00%。2023年度“三公”经费支出决算数与预算数无差异。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0.53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预算为0.53万元，支出决算为0.53万元，完成预算的100.00%。决算数与预算数无差异。其中：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0.53万元。主要用于保险税费、加油费和维修保养费。2023年期末，部门开支财政拨款的公务用车保有量为</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2023年度机关运行经费支出25.41万元，较2022年度增长2.84万元，增长12.58%，主要原因是外出学习调研增多，差旅费增加。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2023年期末，本部门共有车辆1辆，其中：省级领导干部用车0辆、主要领导干部用车0辆、机要通信用车0辆、应急保障车0辆、执法执勤用车0辆、特种专业技术用车0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辆、离退休干部用车0辆、其他用车1辆；单价100万元（含）以上设备（不含车辆）0台（套）。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我部门对本部门</w:t>
      </w:r>
      <w:r>
        <w:rPr>
          <w:rFonts w:hint="eastAsia" w:ascii="仿宋_GB2312" w:hAnsi="仿宋_GB2312" w:eastAsia="仿宋_GB2312" w:cs="仿宋_GB2312"/>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1.部门整体绩效自评。</w:t>
      </w:r>
      <w:r>
        <w:rPr>
          <w:rFonts w:hint="eastAsia" w:ascii="仿宋_GB2312" w:hAnsi="仿宋_GB2312" w:eastAsia="仿宋_GB2312" w:cs="仿宋_GB2312"/>
          <w:kern w:val="0"/>
          <w:sz w:val="32"/>
          <w:szCs w:val="32"/>
          <w:lang w:val="en-US" w:eastAsia="zh-CN"/>
        </w:rPr>
        <w:t>涉及预算资金334.25万元。自评得分为99分，等级为“优”。从部门整体自评情况来看，自评报告内容完整，各项评价指标明确，评价结论合理有据、客观公正。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_GB2312" w:hAnsi="仿宋_GB2312" w:eastAsia="仿宋_GB2312" w:cs="仿宋_GB2312"/>
          <w:b/>
          <w:bCs/>
          <w:kern w:val="0"/>
          <w:sz w:val="32"/>
          <w:szCs w:val="32"/>
          <w:lang w:val="en-US" w:eastAsia="zh-CN"/>
        </w:rPr>
        <w:t>2.项目绩效自评。</w:t>
      </w:r>
      <w:r>
        <w:rPr>
          <w:rFonts w:hint="eastAsia" w:ascii="仿宋_GB2312" w:hAnsi="仿宋_GB2312" w:eastAsia="仿宋_GB2312" w:cs="仿宋_GB2312"/>
          <w:kern w:val="0"/>
          <w:sz w:val="32"/>
          <w:szCs w:val="32"/>
          <w:lang w:val="en-US" w:eastAsia="zh-CN"/>
        </w:rPr>
        <w:t>根据工作实际，我部门没有项目需要开展项目绩效评价。</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10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570"/>
        <w:gridCol w:w="614"/>
        <w:gridCol w:w="569"/>
        <w:gridCol w:w="1724"/>
        <w:gridCol w:w="1249"/>
        <w:gridCol w:w="1334"/>
        <w:gridCol w:w="862"/>
        <w:gridCol w:w="797"/>
        <w:gridCol w:w="1026"/>
        <w:gridCol w:w="31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10687" w:type="dxa"/>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836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中共许昌市委党史和地方史志研究室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334.25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361.3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333.54</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92.32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334.25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360.97</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333.21</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92.31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0.33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0.33</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473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5387"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6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473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1.《许昌年鉴（2023）》的编纂、印刷、出版。2.《许昌大事月报》的编辑、印刷、出版。3.市情资料收集与整理、史志理论研究与宣传。4.市情网的开发利用。5.为社会提供信息查阅服务。</w:t>
            </w:r>
          </w:p>
        </w:tc>
        <w:tc>
          <w:tcPr>
            <w:tcW w:w="5387"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拟定《许昌市乡镇村志编纂方案和编写要求》，指导鄢陵县彭店镇召开镇志编纂动员会，承办全省村史馆建设暨乡镇村志编修调研座谈会，启动并指导《段黄庄村志》编纂。在全省乡镇村志编纂业务培训班暨河南省乡镇村志成果展上介绍经验。印刷出版《许昌年鉴（2022）》，编纂《许昌年鉴（2023）》并已送出版社审校，完成《河南年鉴（2023）》许昌篇供稿任务。编辑许昌党史大事记条目663条、许昌大事月报条目865条并在网上刊登。加强志鉴书籍交流，收集省内外志鉴书籍60余册。率先开展家谱征集工作，开展调研和现场征集活动，征集各类家谱11种21册，普查全市家谱401册。扎实推进党史方志文化赠书活动，到许昌市企业家协会等地开展活动6次，赠书340余册。在市图书馆党史方志文化展厅新上架书籍12种59册，建设党史方志书屋并整理上架书籍3000余册，较好弘扬了许昌红色历史和优秀传统文化。联合《许昌日报》（小记者报）刊发许昌革命人物内容21篇，扩大红色文化影响力。召开全市党史业务培训会，培训业务骨干等20余人。召开《许昌年鉴（2023）》编纂培训会，培训县（市、区）业务骨干，市直和驻许有关单位撰稿人等130余人。下沉县（市、区）面对面培训6次、组织线上培训120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354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5387"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6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《许昌年鉴》、《许昌大事月报》的编纂印刷出版</w:t>
            </w:r>
          </w:p>
        </w:tc>
        <w:tc>
          <w:tcPr>
            <w:tcW w:w="354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通过《许昌年鉴》、《许昌大事月报》等的编纂印刷出版，全面系统如实记录上年度许昌社会进步与经济发展的基本情况，突出记述上年度全市的新成就、新事物、新趋势，既起到存史、资政、垂鉴后人的目的，又为各界了解许昌、研究许昌、建设许昌提供现实服务和历史借鉴。</w:t>
            </w:r>
          </w:p>
        </w:tc>
        <w:tc>
          <w:tcPr>
            <w:tcW w:w="5387"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《许昌年鉴2023》完成定稿，未能印刷；《许昌大事月报》，坚持以党刊的理念和标准，不断拓展办刊思路，保质保量、如期完成编写任务。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7.8%</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2023年12月底完成《许昌年鉴（2023）》的出版。</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实现</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印刷款未支付，未能开始印刷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每本年鉴印刷成本。</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≤84元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79.26元</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成书规模约450页，100万字，彩页50页，印数1500册。</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社会效益</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实现</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群众满意度</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对口部门满意度</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06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1134" w:right="567" w:bottom="1134" w:left="567"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AXwTA3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83806"/>
    <w:multiLevelType w:val="multilevel"/>
    <w:tmpl w:val="7FD83806"/>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EDD9CDB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2da44fe3-4290-4cd9-a317-e5bf28a4b66f"/>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6</TotalTime>
  <ScaleCrop>false</ScaleCrop>
  <LinksUpToDate>false</LinksUpToDate>
  <CharactersWithSpaces>19464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2024-09-20T16:22:25Z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