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许昌市国有土地管理一所</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许昌市国有土地管理一所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许昌市国有土地管理一所概况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1（一）宣传贯彻土地管理法律、法规。</w:t>
        <w:br/>
        <w:t xml:space="preserve">（二）国有土地使用费收取。</w:t>
        <w:br/>
        <w:t xml:space="preserve">（三）负责辖区内的国有土地使用权的变更登记和二，三级土地市场的管理。</w:t>
        <w:br/>
        <w:t xml:space="preserve">（四）协助对国有土地的权属调查，确权发证。</w:t>
        <w:br/>
        <w:t xml:space="preserve">（五）协调处理土地纠纷。宣传贯彻土地管理法律、法规；负责辖区内的国有土地使用权的变更登记和土地市场的管理；协助对国有土地的权属调查、确权发证；协调处理土地纠纷等。</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许昌市国有土地管理一所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许昌市国有土地管理一所</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许昌市国有土地管理一所</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单位：许昌市国有土地管理一所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140.41</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6.53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14.40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7.02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105.57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6.88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140.41</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140.41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140.41</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140.41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单位：许昌市国有土地管理一所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140.41</w:t>
            </w:r>
          </w:p>
        </w:tc>
        <w:tc>
          <w:tcPr>
            <w:tcW w:w="1440" w:type="dxa"/>
            <w:tcBorders/>
            <w:vAlign w:val="center"/>
          </w:tcPr>
          <w:p>
            <w:pPr>
              <w:jc w:val="right"/>
            </w:pPr>
            <w:r>
              <w:rPr>
                <w:rFonts w:ascii="宋体" w:eastAsia="宋体" w:hAnsi="宋体" w:cs="宋体"/>
                <w:b/>
                <w:i w:val="0"/>
                <w:color w:val="000000"/>
                <w:sz w:val="17"/>
              </w:rPr>
              <w:t xml:space="preserve">140.41</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6.53</w:t>
            </w:r>
          </w:p>
        </w:tc>
        <w:tc>
          <w:tcPr>
            <w:tcW w:w="1440" w:type="dxa"/>
            <w:tcBorders/>
            <w:vAlign w:val="center"/>
          </w:tcPr>
          <w:p>
            <w:pPr>
              <w:jc w:val="right"/>
            </w:pPr>
            <w:r>
              <w:rPr>
                <w:rFonts w:ascii="宋体" w:eastAsia="宋体" w:hAnsi="宋体" w:cs="宋体"/>
                <w:b w:val="0"/>
                <w:i w:val="0"/>
                <w:color w:val="000000"/>
                <w:sz w:val="17"/>
              </w:rPr>
              <w:t xml:space="preserve">6.53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0.62</w:t>
            </w:r>
          </w:p>
        </w:tc>
        <w:tc>
          <w:tcPr>
            <w:tcW w:w="1440" w:type="dxa"/>
            <w:tcBorders/>
            <w:vAlign w:val="center"/>
          </w:tcPr>
          <w:p>
            <w:pPr>
              <w:jc w:val="right"/>
            </w:pPr>
            <w:r>
              <w:rPr>
                <w:rFonts w:ascii="宋体" w:eastAsia="宋体" w:hAnsi="宋体" w:cs="宋体"/>
                <w:b w:val="0"/>
                <w:i w:val="0"/>
                <w:color w:val="000000"/>
                <w:sz w:val="17"/>
              </w:rPr>
              <w:t xml:space="preserve">0.62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0.62</w:t>
            </w:r>
          </w:p>
        </w:tc>
        <w:tc>
          <w:tcPr>
            <w:tcW w:w="1440" w:type="dxa"/>
            <w:tcBorders/>
            <w:vAlign w:val="center"/>
          </w:tcPr>
          <w:p>
            <w:pPr>
              <w:jc w:val="right"/>
            </w:pPr>
            <w:r>
              <w:rPr>
                <w:rFonts w:ascii="宋体" w:eastAsia="宋体" w:hAnsi="宋体" w:cs="宋体"/>
                <w:b w:val="0"/>
                <w:i w:val="0"/>
                <w:color w:val="000000"/>
                <w:sz w:val="17"/>
              </w:rPr>
              <w:t xml:space="preserve">0.62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5.91</w:t>
            </w:r>
          </w:p>
        </w:tc>
        <w:tc>
          <w:tcPr>
            <w:tcW w:w="1440" w:type="dxa"/>
            <w:tcBorders/>
            <w:vAlign w:val="center"/>
          </w:tcPr>
          <w:p>
            <w:pPr>
              <w:jc w:val="right"/>
            </w:pPr>
            <w:r>
              <w:rPr>
                <w:rFonts w:ascii="宋体" w:eastAsia="宋体" w:hAnsi="宋体" w:cs="宋体"/>
                <w:b w:val="0"/>
                <w:i w:val="0"/>
                <w:color w:val="000000"/>
                <w:sz w:val="17"/>
              </w:rPr>
              <w:t xml:space="preserve">5.91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5.91</w:t>
            </w:r>
          </w:p>
        </w:tc>
        <w:tc>
          <w:tcPr>
            <w:tcW w:w="1440" w:type="dxa"/>
            <w:tcBorders/>
            <w:vAlign w:val="center"/>
          </w:tcPr>
          <w:p>
            <w:pPr>
              <w:jc w:val="right"/>
            </w:pPr>
            <w:r>
              <w:rPr>
                <w:rFonts w:ascii="宋体" w:eastAsia="宋体" w:hAnsi="宋体" w:cs="宋体"/>
                <w:b w:val="0"/>
                <w:i w:val="0"/>
                <w:color w:val="000000"/>
                <w:sz w:val="17"/>
              </w:rPr>
              <w:t xml:space="preserve">5.91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14.40</w:t>
            </w:r>
          </w:p>
        </w:tc>
        <w:tc>
          <w:tcPr>
            <w:tcW w:w="1440" w:type="dxa"/>
            <w:tcBorders/>
            <w:vAlign w:val="center"/>
          </w:tcPr>
          <w:p>
            <w:pPr>
              <w:jc w:val="right"/>
            </w:pPr>
            <w:r>
              <w:rPr>
                <w:rFonts w:ascii="宋体" w:eastAsia="宋体" w:hAnsi="宋体" w:cs="宋体"/>
                <w:b w:val="0"/>
                <w:i w:val="0"/>
                <w:color w:val="000000"/>
                <w:sz w:val="17"/>
              </w:rPr>
              <w:t xml:space="preserve">14.40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14.40</w:t>
            </w:r>
          </w:p>
        </w:tc>
        <w:tc>
          <w:tcPr>
            <w:tcW w:w="1440" w:type="dxa"/>
            <w:tcBorders/>
            <w:vAlign w:val="center"/>
          </w:tcPr>
          <w:p>
            <w:pPr>
              <w:jc w:val="right"/>
            </w:pPr>
            <w:r>
              <w:rPr>
                <w:rFonts w:ascii="宋体" w:eastAsia="宋体" w:hAnsi="宋体" w:cs="宋体"/>
                <w:b w:val="0"/>
                <w:i w:val="0"/>
                <w:color w:val="000000"/>
                <w:sz w:val="17"/>
              </w:rPr>
              <w:t xml:space="preserve">14.40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6.97</w:t>
            </w:r>
          </w:p>
        </w:tc>
        <w:tc>
          <w:tcPr>
            <w:tcW w:w="1440" w:type="dxa"/>
            <w:tcBorders/>
            <w:vAlign w:val="center"/>
          </w:tcPr>
          <w:p>
            <w:pPr>
              <w:jc w:val="right"/>
            </w:pPr>
            <w:r>
              <w:rPr>
                <w:rFonts w:ascii="宋体" w:eastAsia="宋体" w:hAnsi="宋体" w:cs="宋体"/>
                <w:b w:val="0"/>
                <w:i w:val="0"/>
                <w:color w:val="000000"/>
                <w:sz w:val="17"/>
              </w:rPr>
              <w:t xml:space="preserve">6.97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7.44</w:t>
            </w:r>
          </w:p>
        </w:tc>
        <w:tc>
          <w:tcPr>
            <w:tcW w:w="1440" w:type="dxa"/>
            <w:tcBorders/>
            <w:vAlign w:val="center"/>
          </w:tcPr>
          <w:p>
            <w:pPr>
              <w:jc w:val="right"/>
            </w:pPr>
            <w:r>
              <w:rPr>
                <w:rFonts w:ascii="宋体" w:eastAsia="宋体" w:hAnsi="宋体" w:cs="宋体"/>
                <w:b w:val="0"/>
                <w:i w:val="0"/>
                <w:color w:val="000000"/>
                <w:sz w:val="17"/>
              </w:rPr>
              <w:t xml:space="preserve">7.44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7.02</w:t>
            </w:r>
          </w:p>
        </w:tc>
        <w:tc>
          <w:tcPr>
            <w:tcW w:w="1440" w:type="dxa"/>
            <w:tcBorders/>
            <w:vAlign w:val="center"/>
          </w:tcPr>
          <w:p>
            <w:pPr>
              <w:jc w:val="right"/>
            </w:pPr>
            <w:r>
              <w:rPr>
                <w:rFonts w:ascii="宋体" w:eastAsia="宋体" w:hAnsi="宋体" w:cs="宋体"/>
                <w:b w:val="0"/>
                <w:i w:val="0"/>
                <w:color w:val="000000"/>
                <w:sz w:val="17"/>
              </w:rPr>
              <w:t xml:space="preserve">7.02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7.02</w:t>
            </w:r>
          </w:p>
        </w:tc>
        <w:tc>
          <w:tcPr>
            <w:tcW w:w="1440" w:type="dxa"/>
            <w:tcBorders/>
            <w:vAlign w:val="center"/>
          </w:tcPr>
          <w:p>
            <w:pPr>
              <w:jc w:val="right"/>
            </w:pPr>
            <w:r>
              <w:rPr>
                <w:rFonts w:ascii="宋体" w:eastAsia="宋体" w:hAnsi="宋体" w:cs="宋体"/>
                <w:b w:val="0"/>
                <w:i w:val="0"/>
                <w:color w:val="000000"/>
                <w:sz w:val="17"/>
              </w:rPr>
              <w:t xml:space="preserve">7.02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3.51</w:t>
            </w:r>
          </w:p>
        </w:tc>
        <w:tc>
          <w:tcPr>
            <w:tcW w:w="1440" w:type="dxa"/>
            <w:tcBorders/>
            <w:vAlign w:val="center"/>
          </w:tcPr>
          <w:p>
            <w:pPr>
              <w:jc w:val="right"/>
            </w:pPr>
            <w:r>
              <w:rPr>
                <w:rFonts w:ascii="宋体" w:eastAsia="宋体" w:hAnsi="宋体" w:cs="宋体"/>
                <w:b w:val="0"/>
                <w:i w:val="0"/>
                <w:color w:val="000000"/>
                <w:sz w:val="17"/>
              </w:rPr>
              <w:t xml:space="preserve">3.51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3.52</w:t>
            </w:r>
          </w:p>
        </w:tc>
        <w:tc>
          <w:tcPr>
            <w:tcW w:w="1440" w:type="dxa"/>
            <w:tcBorders/>
            <w:vAlign w:val="center"/>
          </w:tcPr>
          <w:p>
            <w:pPr>
              <w:jc w:val="right"/>
            </w:pPr>
            <w:r>
              <w:rPr>
                <w:rFonts w:ascii="宋体" w:eastAsia="宋体" w:hAnsi="宋体" w:cs="宋体"/>
                <w:b w:val="0"/>
                <w:i w:val="0"/>
                <w:color w:val="000000"/>
                <w:sz w:val="17"/>
              </w:rPr>
              <w:t xml:space="preserve">3.52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105.57</w:t>
            </w:r>
          </w:p>
        </w:tc>
        <w:tc>
          <w:tcPr>
            <w:tcW w:w="1440" w:type="dxa"/>
            <w:tcBorders/>
            <w:vAlign w:val="center"/>
          </w:tcPr>
          <w:p>
            <w:pPr>
              <w:jc w:val="right"/>
            </w:pPr>
            <w:r>
              <w:rPr>
                <w:rFonts w:ascii="宋体" w:eastAsia="宋体" w:hAnsi="宋体" w:cs="宋体"/>
                <w:b w:val="0"/>
                <w:i w:val="0"/>
                <w:color w:val="000000"/>
                <w:sz w:val="17"/>
              </w:rPr>
              <w:t xml:space="preserve">105.57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105.57</w:t>
            </w:r>
          </w:p>
        </w:tc>
        <w:tc>
          <w:tcPr>
            <w:tcW w:w="1440" w:type="dxa"/>
            <w:tcBorders/>
            <w:vAlign w:val="center"/>
          </w:tcPr>
          <w:p>
            <w:pPr>
              <w:jc w:val="right"/>
            </w:pPr>
            <w:r>
              <w:rPr>
                <w:rFonts w:ascii="宋体" w:eastAsia="宋体" w:hAnsi="宋体" w:cs="宋体"/>
                <w:b w:val="0"/>
                <w:i w:val="0"/>
                <w:color w:val="000000"/>
                <w:sz w:val="17"/>
              </w:rPr>
              <w:t xml:space="preserve">105.57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其他城乡社区管理事务支出</w:t>
            </w:r>
          </w:p>
        </w:tc>
        <w:tc>
          <w:tcPr>
            <w:tcW w:w="1440" w:type="dxa"/>
            <w:tcBorders/>
            <w:vAlign w:val="center"/>
          </w:tcPr>
          <w:p>
            <w:pPr>
              <w:jc w:val="right"/>
            </w:pPr>
            <w:r>
              <w:rPr>
                <w:rFonts w:ascii="宋体" w:eastAsia="宋体" w:hAnsi="宋体" w:cs="宋体"/>
                <w:b w:val="0"/>
                <w:i w:val="0"/>
                <w:color w:val="000000"/>
                <w:sz w:val="17"/>
              </w:rPr>
              <w:t xml:space="preserve">105.57</w:t>
            </w:r>
          </w:p>
        </w:tc>
        <w:tc>
          <w:tcPr>
            <w:tcW w:w="1440" w:type="dxa"/>
            <w:tcBorders/>
            <w:vAlign w:val="center"/>
          </w:tcPr>
          <w:p>
            <w:pPr>
              <w:jc w:val="right"/>
            </w:pPr>
            <w:r>
              <w:rPr>
                <w:rFonts w:ascii="宋体" w:eastAsia="宋体" w:hAnsi="宋体" w:cs="宋体"/>
                <w:b w:val="0"/>
                <w:i w:val="0"/>
                <w:color w:val="000000"/>
                <w:sz w:val="17"/>
              </w:rPr>
              <w:t xml:space="preserve">105.57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6.88</w:t>
            </w:r>
          </w:p>
        </w:tc>
        <w:tc>
          <w:tcPr>
            <w:tcW w:w="1440" w:type="dxa"/>
            <w:tcBorders/>
            <w:vAlign w:val="center"/>
          </w:tcPr>
          <w:p>
            <w:pPr>
              <w:jc w:val="right"/>
            </w:pPr>
            <w:r>
              <w:rPr>
                <w:rFonts w:ascii="宋体" w:eastAsia="宋体" w:hAnsi="宋体" w:cs="宋体"/>
                <w:b w:val="0"/>
                <w:i w:val="0"/>
                <w:color w:val="000000"/>
                <w:sz w:val="17"/>
              </w:rPr>
              <w:t xml:space="preserve">6.88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6.88</w:t>
            </w:r>
          </w:p>
        </w:tc>
        <w:tc>
          <w:tcPr>
            <w:tcW w:w="1440" w:type="dxa"/>
            <w:tcBorders/>
            <w:vAlign w:val="center"/>
          </w:tcPr>
          <w:p>
            <w:pPr>
              <w:jc w:val="right"/>
            </w:pPr>
            <w:r>
              <w:rPr>
                <w:rFonts w:ascii="宋体" w:eastAsia="宋体" w:hAnsi="宋体" w:cs="宋体"/>
                <w:b w:val="0"/>
                <w:i w:val="0"/>
                <w:color w:val="000000"/>
                <w:sz w:val="17"/>
              </w:rPr>
              <w:t xml:space="preserve">6.88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6.88</w:t>
            </w:r>
          </w:p>
        </w:tc>
        <w:tc>
          <w:tcPr>
            <w:tcW w:w="1440" w:type="dxa"/>
            <w:tcBorders/>
            <w:vAlign w:val="center"/>
          </w:tcPr>
          <w:p>
            <w:pPr>
              <w:jc w:val="right"/>
            </w:pPr>
            <w:r>
              <w:rPr>
                <w:rFonts w:ascii="宋体" w:eastAsia="宋体" w:hAnsi="宋体" w:cs="宋体"/>
                <w:b w:val="0"/>
                <w:i w:val="0"/>
                <w:color w:val="000000"/>
                <w:sz w:val="17"/>
              </w:rPr>
              <w:t xml:space="preserve">6.88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单位：许昌市国有土地管理一所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140.41</w:t>
            </w:r>
          </w:p>
        </w:tc>
        <w:tc>
          <w:tcPr>
            <w:tcW w:w="1600" w:type="dxa"/>
            <w:tcBorders/>
            <w:vAlign w:val="center"/>
          </w:tcPr>
          <w:p>
            <w:pPr>
              <w:jc w:val="right"/>
            </w:pPr>
            <w:r>
              <w:rPr>
                <w:rFonts w:ascii="宋体" w:eastAsia="宋体" w:hAnsi="宋体" w:cs="宋体"/>
                <w:b/>
                <w:i w:val="0"/>
                <w:color w:val="000000"/>
                <w:sz w:val="19"/>
              </w:rPr>
              <w:t xml:space="preserve">140.41</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6.53</w:t>
            </w:r>
          </w:p>
        </w:tc>
        <w:tc>
          <w:tcPr>
            <w:tcW w:w="1600" w:type="dxa"/>
            <w:tcBorders/>
            <w:vAlign w:val="center"/>
          </w:tcPr>
          <w:p>
            <w:pPr>
              <w:jc w:val="right"/>
            </w:pPr>
            <w:r>
              <w:rPr>
                <w:rFonts w:ascii="宋体" w:eastAsia="宋体" w:hAnsi="宋体" w:cs="宋体"/>
                <w:b w:val="0"/>
                <w:i w:val="0"/>
                <w:color w:val="000000"/>
                <w:sz w:val="19"/>
              </w:rPr>
              <w:t xml:space="preserve">6.53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0.62</w:t>
            </w:r>
          </w:p>
        </w:tc>
        <w:tc>
          <w:tcPr>
            <w:tcW w:w="1600" w:type="dxa"/>
            <w:tcBorders/>
            <w:vAlign w:val="center"/>
          </w:tcPr>
          <w:p>
            <w:pPr>
              <w:jc w:val="right"/>
            </w:pPr>
            <w:r>
              <w:rPr>
                <w:rFonts w:ascii="宋体" w:eastAsia="宋体" w:hAnsi="宋体" w:cs="宋体"/>
                <w:b w:val="0"/>
                <w:i w:val="0"/>
                <w:color w:val="000000"/>
                <w:sz w:val="19"/>
              </w:rPr>
              <w:t xml:space="preserve">0.62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0.62</w:t>
            </w:r>
          </w:p>
        </w:tc>
        <w:tc>
          <w:tcPr>
            <w:tcW w:w="1600" w:type="dxa"/>
            <w:tcBorders/>
            <w:vAlign w:val="center"/>
          </w:tcPr>
          <w:p>
            <w:pPr>
              <w:jc w:val="right"/>
            </w:pPr>
            <w:r>
              <w:rPr>
                <w:rFonts w:ascii="宋体" w:eastAsia="宋体" w:hAnsi="宋体" w:cs="宋体"/>
                <w:b w:val="0"/>
                <w:i w:val="0"/>
                <w:color w:val="000000"/>
                <w:sz w:val="19"/>
              </w:rPr>
              <w:t xml:space="preserve">0.62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5.91</w:t>
            </w:r>
          </w:p>
        </w:tc>
        <w:tc>
          <w:tcPr>
            <w:tcW w:w="1600" w:type="dxa"/>
            <w:tcBorders/>
            <w:vAlign w:val="center"/>
          </w:tcPr>
          <w:p>
            <w:pPr>
              <w:jc w:val="right"/>
            </w:pPr>
            <w:r>
              <w:rPr>
                <w:rFonts w:ascii="宋体" w:eastAsia="宋体" w:hAnsi="宋体" w:cs="宋体"/>
                <w:b w:val="0"/>
                <w:i w:val="0"/>
                <w:color w:val="000000"/>
                <w:sz w:val="19"/>
              </w:rPr>
              <w:t xml:space="preserve">5.91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5.91</w:t>
            </w:r>
          </w:p>
        </w:tc>
        <w:tc>
          <w:tcPr>
            <w:tcW w:w="1600" w:type="dxa"/>
            <w:tcBorders/>
            <w:vAlign w:val="center"/>
          </w:tcPr>
          <w:p>
            <w:pPr>
              <w:jc w:val="right"/>
            </w:pPr>
            <w:r>
              <w:rPr>
                <w:rFonts w:ascii="宋体" w:eastAsia="宋体" w:hAnsi="宋体" w:cs="宋体"/>
                <w:b w:val="0"/>
                <w:i w:val="0"/>
                <w:color w:val="000000"/>
                <w:sz w:val="19"/>
              </w:rPr>
              <w:t xml:space="preserve">5.91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14.40</w:t>
            </w:r>
          </w:p>
        </w:tc>
        <w:tc>
          <w:tcPr>
            <w:tcW w:w="1600" w:type="dxa"/>
            <w:tcBorders/>
            <w:vAlign w:val="center"/>
          </w:tcPr>
          <w:p>
            <w:pPr>
              <w:jc w:val="right"/>
            </w:pPr>
            <w:r>
              <w:rPr>
                <w:rFonts w:ascii="宋体" w:eastAsia="宋体" w:hAnsi="宋体" w:cs="宋体"/>
                <w:b w:val="0"/>
                <w:i w:val="0"/>
                <w:color w:val="000000"/>
                <w:sz w:val="19"/>
              </w:rPr>
              <w:t xml:space="preserve">14.40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14.40</w:t>
            </w:r>
          </w:p>
        </w:tc>
        <w:tc>
          <w:tcPr>
            <w:tcW w:w="1600" w:type="dxa"/>
            <w:tcBorders/>
            <w:vAlign w:val="center"/>
          </w:tcPr>
          <w:p>
            <w:pPr>
              <w:jc w:val="right"/>
            </w:pPr>
            <w:r>
              <w:rPr>
                <w:rFonts w:ascii="宋体" w:eastAsia="宋体" w:hAnsi="宋体" w:cs="宋体"/>
                <w:b w:val="0"/>
                <w:i w:val="0"/>
                <w:color w:val="000000"/>
                <w:sz w:val="19"/>
              </w:rPr>
              <w:t xml:space="preserve">14.40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6.97</w:t>
            </w:r>
          </w:p>
        </w:tc>
        <w:tc>
          <w:tcPr>
            <w:tcW w:w="1600" w:type="dxa"/>
            <w:tcBorders/>
            <w:vAlign w:val="center"/>
          </w:tcPr>
          <w:p>
            <w:pPr>
              <w:jc w:val="right"/>
            </w:pPr>
            <w:r>
              <w:rPr>
                <w:rFonts w:ascii="宋体" w:eastAsia="宋体" w:hAnsi="宋体" w:cs="宋体"/>
                <w:b w:val="0"/>
                <w:i w:val="0"/>
                <w:color w:val="000000"/>
                <w:sz w:val="19"/>
              </w:rPr>
              <w:t xml:space="preserve">6.97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7.44</w:t>
            </w:r>
          </w:p>
        </w:tc>
        <w:tc>
          <w:tcPr>
            <w:tcW w:w="1600" w:type="dxa"/>
            <w:tcBorders/>
            <w:vAlign w:val="center"/>
          </w:tcPr>
          <w:p>
            <w:pPr>
              <w:jc w:val="right"/>
            </w:pPr>
            <w:r>
              <w:rPr>
                <w:rFonts w:ascii="宋体" w:eastAsia="宋体" w:hAnsi="宋体" w:cs="宋体"/>
                <w:b w:val="0"/>
                <w:i w:val="0"/>
                <w:color w:val="000000"/>
                <w:sz w:val="19"/>
              </w:rPr>
              <w:t xml:space="preserve">7.44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7.02</w:t>
            </w:r>
          </w:p>
        </w:tc>
        <w:tc>
          <w:tcPr>
            <w:tcW w:w="1600" w:type="dxa"/>
            <w:tcBorders/>
            <w:vAlign w:val="center"/>
          </w:tcPr>
          <w:p>
            <w:pPr>
              <w:jc w:val="right"/>
            </w:pPr>
            <w:r>
              <w:rPr>
                <w:rFonts w:ascii="宋体" w:eastAsia="宋体" w:hAnsi="宋体" w:cs="宋体"/>
                <w:b w:val="0"/>
                <w:i w:val="0"/>
                <w:color w:val="000000"/>
                <w:sz w:val="19"/>
              </w:rPr>
              <w:t xml:space="preserve">7.02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7.02</w:t>
            </w:r>
          </w:p>
        </w:tc>
        <w:tc>
          <w:tcPr>
            <w:tcW w:w="1600" w:type="dxa"/>
            <w:tcBorders/>
            <w:vAlign w:val="center"/>
          </w:tcPr>
          <w:p>
            <w:pPr>
              <w:jc w:val="right"/>
            </w:pPr>
            <w:r>
              <w:rPr>
                <w:rFonts w:ascii="宋体" w:eastAsia="宋体" w:hAnsi="宋体" w:cs="宋体"/>
                <w:b w:val="0"/>
                <w:i w:val="0"/>
                <w:color w:val="000000"/>
                <w:sz w:val="19"/>
              </w:rPr>
              <w:t xml:space="preserve">7.02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3.51</w:t>
            </w:r>
          </w:p>
        </w:tc>
        <w:tc>
          <w:tcPr>
            <w:tcW w:w="1600" w:type="dxa"/>
            <w:tcBorders/>
            <w:vAlign w:val="center"/>
          </w:tcPr>
          <w:p>
            <w:pPr>
              <w:jc w:val="right"/>
            </w:pPr>
            <w:r>
              <w:rPr>
                <w:rFonts w:ascii="宋体" w:eastAsia="宋体" w:hAnsi="宋体" w:cs="宋体"/>
                <w:b w:val="0"/>
                <w:i w:val="0"/>
                <w:color w:val="000000"/>
                <w:sz w:val="19"/>
              </w:rPr>
              <w:t xml:space="preserve">3.51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3.52</w:t>
            </w:r>
          </w:p>
        </w:tc>
        <w:tc>
          <w:tcPr>
            <w:tcW w:w="1600" w:type="dxa"/>
            <w:tcBorders/>
            <w:vAlign w:val="center"/>
          </w:tcPr>
          <w:p>
            <w:pPr>
              <w:jc w:val="right"/>
            </w:pPr>
            <w:r>
              <w:rPr>
                <w:rFonts w:ascii="宋体" w:eastAsia="宋体" w:hAnsi="宋体" w:cs="宋体"/>
                <w:b w:val="0"/>
                <w:i w:val="0"/>
                <w:color w:val="000000"/>
                <w:sz w:val="19"/>
              </w:rPr>
              <w:t xml:space="preserve">3.52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105.57</w:t>
            </w:r>
          </w:p>
        </w:tc>
        <w:tc>
          <w:tcPr>
            <w:tcW w:w="1600" w:type="dxa"/>
            <w:tcBorders/>
            <w:vAlign w:val="center"/>
          </w:tcPr>
          <w:p>
            <w:pPr>
              <w:jc w:val="right"/>
            </w:pPr>
            <w:r>
              <w:rPr>
                <w:rFonts w:ascii="宋体" w:eastAsia="宋体" w:hAnsi="宋体" w:cs="宋体"/>
                <w:b w:val="0"/>
                <w:i w:val="0"/>
                <w:color w:val="000000"/>
                <w:sz w:val="19"/>
              </w:rPr>
              <w:t xml:space="preserve">105.57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105.57</w:t>
            </w:r>
          </w:p>
        </w:tc>
        <w:tc>
          <w:tcPr>
            <w:tcW w:w="1600" w:type="dxa"/>
            <w:tcBorders/>
            <w:vAlign w:val="center"/>
          </w:tcPr>
          <w:p>
            <w:pPr>
              <w:jc w:val="right"/>
            </w:pPr>
            <w:r>
              <w:rPr>
                <w:rFonts w:ascii="宋体" w:eastAsia="宋体" w:hAnsi="宋体" w:cs="宋体"/>
                <w:b w:val="0"/>
                <w:i w:val="0"/>
                <w:color w:val="000000"/>
                <w:sz w:val="19"/>
              </w:rPr>
              <w:t xml:space="preserve">105.57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其他城乡社区管理事务支出</w:t>
            </w:r>
          </w:p>
        </w:tc>
        <w:tc>
          <w:tcPr>
            <w:tcW w:w="1600" w:type="dxa"/>
            <w:tcBorders/>
            <w:vAlign w:val="center"/>
          </w:tcPr>
          <w:p>
            <w:pPr>
              <w:jc w:val="right"/>
            </w:pPr>
            <w:r>
              <w:rPr>
                <w:rFonts w:ascii="宋体" w:eastAsia="宋体" w:hAnsi="宋体" w:cs="宋体"/>
                <w:b w:val="0"/>
                <w:i w:val="0"/>
                <w:color w:val="000000"/>
                <w:sz w:val="19"/>
              </w:rPr>
              <w:t xml:space="preserve">105.57</w:t>
            </w:r>
          </w:p>
        </w:tc>
        <w:tc>
          <w:tcPr>
            <w:tcW w:w="1600" w:type="dxa"/>
            <w:tcBorders/>
            <w:vAlign w:val="center"/>
          </w:tcPr>
          <w:p>
            <w:pPr>
              <w:jc w:val="right"/>
            </w:pPr>
            <w:r>
              <w:rPr>
                <w:rFonts w:ascii="宋体" w:eastAsia="宋体" w:hAnsi="宋体" w:cs="宋体"/>
                <w:b w:val="0"/>
                <w:i w:val="0"/>
                <w:color w:val="000000"/>
                <w:sz w:val="19"/>
              </w:rPr>
              <w:t xml:space="preserve">105.57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6.88</w:t>
            </w:r>
          </w:p>
        </w:tc>
        <w:tc>
          <w:tcPr>
            <w:tcW w:w="1600" w:type="dxa"/>
            <w:tcBorders/>
            <w:vAlign w:val="center"/>
          </w:tcPr>
          <w:p>
            <w:pPr>
              <w:jc w:val="right"/>
            </w:pPr>
            <w:r>
              <w:rPr>
                <w:rFonts w:ascii="宋体" w:eastAsia="宋体" w:hAnsi="宋体" w:cs="宋体"/>
                <w:b w:val="0"/>
                <w:i w:val="0"/>
                <w:color w:val="000000"/>
                <w:sz w:val="19"/>
              </w:rPr>
              <w:t xml:space="preserve">6.88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6.88</w:t>
            </w:r>
          </w:p>
        </w:tc>
        <w:tc>
          <w:tcPr>
            <w:tcW w:w="1600" w:type="dxa"/>
            <w:tcBorders/>
            <w:vAlign w:val="center"/>
          </w:tcPr>
          <w:p>
            <w:pPr>
              <w:jc w:val="right"/>
            </w:pPr>
            <w:r>
              <w:rPr>
                <w:rFonts w:ascii="宋体" w:eastAsia="宋体" w:hAnsi="宋体" w:cs="宋体"/>
                <w:b w:val="0"/>
                <w:i w:val="0"/>
                <w:color w:val="000000"/>
                <w:sz w:val="19"/>
              </w:rPr>
              <w:t xml:space="preserve">6.88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6.88</w:t>
            </w:r>
          </w:p>
        </w:tc>
        <w:tc>
          <w:tcPr>
            <w:tcW w:w="1600" w:type="dxa"/>
            <w:tcBorders/>
            <w:vAlign w:val="center"/>
          </w:tcPr>
          <w:p>
            <w:pPr>
              <w:jc w:val="right"/>
            </w:pPr>
            <w:r>
              <w:rPr>
                <w:rFonts w:ascii="宋体" w:eastAsia="宋体" w:hAnsi="宋体" w:cs="宋体"/>
                <w:b w:val="0"/>
                <w:i w:val="0"/>
                <w:color w:val="000000"/>
                <w:sz w:val="19"/>
              </w:rPr>
              <w:t xml:space="preserve">6.88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单位：许昌市国有土地管理一所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140.41</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6.53</w:t>
            </w:r>
          </w:p>
        </w:tc>
        <w:tc>
          <w:tcPr>
            <w:tcW w:w="1420" w:type="dxa"/>
            <w:tcBorders/>
            <w:vAlign w:val="center"/>
          </w:tcPr>
          <w:p>
            <w:pPr>
              <w:jc w:val="right"/>
            </w:pPr>
            <w:r>
              <w:rPr>
                <w:rFonts w:ascii="宋体" w:eastAsia="宋体" w:hAnsi="宋体" w:cs="宋体"/>
                <w:b w:val="0"/>
                <w:i w:val="0"/>
                <w:color w:val="000000"/>
                <w:sz w:val="18"/>
              </w:rPr>
              <w:t xml:space="preserve">6.53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14.40</w:t>
            </w:r>
          </w:p>
        </w:tc>
        <w:tc>
          <w:tcPr>
            <w:tcW w:w="1420" w:type="dxa"/>
            <w:tcBorders/>
            <w:vAlign w:val="center"/>
          </w:tcPr>
          <w:p>
            <w:pPr>
              <w:jc w:val="right"/>
            </w:pPr>
            <w:r>
              <w:rPr>
                <w:rFonts w:ascii="宋体" w:eastAsia="宋体" w:hAnsi="宋体" w:cs="宋体"/>
                <w:b w:val="0"/>
                <w:i w:val="0"/>
                <w:color w:val="000000"/>
                <w:sz w:val="18"/>
              </w:rPr>
              <w:t xml:space="preserve">14.40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7.02</w:t>
            </w:r>
          </w:p>
        </w:tc>
        <w:tc>
          <w:tcPr>
            <w:tcW w:w="1420" w:type="dxa"/>
            <w:tcBorders/>
            <w:vAlign w:val="center"/>
          </w:tcPr>
          <w:p>
            <w:pPr>
              <w:jc w:val="right"/>
            </w:pPr>
            <w:r>
              <w:rPr>
                <w:rFonts w:ascii="宋体" w:eastAsia="宋体" w:hAnsi="宋体" w:cs="宋体"/>
                <w:b w:val="0"/>
                <w:i w:val="0"/>
                <w:color w:val="000000"/>
                <w:sz w:val="18"/>
              </w:rPr>
              <w:t xml:space="preserve">7.02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105.57</w:t>
            </w:r>
          </w:p>
        </w:tc>
        <w:tc>
          <w:tcPr>
            <w:tcW w:w="1420" w:type="dxa"/>
            <w:tcBorders/>
            <w:vAlign w:val="center"/>
          </w:tcPr>
          <w:p>
            <w:pPr>
              <w:jc w:val="right"/>
            </w:pPr>
            <w:r>
              <w:rPr>
                <w:rFonts w:ascii="宋体" w:eastAsia="宋体" w:hAnsi="宋体" w:cs="宋体"/>
                <w:b w:val="0"/>
                <w:i w:val="0"/>
                <w:color w:val="000000"/>
                <w:sz w:val="18"/>
              </w:rPr>
              <w:t xml:space="preserve">105.57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6.88</w:t>
            </w:r>
          </w:p>
        </w:tc>
        <w:tc>
          <w:tcPr>
            <w:tcW w:w="1420" w:type="dxa"/>
            <w:tcBorders/>
            <w:vAlign w:val="center"/>
          </w:tcPr>
          <w:p>
            <w:pPr>
              <w:jc w:val="right"/>
            </w:pPr>
            <w:r>
              <w:rPr>
                <w:rFonts w:ascii="宋体" w:eastAsia="宋体" w:hAnsi="宋体" w:cs="宋体"/>
                <w:b w:val="0"/>
                <w:i w:val="0"/>
                <w:color w:val="000000"/>
                <w:sz w:val="18"/>
              </w:rPr>
              <w:t xml:space="preserve">6.88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140.41</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140.41</w:t>
            </w:r>
          </w:p>
        </w:tc>
        <w:tc>
          <w:tcPr>
            <w:tcW w:w="1420" w:type="dxa"/>
            <w:tcBorders/>
            <w:vAlign w:val="center"/>
          </w:tcPr>
          <w:p>
            <w:pPr>
              <w:jc w:val="right"/>
            </w:pPr>
            <w:r>
              <w:rPr>
                <w:rFonts w:ascii="宋体" w:eastAsia="宋体" w:hAnsi="宋体" w:cs="宋体"/>
                <w:b w:val="0"/>
                <w:i w:val="0"/>
                <w:color w:val="000000"/>
                <w:sz w:val="18"/>
              </w:rPr>
              <w:t xml:space="preserve">140.41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140.41</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140.41</w:t>
            </w:r>
          </w:p>
        </w:tc>
        <w:tc>
          <w:tcPr>
            <w:tcW w:w="1420" w:type="dxa"/>
            <w:tcBorders/>
            <w:vAlign w:val="center"/>
          </w:tcPr>
          <w:p>
            <w:pPr>
              <w:jc w:val="right"/>
            </w:pPr>
            <w:r>
              <w:rPr>
                <w:rFonts w:ascii="宋体" w:eastAsia="宋体" w:hAnsi="宋体" w:cs="宋体"/>
                <w:b w:val="0"/>
                <w:i w:val="0"/>
                <w:color w:val="000000"/>
                <w:sz w:val="18"/>
              </w:rPr>
              <w:t xml:space="preserve">140.41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单位：许昌市国有土地管理一所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140.41</w:t>
            </w:r>
          </w:p>
        </w:tc>
        <w:tc>
          <w:tcPr>
            <w:tcW w:w="2700" w:type="dxa"/>
            <w:tcBorders/>
            <w:vAlign w:val="center"/>
          </w:tcPr>
          <w:p>
            <w:pPr>
              <w:jc w:val="right"/>
            </w:pPr>
            <w:r>
              <w:rPr>
                <w:rFonts w:ascii="宋体" w:eastAsia="宋体" w:hAnsi="宋体" w:cs="宋体"/>
                <w:b/>
                <w:i w:val="0"/>
                <w:color w:val="000000"/>
                <w:sz w:val="25"/>
              </w:rPr>
              <w:t xml:space="preserve">140.41</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6.53</w:t>
            </w:r>
          </w:p>
        </w:tc>
        <w:tc>
          <w:tcPr>
            <w:tcW w:w="2700" w:type="dxa"/>
            <w:tcBorders/>
            <w:vAlign w:val="center"/>
          </w:tcPr>
          <w:p>
            <w:pPr>
              <w:jc w:val="right"/>
            </w:pPr>
            <w:r>
              <w:rPr>
                <w:rFonts w:ascii="宋体" w:eastAsia="宋体" w:hAnsi="宋体" w:cs="宋体"/>
                <w:b w:val="0"/>
                <w:i w:val="0"/>
                <w:color w:val="000000"/>
                <w:sz w:val="25"/>
              </w:rPr>
              <w:t xml:space="preserve">6.53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0.62</w:t>
            </w:r>
          </w:p>
        </w:tc>
        <w:tc>
          <w:tcPr>
            <w:tcW w:w="2700" w:type="dxa"/>
            <w:tcBorders/>
            <w:vAlign w:val="center"/>
          </w:tcPr>
          <w:p>
            <w:pPr>
              <w:jc w:val="right"/>
            </w:pPr>
            <w:r>
              <w:rPr>
                <w:rFonts w:ascii="宋体" w:eastAsia="宋体" w:hAnsi="宋体" w:cs="宋体"/>
                <w:b w:val="0"/>
                <w:i w:val="0"/>
                <w:color w:val="000000"/>
                <w:sz w:val="25"/>
              </w:rPr>
              <w:t xml:space="preserve">0.62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0.62</w:t>
            </w:r>
          </w:p>
        </w:tc>
        <w:tc>
          <w:tcPr>
            <w:tcW w:w="2700" w:type="dxa"/>
            <w:tcBorders/>
            <w:vAlign w:val="center"/>
          </w:tcPr>
          <w:p>
            <w:pPr>
              <w:jc w:val="right"/>
            </w:pPr>
            <w:r>
              <w:rPr>
                <w:rFonts w:ascii="宋体" w:eastAsia="宋体" w:hAnsi="宋体" w:cs="宋体"/>
                <w:b w:val="0"/>
                <w:i w:val="0"/>
                <w:color w:val="000000"/>
                <w:sz w:val="25"/>
              </w:rPr>
              <w:t xml:space="preserve">0.62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5.91</w:t>
            </w:r>
          </w:p>
        </w:tc>
        <w:tc>
          <w:tcPr>
            <w:tcW w:w="2700" w:type="dxa"/>
            <w:tcBorders/>
            <w:vAlign w:val="center"/>
          </w:tcPr>
          <w:p>
            <w:pPr>
              <w:jc w:val="right"/>
            </w:pPr>
            <w:r>
              <w:rPr>
                <w:rFonts w:ascii="宋体" w:eastAsia="宋体" w:hAnsi="宋体" w:cs="宋体"/>
                <w:b w:val="0"/>
                <w:i w:val="0"/>
                <w:color w:val="000000"/>
                <w:sz w:val="25"/>
              </w:rPr>
              <w:t xml:space="preserve">5.91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5.91</w:t>
            </w:r>
          </w:p>
        </w:tc>
        <w:tc>
          <w:tcPr>
            <w:tcW w:w="2700" w:type="dxa"/>
            <w:tcBorders/>
            <w:vAlign w:val="center"/>
          </w:tcPr>
          <w:p>
            <w:pPr>
              <w:jc w:val="right"/>
            </w:pPr>
            <w:r>
              <w:rPr>
                <w:rFonts w:ascii="宋体" w:eastAsia="宋体" w:hAnsi="宋体" w:cs="宋体"/>
                <w:b w:val="0"/>
                <w:i w:val="0"/>
                <w:color w:val="000000"/>
                <w:sz w:val="25"/>
              </w:rPr>
              <w:t xml:space="preserve">5.91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14.40</w:t>
            </w:r>
          </w:p>
        </w:tc>
        <w:tc>
          <w:tcPr>
            <w:tcW w:w="2700" w:type="dxa"/>
            <w:tcBorders/>
            <w:vAlign w:val="center"/>
          </w:tcPr>
          <w:p>
            <w:pPr>
              <w:jc w:val="right"/>
            </w:pPr>
            <w:r>
              <w:rPr>
                <w:rFonts w:ascii="宋体" w:eastAsia="宋体" w:hAnsi="宋体" w:cs="宋体"/>
                <w:b w:val="0"/>
                <w:i w:val="0"/>
                <w:color w:val="000000"/>
                <w:sz w:val="25"/>
              </w:rPr>
              <w:t xml:space="preserve">14.40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14.40</w:t>
            </w:r>
          </w:p>
        </w:tc>
        <w:tc>
          <w:tcPr>
            <w:tcW w:w="2700" w:type="dxa"/>
            <w:tcBorders/>
            <w:vAlign w:val="center"/>
          </w:tcPr>
          <w:p>
            <w:pPr>
              <w:jc w:val="right"/>
            </w:pPr>
            <w:r>
              <w:rPr>
                <w:rFonts w:ascii="宋体" w:eastAsia="宋体" w:hAnsi="宋体" w:cs="宋体"/>
                <w:b w:val="0"/>
                <w:i w:val="0"/>
                <w:color w:val="000000"/>
                <w:sz w:val="25"/>
              </w:rPr>
              <w:t xml:space="preserve">14.40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6.97</w:t>
            </w:r>
          </w:p>
        </w:tc>
        <w:tc>
          <w:tcPr>
            <w:tcW w:w="2700" w:type="dxa"/>
            <w:tcBorders/>
            <w:vAlign w:val="center"/>
          </w:tcPr>
          <w:p>
            <w:pPr>
              <w:jc w:val="right"/>
            </w:pPr>
            <w:r>
              <w:rPr>
                <w:rFonts w:ascii="宋体" w:eastAsia="宋体" w:hAnsi="宋体" w:cs="宋体"/>
                <w:b w:val="0"/>
                <w:i w:val="0"/>
                <w:color w:val="000000"/>
                <w:sz w:val="25"/>
              </w:rPr>
              <w:t xml:space="preserve">6.97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7.44</w:t>
            </w:r>
          </w:p>
        </w:tc>
        <w:tc>
          <w:tcPr>
            <w:tcW w:w="2700" w:type="dxa"/>
            <w:tcBorders/>
            <w:vAlign w:val="center"/>
          </w:tcPr>
          <w:p>
            <w:pPr>
              <w:jc w:val="right"/>
            </w:pPr>
            <w:r>
              <w:rPr>
                <w:rFonts w:ascii="宋体" w:eastAsia="宋体" w:hAnsi="宋体" w:cs="宋体"/>
                <w:b w:val="0"/>
                <w:i w:val="0"/>
                <w:color w:val="000000"/>
                <w:sz w:val="25"/>
              </w:rPr>
              <w:t xml:space="preserve">7.44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7.02</w:t>
            </w:r>
          </w:p>
        </w:tc>
        <w:tc>
          <w:tcPr>
            <w:tcW w:w="2700" w:type="dxa"/>
            <w:tcBorders/>
            <w:vAlign w:val="center"/>
          </w:tcPr>
          <w:p>
            <w:pPr>
              <w:jc w:val="right"/>
            </w:pPr>
            <w:r>
              <w:rPr>
                <w:rFonts w:ascii="宋体" w:eastAsia="宋体" w:hAnsi="宋体" w:cs="宋体"/>
                <w:b w:val="0"/>
                <w:i w:val="0"/>
                <w:color w:val="000000"/>
                <w:sz w:val="25"/>
              </w:rPr>
              <w:t xml:space="preserve">7.02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7.02</w:t>
            </w:r>
          </w:p>
        </w:tc>
        <w:tc>
          <w:tcPr>
            <w:tcW w:w="2700" w:type="dxa"/>
            <w:tcBorders/>
            <w:vAlign w:val="center"/>
          </w:tcPr>
          <w:p>
            <w:pPr>
              <w:jc w:val="right"/>
            </w:pPr>
            <w:r>
              <w:rPr>
                <w:rFonts w:ascii="宋体" w:eastAsia="宋体" w:hAnsi="宋体" w:cs="宋体"/>
                <w:b w:val="0"/>
                <w:i w:val="0"/>
                <w:color w:val="000000"/>
                <w:sz w:val="25"/>
              </w:rPr>
              <w:t xml:space="preserve">7.02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3.51</w:t>
            </w:r>
          </w:p>
        </w:tc>
        <w:tc>
          <w:tcPr>
            <w:tcW w:w="2700" w:type="dxa"/>
            <w:tcBorders/>
            <w:vAlign w:val="center"/>
          </w:tcPr>
          <w:p>
            <w:pPr>
              <w:jc w:val="right"/>
            </w:pPr>
            <w:r>
              <w:rPr>
                <w:rFonts w:ascii="宋体" w:eastAsia="宋体" w:hAnsi="宋体" w:cs="宋体"/>
                <w:b w:val="0"/>
                <w:i w:val="0"/>
                <w:color w:val="000000"/>
                <w:sz w:val="25"/>
              </w:rPr>
              <w:t xml:space="preserve">3.51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3.52</w:t>
            </w:r>
          </w:p>
        </w:tc>
        <w:tc>
          <w:tcPr>
            <w:tcW w:w="2700" w:type="dxa"/>
            <w:tcBorders/>
            <w:vAlign w:val="center"/>
          </w:tcPr>
          <w:p>
            <w:pPr>
              <w:jc w:val="right"/>
            </w:pPr>
            <w:r>
              <w:rPr>
                <w:rFonts w:ascii="宋体" w:eastAsia="宋体" w:hAnsi="宋体" w:cs="宋体"/>
                <w:b w:val="0"/>
                <w:i w:val="0"/>
                <w:color w:val="000000"/>
                <w:sz w:val="25"/>
              </w:rPr>
              <w:t xml:space="preserve">3.52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105.57</w:t>
            </w:r>
          </w:p>
        </w:tc>
        <w:tc>
          <w:tcPr>
            <w:tcW w:w="2700" w:type="dxa"/>
            <w:tcBorders/>
            <w:vAlign w:val="center"/>
          </w:tcPr>
          <w:p>
            <w:pPr>
              <w:jc w:val="right"/>
            </w:pPr>
            <w:r>
              <w:rPr>
                <w:rFonts w:ascii="宋体" w:eastAsia="宋体" w:hAnsi="宋体" w:cs="宋体"/>
                <w:b w:val="0"/>
                <w:i w:val="0"/>
                <w:color w:val="000000"/>
                <w:sz w:val="25"/>
              </w:rPr>
              <w:t xml:space="preserve">105.57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105.57</w:t>
            </w:r>
          </w:p>
        </w:tc>
        <w:tc>
          <w:tcPr>
            <w:tcW w:w="2700" w:type="dxa"/>
            <w:tcBorders/>
            <w:vAlign w:val="center"/>
          </w:tcPr>
          <w:p>
            <w:pPr>
              <w:jc w:val="right"/>
            </w:pPr>
            <w:r>
              <w:rPr>
                <w:rFonts w:ascii="宋体" w:eastAsia="宋体" w:hAnsi="宋体" w:cs="宋体"/>
                <w:b w:val="0"/>
                <w:i w:val="0"/>
                <w:color w:val="000000"/>
                <w:sz w:val="25"/>
              </w:rPr>
              <w:t xml:space="preserve">105.57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其他城乡社区管理事务支出</w:t>
            </w:r>
          </w:p>
        </w:tc>
        <w:tc>
          <w:tcPr>
            <w:tcW w:w="2700" w:type="dxa"/>
            <w:tcBorders/>
            <w:vAlign w:val="center"/>
          </w:tcPr>
          <w:p>
            <w:pPr>
              <w:jc w:val="right"/>
            </w:pPr>
            <w:r>
              <w:rPr>
                <w:rFonts w:ascii="宋体" w:eastAsia="宋体" w:hAnsi="宋体" w:cs="宋体"/>
                <w:b w:val="0"/>
                <w:i w:val="0"/>
                <w:color w:val="000000"/>
                <w:sz w:val="25"/>
              </w:rPr>
              <w:t xml:space="preserve">105.57</w:t>
            </w:r>
          </w:p>
        </w:tc>
        <w:tc>
          <w:tcPr>
            <w:tcW w:w="2700" w:type="dxa"/>
            <w:tcBorders/>
            <w:vAlign w:val="center"/>
          </w:tcPr>
          <w:p>
            <w:pPr>
              <w:jc w:val="right"/>
            </w:pPr>
            <w:r>
              <w:rPr>
                <w:rFonts w:ascii="宋体" w:eastAsia="宋体" w:hAnsi="宋体" w:cs="宋体"/>
                <w:b w:val="0"/>
                <w:i w:val="0"/>
                <w:color w:val="000000"/>
                <w:sz w:val="25"/>
              </w:rPr>
              <w:t xml:space="preserve">105.57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6.88</w:t>
            </w:r>
          </w:p>
        </w:tc>
        <w:tc>
          <w:tcPr>
            <w:tcW w:w="2700" w:type="dxa"/>
            <w:tcBorders/>
            <w:vAlign w:val="center"/>
          </w:tcPr>
          <w:p>
            <w:pPr>
              <w:jc w:val="right"/>
            </w:pPr>
            <w:r>
              <w:rPr>
                <w:rFonts w:ascii="宋体" w:eastAsia="宋体" w:hAnsi="宋体" w:cs="宋体"/>
                <w:b w:val="0"/>
                <w:i w:val="0"/>
                <w:color w:val="000000"/>
                <w:sz w:val="25"/>
              </w:rPr>
              <w:t xml:space="preserve">6.88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6.88</w:t>
            </w:r>
          </w:p>
        </w:tc>
        <w:tc>
          <w:tcPr>
            <w:tcW w:w="2700" w:type="dxa"/>
            <w:tcBorders/>
            <w:vAlign w:val="center"/>
          </w:tcPr>
          <w:p>
            <w:pPr>
              <w:jc w:val="right"/>
            </w:pPr>
            <w:r>
              <w:rPr>
                <w:rFonts w:ascii="宋体" w:eastAsia="宋体" w:hAnsi="宋体" w:cs="宋体"/>
                <w:b w:val="0"/>
                <w:i w:val="0"/>
                <w:color w:val="000000"/>
                <w:sz w:val="25"/>
              </w:rPr>
              <w:t xml:space="preserve">6.88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6.88</w:t>
            </w:r>
          </w:p>
        </w:tc>
        <w:tc>
          <w:tcPr>
            <w:tcW w:w="2700" w:type="dxa"/>
            <w:tcBorders/>
            <w:vAlign w:val="center"/>
          </w:tcPr>
          <w:p>
            <w:pPr>
              <w:jc w:val="right"/>
            </w:pPr>
            <w:r>
              <w:rPr>
                <w:rFonts w:ascii="宋体" w:eastAsia="宋体" w:hAnsi="宋体" w:cs="宋体"/>
                <w:b w:val="0"/>
                <w:i w:val="0"/>
                <w:color w:val="000000"/>
                <w:sz w:val="25"/>
              </w:rPr>
              <w:t xml:space="preserve">6.88</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单位：许昌市国有土地管理一所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125.10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8.34</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30.66</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2.37</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23.01</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0.45</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50.00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7.74</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0.05</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3.18</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3.53</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0.10</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6.88</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0.24</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6.97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6.97</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1.83</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0.62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0.60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0.54</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1.64</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132.07</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8.34</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单位：许昌市国有土地管理一所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单位：许昌市国有土地管理一所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单位：许昌市国有土地管理一所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0.54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0.54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0.54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0.54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0.54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0.54</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140.41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增加9.65万元，增长7.38%</w:t>
      </w:r>
      <w:r>
        <w:rPr>
          <w:rFonts w:ascii="仿宋" w:eastAsia="仿宋" w:hAnsi="仿宋" w:cs="仿宋" w:hint="eastAsia"/>
          <w:kern w:val="0"/>
          <w:sz w:val="32"/>
          <w:szCs w:val="32"/>
          <w:lang w:val="en-US" w:eastAsia="zh-CN"/>
        </w:rPr>
        <w:t xml:space="preserve">。主要原因是上年度部分经费在本年度收支。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140.41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财政拨款收入140.41万元，占100.00%；上级补助收入0.00万元，占0.00%；事业收入0.00万元，占0.00%；经营收入0.00万元，占0.00%；附属单位上缴收入0.00万元，占0.00%；其他收入0.00万元，占0.00%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140.41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基本支出140.41万元，占100.00%；项目支出0.00万元，占0.00%；上缴上级支出0.00万元，占0.00%；经营支出0.00万元，占0.00%；对附属单位补助支出0.00万元，占0.00%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140.41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增加9.65万元，增长7.38%</w:t>
      </w:r>
      <w:r>
        <w:rPr>
          <w:rFonts w:ascii="仿宋" w:eastAsia="仿宋" w:hAnsi="仿宋" w:cs="仿宋" w:hint="eastAsia"/>
          <w:kern w:val="0"/>
          <w:sz w:val="32"/>
          <w:szCs w:val="32"/>
          <w:lang w:val="en-US" w:eastAsia="zh-CN"/>
        </w:rPr>
        <w:t xml:space="preserve">。主要原因是上年度部分经费在本年度收支。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140.41</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增加9.65万元，增长7.38%</w:t>
      </w:r>
      <w:r>
        <w:rPr>
          <w:rFonts w:ascii="仿宋" w:eastAsia="仿宋" w:hAnsi="仿宋" w:cs="仿宋" w:hint="eastAsia"/>
          <w:kern w:val="0"/>
          <w:sz w:val="32"/>
          <w:szCs w:val="32"/>
          <w:lang w:val="en-US" w:eastAsia="zh-CN"/>
        </w:rPr>
        <w:t xml:space="preserve">。主要原因是上年度部分经费在本年度收支。</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140.41</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一般公共服务支出（类）6.53万元，占4.65%；社会保障和就业支出（类）14.40万元，占10.26%；卫生健康支出（类）7.02万元，占5.00%；城乡社区支出（类）105.57万元，占75.19%；住房保障支出（类）6.88万元，占4.90%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130.27</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140.41</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107.78</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年初预算数为0.62万元，决算数0.62万元,完成年初预算的100.00%，决算数与年初预算数不存在差异。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年初预算数为0.00万元，决算数5.91万元,决算数与年初预算数存在差异的主要原因是2021年平安建设奖在本年度支出。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年初预算数为7.14万元，决算数6.97万元,完成年初预算的97.62%，决算数与年初预算数存在差异的主要原因是退休人员工资按四舍五入计算存在尾差。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年初预算数为8.11万元，决算数7.44万元,完成年初预算的91.74%，决算数与年初预算数存在差异的主要原因是人员调出，经费收支减少。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5.卫生健康支出（类）行政事业单位医疗（款）事业单位医疗（项）</w:t>
      </w:r>
      <w:r>
        <w:rPr>
          <w:rFonts w:ascii="仿宋" w:eastAsia="仿宋" w:hAnsi="仿宋" w:cs="仿宋" w:hint="default"/>
          <w:kern w:val="2"/>
          <w:sz w:val="32"/>
          <w:szCs w:val="32"/>
          <w:lang w:val="en-US" w:eastAsia="zh-CN"/>
        </w:rPr>
        <w:t xml:space="preserve">年初预算数为3.69万元，决算数3.51万元,完成年初预算的95.12%，决算数与年初预算数存在差异的主要原因是人员调出，经费收支减少。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6.卫生健康支出（类）行政事业单位医疗（款）公务员医疗补助（项）</w:t>
      </w:r>
      <w:r>
        <w:rPr>
          <w:rFonts w:ascii="仿宋" w:eastAsia="仿宋" w:hAnsi="仿宋" w:cs="仿宋" w:hint="default"/>
          <w:kern w:val="2"/>
          <w:sz w:val="32"/>
          <w:szCs w:val="32"/>
          <w:lang w:val="en-US" w:eastAsia="zh-CN"/>
        </w:rPr>
        <w:t xml:space="preserve">年初预算数为3.52万元，决算数3.52万元,完成年初预算的100.00%，决算数与年初预算数不存在差异。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7.城乡社区支出（类）城乡社区管理事务（款）其他城乡社区管理事务支出（项）</w:t>
      </w:r>
      <w:r>
        <w:rPr>
          <w:rFonts w:ascii="仿宋" w:eastAsia="仿宋" w:hAnsi="仿宋" w:cs="仿宋" w:hint="default"/>
          <w:kern w:val="2"/>
          <w:sz w:val="32"/>
          <w:szCs w:val="32"/>
          <w:lang w:val="en-US" w:eastAsia="zh-CN"/>
        </w:rPr>
        <w:t xml:space="preserve">年初预算数为100.16万元，决算数105.57万元,完成年初预算的105.40%，决算数与年初预算数存在差异的主要原因是发放2021年未休假补贴、晋级晋档工资增加。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年初预算数为7.03万元，决算数6.88万元,完成年初预算的97.87%，决算数与年初预算数存在差异的主要原因是人员调出，经费收支减少。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140.41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其中：人员经费132.07万元，主要包括：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公用经费8.34万元，主要包括：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0.54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0.54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0.54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0.54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0.54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0.54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主要用于公车保险、维修保养及加油。</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130.27</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许昌市国有土地管理一所在资金管理使用上,严格执行国库集中支付制度和县财政局报账制有关要求,确保资金安全运行，严格按照资金性质支出。</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374"/>
        <w:gridCol w:w="374"/>
        <w:gridCol w:w="1247"/>
        <w:gridCol w:w="1524"/>
        <w:gridCol w:w="1233"/>
        <w:gridCol w:w="1261"/>
        <w:gridCol w:w="1316"/>
        <w:gridCol w:w="471"/>
        <w:gridCol w:w="1025"/>
        <w:gridCol w:w="1081"/>
      </w:tblGrid>
      <w:tr>
        <w:trPr>
          <w:trHeight w:hRule="exact" w:val="210"/>
          <w:jc w:val="center"/>
        </w:trPr>
        <w:tc>
          <w:tcPr>
            <w:tcW w:w="374" w:type="dxa"/>
            <w:shd w:val="clear" w:color="auto" w:fill="auto"/>
            <w:vAlign w:val="bottom"/>
          </w:tcPr>
          <w:p>
            <w:pPr>
              <w:snapToGrid w:val="0"/>
              <w:spacing w:before="0" w:beforeAutospacing="0" w:after="0" w:afterAutospacing="0" w:line="240" w:lineRule="auto"/>
            </w:pPr>
            <w:r>
              <w:rPr>
                <w:rFonts w:ascii="黑体" w:eastAsia="黑体" w:hAnsi="黑体" w:cs="黑体"/>
                <w:b w:val="0"/>
                <w:i w:val="0"/>
                <w:color w:val="000000"/>
                <w:sz w:val="15"/>
              </w:rPr>
              <w:t xml:space="preserve">附件2</w:t>
            </w:r>
          </w:p>
        </w:tc>
        <w:tc>
          <w:tcPr>
            <w:tcW w:w="374" w:type="dxa"/>
            <w:shd w:val="clear" w:color="auto" w:fill="auto"/>
            <w:vAlign w:val="bottom"/>
          </w:tcPr>
          <w:p>
            <w:pPr>
              <w:snapToGrid w:val="0"/>
              <w:spacing w:before="0" w:beforeAutospacing="0" w:after="0" w:afterAutospacing="0" w:line="240" w:lineRule="auto"/>
            </w:pPr>
          </w:p>
        </w:tc>
        <w:tc>
          <w:tcPr>
            <w:tcW w:w="1247" w:type="dxa"/>
            <w:shd w:val="clear" w:color="auto" w:fill="auto"/>
            <w:vAlign w:val="bottom"/>
          </w:tcPr>
          <w:p>
            <w:pPr>
              <w:snapToGrid w:val="0"/>
              <w:spacing w:before="0" w:beforeAutospacing="0" w:after="0" w:afterAutospacing="0" w:line="240" w:lineRule="auto"/>
            </w:pPr>
          </w:p>
        </w:tc>
        <w:tc>
          <w:tcPr>
            <w:tcW w:w="1524" w:type="dxa"/>
            <w:shd w:val="clear" w:color="auto" w:fill="auto"/>
            <w:vAlign w:val="bottom"/>
          </w:tcPr>
          <w:p>
            <w:pPr>
              <w:snapToGrid w:val="0"/>
              <w:spacing w:before="0" w:beforeAutospacing="0" w:after="0" w:afterAutospacing="0" w:line="240" w:lineRule="auto"/>
            </w:pPr>
          </w:p>
        </w:tc>
        <w:tc>
          <w:tcPr>
            <w:tcW w:w="1233" w:type="dxa"/>
            <w:shd w:val="clear" w:color="auto" w:fill="auto"/>
            <w:vAlign w:val="bottom"/>
          </w:tcPr>
          <w:p>
            <w:pPr>
              <w:snapToGrid w:val="0"/>
              <w:spacing w:before="0" w:beforeAutospacing="0" w:after="0" w:afterAutospacing="0" w:line="240" w:lineRule="auto"/>
            </w:pPr>
          </w:p>
        </w:tc>
        <w:tc>
          <w:tcPr>
            <w:tcW w:w="1261" w:type="dxa"/>
            <w:shd w:val="clear" w:color="auto" w:fill="auto"/>
            <w:vAlign w:val="bottom"/>
          </w:tcPr>
          <w:p>
            <w:pPr>
              <w:snapToGrid w:val="0"/>
              <w:spacing w:before="0" w:beforeAutospacing="0" w:after="0" w:afterAutospacing="0" w:line="240" w:lineRule="auto"/>
            </w:pPr>
          </w:p>
        </w:tc>
        <w:tc>
          <w:tcPr>
            <w:tcW w:w="1316" w:type="dxa"/>
            <w:shd w:val="clear" w:color="auto" w:fill="auto"/>
            <w:vAlign w:val="bottom"/>
          </w:tcPr>
          <w:p>
            <w:pPr>
              <w:snapToGrid w:val="0"/>
              <w:spacing w:before="0" w:beforeAutospacing="0" w:after="0" w:afterAutospacing="0" w:line="240" w:lineRule="auto"/>
            </w:pPr>
          </w:p>
        </w:tc>
        <w:tc>
          <w:tcPr>
            <w:tcW w:w="471" w:type="dxa"/>
            <w:shd w:val="clear" w:color="auto" w:fill="auto"/>
            <w:vAlign w:val="bottom"/>
          </w:tcPr>
          <w:p>
            <w:pPr>
              <w:snapToGrid w:val="0"/>
              <w:spacing w:before="0" w:beforeAutospacing="0" w:after="0" w:afterAutospacing="0" w:line="240" w:lineRule="auto"/>
            </w:pPr>
          </w:p>
        </w:tc>
        <w:tc>
          <w:tcPr>
            <w:tcW w:w="1025" w:type="dxa"/>
            <w:shd w:val="clear" w:color="auto" w:fill="auto"/>
            <w:vAlign w:val="bottom"/>
          </w:tcPr>
          <w:p>
            <w:pPr>
              <w:snapToGrid w:val="0"/>
              <w:spacing w:before="0" w:beforeAutospacing="0" w:after="0" w:afterAutospacing="0" w:line="240" w:lineRule="auto"/>
            </w:pPr>
          </w:p>
        </w:tc>
        <w:tc>
          <w:tcPr>
            <w:tcW w:w="1081" w:type="dxa"/>
            <w:shd w:val="clear" w:color="auto" w:fill="auto"/>
            <w:vAlign w:val="bottom"/>
          </w:tcPr>
          <w:p>
            <w:pPr>
              <w:snapToGrid w:val="0"/>
              <w:spacing w:before="0" w:beforeAutospacing="0" w:after="0" w:afterAutospacing="0" w:line="240" w:lineRule="auto"/>
            </w:pPr>
          </w:p>
        </w:tc>
      </w:tr>
      <w:tr>
        <w:trPr>
          <w:trHeight w:hRule="exact" w:val="377"/>
          <w:jc w:val="center"/>
        </w:trPr>
        <w:tc>
          <w:tcPr>
            <w:tcW w:w="9906" w:type="dxa"/>
            <w:hMerge w:val="restart"/>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部门整体自评表</w:t>
            </w: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r>
      <w:tr>
        <w:trPr>
          <w:trHeight w:hRule="exact" w:val="283"/>
          <w:jc w:val="center"/>
        </w:trPr>
        <w:tc>
          <w:tcPr>
            <w:tcW w:w="9906" w:type="dxa"/>
            <w:hMerge w:val="restart"/>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  2023   年度）</w:t>
            </w: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r>
      <w:tr>
        <w:trPr>
          <w:trHeight w:hRule="exact" w:val="283"/>
          <w:jc w:val="center"/>
        </w:trPr>
        <w:tc>
          <w:tcPr>
            <w:tcW w:w="374" w:type="dxa"/>
            <w:tcBorders>
              <w:bottom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             </w:t>
            </w:r>
          </w:p>
        </w:tc>
        <w:tc>
          <w:tcPr>
            <w:tcW w:w="37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47"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52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33"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61"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787"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right"/>
            </w:pPr>
            <w:r>
              <w:rPr>
                <w:rFonts w:ascii="Calibri" w:eastAsia="Calibri" w:hAnsi="Calibri" w:cs="Calibri"/>
                <w:b w:val="0"/>
                <w:i w:val="0"/>
                <w:color w:val="000000"/>
                <w:sz w:val="13"/>
              </w:rPr>
              <w:t xml:space="preserve">填表人及联系方式：</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right"/>
            </w:pPr>
          </w:p>
        </w:tc>
        <w:tc>
          <w:tcPr>
            <w:tcW w:w="2106"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李静2988007</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68"/>
          <w:jc w:val="center"/>
        </w:trPr>
        <w:tc>
          <w:tcPr>
            <w:tcW w:w="199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91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许昌市国有土地管理一所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68"/>
          <w:jc w:val="center"/>
        </w:trPr>
        <w:tc>
          <w:tcPr>
            <w:tcW w:w="199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91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74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预算</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执行</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情况</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年初预算数</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全年预算数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全年执行数</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分值</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预算执行率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得分</w:t>
            </w:r>
          </w:p>
        </w:tc>
      </w:tr>
      <w:tr>
        <w:trPr>
          <w:trHeight w:hRule="exact" w:val="168"/>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77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部门预算总额</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130.27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130.26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140.41</w:t>
            </w:r>
          </w:p>
        </w:tc>
        <w:tc>
          <w:tcPr>
            <w:tcW w:w="471"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1.0779</w:t>
            </w:r>
          </w:p>
        </w:tc>
        <w:tc>
          <w:tcPr>
            <w:tcW w:w="1081" w:type="dxa"/>
            <w:vMerge w:val="restart"/>
            <w:tcBorders>
              <w:top w:val="single" w:sz="4" w:space="0" w:color="000000"/>
              <w:left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10</w:t>
            </w:r>
          </w:p>
        </w:tc>
      </w:tr>
      <w:tr>
        <w:trPr>
          <w:trHeight w:hRule="exact" w:val="199"/>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资金来源</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政府预算资金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130.27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130.26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140.41</w:t>
            </w:r>
          </w:p>
        </w:tc>
        <w:tc>
          <w:tcPr>
            <w:tcW w:w="47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1.0779</w:t>
            </w:r>
          </w:p>
        </w:tc>
        <w:tc>
          <w:tcPr>
            <w:tcW w:w="1081" w:type="dxa"/>
            <w:vMerge/>
            <w:tcBorders>
              <w:left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r>
      <w:tr>
        <w:trPr>
          <w:trHeight w:hRule="exact" w:val="189"/>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  财政专户管理资金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47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1081" w:type="dxa"/>
            <w:vMerge/>
            <w:tcBorders>
              <w:left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r>
      <w:tr>
        <w:trPr>
          <w:trHeight w:hRule="exact" w:val="189"/>
          <w:jc w:val="center"/>
        </w:trPr>
        <w:tc>
          <w:tcPr>
            <w:tcW w:w="74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单位资金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471"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1081" w:type="dxa"/>
            <w:vMerge/>
            <w:tcBorders>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r>
      <w:tr>
        <w:trPr>
          <w:trHeight w:hRule="exact" w:val="189"/>
          <w:jc w:val="center"/>
        </w:trPr>
        <w:tc>
          <w:tcPr>
            <w:tcW w:w="74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履职</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目标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26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46"/>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目标名称</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目标完成情况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31"/>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目标1：</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对全辖区土地资源进行全方位普查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目标完成较好</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231"/>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目标2：</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对租赁用地信息进行了全方位复查，并建立了台帐管理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目标完成较好</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231"/>
          <w:jc w:val="center"/>
        </w:trPr>
        <w:tc>
          <w:tcPr>
            <w:tcW w:w="74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稳妥处置辖区土地纠纷调处和咨询。</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目标完成较好</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35"/>
          <w:jc w:val="center"/>
        </w:trPr>
        <w:tc>
          <w:tcPr>
            <w:tcW w:w="74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主要</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任务</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任务名称</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任务完成情况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31"/>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任务1：</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对全辖区土地资源进行全方位普查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目标完成较好</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231"/>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任务2：</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对租赁用地信息进行了全方位复查，并建立了台帐管理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目标完成较好</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231"/>
          <w:jc w:val="center"/>
        </w:trPr>
        <w:tc>
          <w:tcPr>
            <w:tcW w:w="74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稳妥处置辖区土地纠纷调处和咨询。</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目标完成较好</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68"/>
          <w:jc w:val="center"/>
        </w:trPr>
        <w:tc>
          <w:tcPr>
            <w:tcW w:w="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一级指标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分值</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二级指标</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三级指标</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年度指标值</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指标值说明</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实际完成值</w:t>
            </w:r>
          </w:p>
        </w:tc>
        <w:tc>
          <w:tcPr>
            <w:tcW w:w="4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分值</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得分</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偏差原因分析及改进措施</w:t>
            </w:r>
          </w:p>
        </w:tc>
      </w:tr>
      <w:tr>
        <w:trPr>
          <w:trHeight w:hRule="exact" w:val="168"/>
          <w:jc w:val="center"/>
        </w:trPr>
        <w:tc>
          <w:tcPr>
            <w:tcW w:w="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8"/>
          <w:jc w:val="center"/>
        </w:trPr>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投入管理指标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30</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工作目标管理</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年度履职目标相关性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相关</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部门设立的工作目标的依据是否充分；内容是否合法、合规。</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8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3"/>
              </w:rPr>
              <w:t xml:space="preserve">工作任务科学性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科学</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部门设立的工作任务是否明确、具体、清晰和科学。</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608"/>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3"/>
              </w:rPr>
              <w:t xml:space="preserve">绩效指标合理性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合理</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部门设立的绩效指标是否合理。</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23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预算和财务管理</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预算编制完整性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完整</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①收入预算编制是否足额，是否将所有部门预算收入全部编入收入预算；②支出预算编制是否科学，是否是按人员经费按标准、日常公用经费按定额、专项经费按项目分别编制。</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216"/>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专项资金细化率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≥95%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专项资金细化率=（已细化到具体市县和承担单位的资金数/部门参与分配资金总数）×100%。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9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预算调整率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3"/>
              </w:rPr>
              <w:t xml:space="preserve">≤5%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预算调整率=（预算调整数/预算数）×100%。</w:t>
            </w:r>
          </w:p>
          <w:p>
            <w:pPr>
              <w:snapToGrid w:val="0"/>
              <w:spacing w:before="0" w:beforeAutospacing="0" w:after="0" w:afterAutospacing="0" w:line="240" w:lineRule="auto"/>
              <w:jc w:val="left"/>
              <w:rPr/>
            </w:pPr>
            <w:r>
              <w:rPr>
                <w:rFonts w:ascii="SimSun" w:eastAsia="SimSun" w:hAnsi="SimSun" w:cs="SimSun"/>
                <w:b w:val="0"/>
                <w:i w:val="0"/>
                <w:color w:val="000000"/>
                <w:sz w:val="13"/>
              </w:rPr>
              <w:t xml:space="preserve">预算调整数：部门在本年度内涉及预算的追加、追减或结构调整的资金总和（因落实国家政策、发生不可抗力、上级部门或本级党委政府临时交办而产生的调整除外）。</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0.0779</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后期追加预算</w:t>
            </w:r>
          </w:p>
        </w:tc>
      </w:tr>
      <w:tr>
        <w:trPr>
          <w:trHeight w:hRule="exact" w:val="922"/>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结转结余率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3"/>
              </w:rPr>
              <w:t xml:space="preserve">≤10%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结转结余变动率=[（本年度累计结转结余资金总额-上年度累计结转结余资金总额）/上年度累计结转结余资金总额]×100%。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6"/>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“三公经费”控制率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3"/>
              </w:rPr>
              <w:t xml:space="preserve">≤98%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“三公经费”控制率=（本年度“三公经费”实际支出总额/本年度“三公经费”预算数）×100%。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0.4465</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61"/>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政府采购执行率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3"/>
              </w:rPr>
              <w:t xml:space="preserve">≥95%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①资金使用是否符合政府采购的程序和流程；资金使用是否符合公务卡结算相关制度和规定；</w:t>
            </w:r>
          </w:p>
          <w:p>
            <w:pPr>
              <w:snapToGrid w:val="0"/>
              <w:spacing w:before="0" w:beforeAutospacing="0" w:after="0" w:afterAutospacing="0" w:line="240" w:lineRule="auto"/>
              <w:jc w:val="left"/>
              <w:rPr/>
            </w:pPr>
            <w:r>
              <w:rPr>
                <w:rFonts w:ascii="SimSun" w:eastAsia="SimSun" w:hAnsi="SimSun" w:cs="SimSun"/>
                <w:b w:val="0"/>
                <w:i w:val="0"/>
                <w:color w:val="000000"/>
                <w:sz w:val="13"/>
              </w:rPr>
              <w:t xml:space="preserve">②政府采购执行率=（实际政府采购金额/政府采购预算数）×100%；</w:t>
            </w:r>
          </w:p>
          <w:p>
            <w:pPr>
              <w:snapToGrid w:val="0"/>
              <w:spacing w:before="0" w:beforeAutospacing="0" w:after="0" w:afterAutospacing="0" w:line="240" w:lineRule="auto"/>
              <w:jc w:val="left"/>
              <w:rPr/>
            </w:pPr>
            <w:r>
              <w:rPr>
                <w:rFonts w:ascii="SimSun" w:eastAsia="SimSun" w:hAnsi="SimSun" w:cs="SimSun"/>
                <w:b w:val="0"/>
                <w:i w:val="0"/>
                <w:color w:val="000000"/>
                <w:sz w:val="13"/>
              </w:rPr>
              <w:t xml:space="preserve">政府采购预算：采购机关根据事业发展计划和行政任务编制的、并经过规定程序批准的年度政府采购计划。</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7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决算真实性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3"/>
              </w:rPr>
              <w:t xml:space="preserve">真实</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①是否按照相关编审要求报送；</w:t>
            </w:r>
          </w:p>
          <w:p>
            <w:pPr>
              <w:snapToGrid w:val="0"/>
              <w:spacing w:before="0" w:beforeAutospacing="0" w:after="0" w:afterAutospacing="0" w:line="240" w:lineRule="auto"/>
              <w:jc w:val="left"/>
              <w:rPr/>
            </w:pPr>
            <w:r>
              <w:rPr>
                <w:rFonts w:ascii="SimSun" w:eastAsia="SimSun" w:hAnsi="SimSun" w:cs="SimSun"/>
                <w:b w:val="0"/>
                <w:i w:val="0"/>
                <w:color w:val="000000"/>
                <w:sz w:val="13"/>
              </w:rPr>
              <w:t xml:space="preserve">②部门决算编报的单位范围和资金范围是否符合相关要求。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9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资金使用合规性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3"/>
              </w:rPr>
              <w:t xml:space="preserve">合规</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资金使用是否合规。</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30"/>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管理制度健全性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3"/>
              </w:rPr>
              <w:t xml:space="preserve">健全</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管理制度是否健全。</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09"/>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预决算信息公开性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3"/>
              </w:rPr>
              <w:t xml:space="preserve">公开</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预决算信息是否公开。</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14"/>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资产管理规范性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3"/>
              </w:rPr>
              <w:t xml:space="preserve">规范</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资产管理是否规范。</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30"/>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绩效管理</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绩效监控完成率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3"/>
              </w:rPr>
              <w:t xml:space="preserve">≥95%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绩效监控完成率=（实际绩效监控完成数/绩效监控预算数）×100%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6"/>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绩效自评完成率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3"/>
              </w:rPr>
              <w:t xml:space="preserve">≥95%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绩效自评完成率=（实际绩效自评完成数/绩效自评预算数）×100%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0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部门绩效评价完成率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3"/>
              </w:rPr>
              <w:t xml:space="preserve">≥95%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部门绩效评价完成率=（实际部门绩效评价完成数/部门绩效评价预算数）×100%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88"/>
          <w:jc w:val="center"/>
        </w:trPr>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评价结果应用率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3"/>
              </w:rPr>
              <w:t xml:space="preserve">≥95%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评价结果应用率=（实际评价结果应用数/评价结果应用预算数）×100%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03"/>
          <w:jc w:val="center"/>
        </w:trPr>
        <w:tc>
          <w:tcPr>
            <w:tcW w:w="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产出指标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25</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重点工作任务完成</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对全辖区土地资源进行全方位普查 </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3"/>
              </w:rPr>
              <w:t xml:space="preserve">≥95%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分项具体列示本部门重点工作推进情况，相关情况应予以细化、量化表述。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0.98</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03"/>
          <w:jc w:val="center"/>
        </w:trPr>
        <w:tc>
          <w:tcPr>
            <w:tcW w:w="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对租赁用地信息进行了全方位复查，并建立了台帐管理 </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3"/>
              </w:rPr>
              <w:t xml:space="preserve">≥95%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分项具体列示本部门重点工作推进情况，相关情况应予以细化、量化表述。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98"/>
          <w:jc w:val="center"/>
        </w:trPr>
        <w:tc>
          <w:tcPr>
            <w:tcW w:w="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履职目标实现</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对全辖区土地资源进行全方位普查 </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3"/>
              </w:rPr>
              <w:t xml:space="preserve">≥95%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3"/>
              </w:rPr>
              <w:t xml:space="preserve">分项具体列示本部门重点工作推进情况，相关情况应予以细化、量化表述。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0.98</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5</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5</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98"/>
          <w:jc w:val="center"/>
        </w:trPr>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效益指标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35</w:t>
            </w:r>
          </w:p>
        </w:tc>
        <w:tc>
          <w:tcPr>
            <w:tcW w:w="124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履职效益</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社会效益</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≥95%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数据一般通过问卷调查的方式获得，用百分比衡量</w:t>
            </w:r>
          </w:p>
          <w:p>
            <w:pPr>
              <w:snapToGrid w:val="0"/>
              <w:spacing w:before="0" w:beforeAutospacing="0" w:after="0" w:afterAutospacing="0" w:line="240" w:lineRule="auto"/>
              <w:jc w:val="left"/>
              <w:rPr/>
            </w:pPr>
            <w:r>
              <w:rPr>
                <w:rFonts w:ascii="Calibri" w:eastAsia="Calibri" w:hAnsi="Calibri" w:cs="Calibri"/>
                <w:b w:val="0"/>
                <w:i w:val="0"/>
                <w:color w:val="000000"/>
                <w:sz w:val="13"/>
              </w:rPr>
              <w:t xml:space="preserve">若无目标值，则可参考社会效益目标值设定参考值。</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0.97</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98"/>
          <w:jc w:val="center"/>
        </w:trPr>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服务对象满意度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≥95%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数据一般通过问卷调查的方式获得，用百分比衡量</w:t>
            </w:r>
          </w:p>
          <w:p>
            <w:pPr>
              <w:snapToGrid w:val="0"/>
              <w:spacing w:before="0" w:beforeAutospacing="0" w:after="0" w:afterAutospacing="0" w:line="240" w:lineRule="auto"/>
              <w:jc w:val="left"/>
              <w:rPr/>
            </w:pPr>
            <w:r>
              <w:rPr>
                <w:rFonts w:ascii="Calibri" w:eastAsia="Calibri" w:hAnsi="Calibri" w:cs="Calibri"/>
                <w:b w:val="0"/>
                <w:i w:val="0"/>
                <w:color w:val="000000"/>
                <w:sz w:val="13"/>
              </w:rPr>
              <w:t xml:space="preserve">若无目标值，则可参考社会效益目标值设定参考值。</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0.96</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15</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15</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52"/>
          <w:jc w:val="center"/>
        </w:trPr>
        <w:tc>
          <w:tcPr>
            <w:tcW w:w="732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总分（100分）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=SUM(H23:H45)</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=SUM(I23:I45)</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558"/>
          <w:jc w:val="center"/>
        </w:trPr>
        <w:tc>
          <w:tcPr>
            <w:tcW w:w="1995" w:type="dxa"/>
            <w:h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w="1524" w:type="dxa"/>
            <w:tcBorders>
              <w:top w:val="single" w:sz="4" w:space="0" w:color="000000"/>
            </w:tcBorders>
            <w:shd w:val="clear" w:color="auto" w:fill="FFFFFF"/>
            <w:vAlign w:val="center"/>
          </w:tcPr>
          <w:p>
            <w:pPr>
              <w:snapToGrid w:val="0"/>
              <w:spacing w:before="0" w:beforeAutospacing="0" w:after="0" w:afterAutospacing="0" w:line="240" w:lineRule="auto"/>
            </w:pPr>
          </w:p>
        </w:tc>
        <w:tc>
          <w:tcPr>
            <w:tcW w:w="1233" w:type="dxa"/>
            <w:tcBorders>
              <w:top w:val="single" w:sz="4" w:space="0" w:color="000000"/>
            </w:tcBorders>
            <w:shd w:val="clear" w:color="auto" w:fill="auto"/>
            <w:vAlign w:val="bottom"/>
          </w:tcPr>
          <w:p>
            <w:pPr>
              <w:snapToGrid w:val="0"/>
              <w:spacing w:before="0" w:beforeAutospacing="0" w:after="0" w:afterAutospacing="0" w:line="240" w:lineRule="auto"/>
            </w:pPr>
          </w:p>
        </w:tc>
        <w:tc>
          <w:tcPr>
            <w:tcW w:w="1261" w:type="dxa"/>
            <w:tcBorders>
              <w:top w:val="single" w:sz="4" w:space="0" w:color="000000"/>
            </w:tcBorders>
            <w:shd w:val="clear" w:color="auto" w:fill="auto"/>
            <w:vAlign w:val="bottom"/>
          </w:tcPr>
          <w:p>
            <w:pPr>
              <w:snapToGrid w:val="0"/>
              <w:spacing w:before="0" w:beforeAutospacing="0" w:after="0" w:afterAutospacing="0" w:line="240" w:lineRule="auto"/>
            </w:pPr>
          </w:p>
        </w:tc>
        <w:tc>
          <w:tcPr>
            <w:tcW w:w="1316" w:type="dxa"/>
            <w:tcBorders>
              <w:top w:val="single" w:sz="4" w:space="0" w:color="000000"/>
            </w:tcBorders>
            <w:shd w:val="clear" w:color="auto" w:fill="auto"/>
            <w:vAlign w:val="bottom"/>
          </w:tcPr>
          <w:p>
            <w:pPr>
              <w:snapToGrid w:val="0"/>
              <w:spacing w:before="0" w:beforeAutospacing="0" w:after="0" w:afterAutospacing="0" w:line="240" w:lineRule="auto"/>
            </w:pPr>
          </w:p>
        </w:tc>
        <w:tc>
          <w:tcPr>
            <w:tcW w:w="471" w:type="dxa"/>
            <w:tcBorders>
              <w:top w:val="single" w:sz="4" w:space="0" w:color="000000"/>
            </w:tcBorders>
            <w:shd w:val="clear" w:color="auto" w:fill="auto"/>
            <w:vAlign w:val="bottom"/>
          </w:tcPr>
          <w:p>
            <w:pPr>
              <w:snapToGrid w:val="0"/>
              <w:spacing w:before="0" w:beforeAutospacing="0" w:after="0" w:afterAutospacing="0" w:line="240" w:lineRule="auto"/>
            </w:pPr>
          </w:p>
        </w:tc>
        <w:tc>
          <w:tcPr>
            <w:tcW w:w="1025" w:type="dxa"/>
            <w:tcBorders>
              <w:top w:val="single" w:sz="4" w:space="0" w:color="000000"/>
            </w:tcBorders>
            <w:shd w:val="clear" w:color="auto" w:fill="auto"/>
            <w:vAlign w:val="bottom"/>
          </w:tcPr>
          <w:p>
            <w:pPr>
              <w:snapToGrid w:val="0"/>
              <w:spacing w:before="0" w:beforeAutospacing="0" w:after="0" w:afterAutospacing="0" w:line="240" w:lineRule="auto"/>
            </w:pPr>
          </w:p>
        </w:tc>
        <w:tc>
          <w:tcPr>
            <w:tcW w:w="1081" w:type="dxa"/>
            <w:tcBorders>
              <w:top w:val="single" w:sz="4" w:space="0" w:color="000000"/>
            </w:tcBorders>
            <w:shd w:val="clear" w:color="auto" w:fill="auto"/>
            <w:vAlign w:val="bottom"/>
          </w:tcPr>
          <w:p>
            <w:pPr>
              <w:snapToGrid w:val="0"/>
              <w:spacing w:before="0" w:beforeAutospacing="0" w:after="0" w:afterAutospacing="0" w:line="240" w:lineRule="auto"/>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0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