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许昌市国土资源局经济开发区分局长村张所</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许昌市国土资源局经济开发区分局长村张所</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许昌市国土资源局经济开发区分局长村张所概况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主要职责：贯彻执行国家有关土地政策、法规；做好辖区内国土资源管理、动态执法巡查工作；协助实施开发区范围内的国土规划、土地利用总体规划、国土及国土资源专项规划；负责长村张辖区土地行政执法和土地规划的执行；协助上级查处违法案件、调处土地权属纠纷；协助上级土地资源调查，土地统计和动态监测；协助做好地籍调查、土地确权登记等工作。</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许昌市国土资源局经济开发区分局长村张所</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许昌市国土资源局经济开发区分局长村张所</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许昌市国土资源局经济开发区分局长村张所</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单位：许昌市国土资源局经济开发区分局长村张所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78.93</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3.27</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6.69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4.23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60.99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3.74</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78.93</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78.93</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78.93</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78.93</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单位：许昌市国土资源局经济开发区分局长村张所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78.93</w:t>
            </w:r>
          </w:p>
        </w:tc>
        <w:tc>
          <w:tcPr>
            <w:tcW w:w="1440" w:type="dxa"/>
            <w:tcBorders/>
            <w:vAlign w:val="center"/>
          </w:tcPr>
          <w:p>
            <w:pPr>
              <w:jc w:val="right"/>
            </w:pPr>
            <w:r>
              <w:rPr>
                <w:rFonts w:ascii="宋体" w:eastAsia="宋体" w:hAnsi="宋体" w:cs="宋体"/>
                <w:b/>
                <w:i w:val="0"/>
                <w:color w:val="000000"/>
                <w:sz w:val="17"/>
              </w:rPr>
              <w:t xml:space="preserve">78.93</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3.27</w:t>
            </w:r>
          </w:p>
        </w:tc>
        <w:tc>
          <w:tcPr>
            <w:tcW w:w="1440" w:type="dxa"/>
            <w:tcBorders/>
            <w:vAlign w:val="center"/>
          </w:tcPr>
          <w:p>
            <w:pPr>
              <w:jc w:val="right"/>
            </w:pPr>
            <w:r>
              <w:rPr>
                <w:rFonts w:ascii="宋体" w:eastAsia="宋体" w:hAnsi="宋体" w:cs="宋体"/>
                <w:b w:val="0"/>
                <w:i w:val="0"/>
                <w:color w:val="000000"/>
                <w:sz w:val="17"/>
              </w:rPr>
              <w:t xml:space="preserve">3.27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0.34</w:t>
            </w:r>
          </w:p>
        </w:tc>
        <w:tc>
          <w:tcPr>
            <w:tcW w:w="1440" w:type="dxa"/>
            <w:tcBorders/>
            <w:vAlign w:val="center"/>
          </w:tcPr>
          <w:p>
            <w:pPr>
              <w:jc w:val="right"/>
            </w:pPr>
            <w:r>
              <w:rPr>
                <w:rFonts w:ascii="宋体" w:eastAsia="宋体" w:hAnsi="宋体" w:cs="宋体"/>
                <w:b w:val="0"/>
                <w:i w:val="0"/>
                <w:color w:val="000000"/>
                <w:sz w:val="17"/>
              </w:rPr>
              <w:t xml:space="preserve">0.34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0.34</w:t>
            </w:r>
          </w:p>
        </w:tc>
        <w:tc>
          <w:tcPr>
            <w:tcW w:w="1440" w:type="dxa"/>
            <w:tcBorders/>
            <w:vAlign w:val="center"/>
          </w:tcPr>
          <w:p>
            <w:pPr>
              <w:jc w:val="right"/>
            </w:pPr>
            <w:r>
              <w:rPr>
                <w:rFonts w:ascii="宋体" w:eastAsia="宋体" w:hAnsi="宋体" w:cs="宋体"/>
                <w:b w:val="0"/>
                <w:i w:val="0"/>
                <w:color w:val="000000"/>
                <w:sz w:val="17"/>
              </w:rPr>
              <w:t xml:space="preserve">0.34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2.93</w:t>
            </w:r>
          </w:p>
        </w:tc>
        <w:tc>
          <w:tcPr>
            <w:tcW w:w="1440" w:type="dxa"/>
            <w:tcBorders/>
            <w:vAlign w:val="center"/>
          </w:tcPr>
          <w:p>
            <w:pPr>
              <w:jc w:val="right"/>
            </w:pPr>
            <w:r>
              <w:rPr>
                <w:rFonts w:ascii="宋体" w:eastAsia="宋体" w:hAnsi="宋体" w:cs="宋体"/>
                <w:b w:val="0"/>
                <w:i w:val="0"/>
                <w:color w:val="000000"/>
                <w:sz w:val="17"/>
              </w:rPr>
              <w:t xml:space="preserve">2.93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2.93</w:t>
            </w:r>
          </w:p>
        </w:tc>
        <w:tc>
          <w:tcPr>
            <w:tcW w:w="1440" w:type="dxa"/>
            <w:tcBorders/>
            <w:vAlign w:val="center"/>
          </w:tcPr>
          <w:p>
            <w:pPr>
              <w:jc w:val="right"/>
            </w:pPr>
            <w:r>
              <w:rPr>
                <w:rFonts w:ascii="宋体" w:eastAsia="宋体" w:hAnsi="宋体" w:cs="宋体"/>
                <w:b w:val="0"/>
                <w:i w:val="0"/>
                <w:color w:val="000000"/>
                <w:sz w:val="17"/>
              </w:rPr>
              <w:t xml:space="preserve">2.93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6.69</w:t>
            </w:r>
          </w:p>
        </w:tc>
        <w:tc>
          <w:tcPr>
            <w:tcW w:w="1440" w:type="dxa"/>
            <w:tcBorders/>
            <w:vAlign w:val="center"/>
          </w:tcPr>
          <w:p>
            <w:pPr>
              <w:jc w:val="right"/>
            </w:pPr>
            <w:r>
              <w:rPr>
                <w:rFonts w:ascii="宋体" w:eastAsia="宋体" w:hAnsi="宋体" w:cs="宋体"/>
                <w:b w:val="0"/>
                <w:i w:val="0"/>
                <w:color w:val="000000"/>
                <w:sz w:val="17"/>
              </w:rPr>
              <w:t xml:space="preserve">6.69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6.69</w:t>
            </w:r>
          </w:p>
        </w:tc>
        <w:tc>
          <w:tcPr>
            <w:tcW w:w="1440" w:type="dxa"/>
            <w:tcBorders/>
            <w:vAlign w:val="center"/>
          </w:tcPr>
          <w:p>
            <w:pPr>
              <w:jc w:val="right"/>
            </w:pPr>
            <w:r>
              <w:rPr>
                <w:rFonts w:ascii="宋体" w:eastAsia="宋体" w:hAnsi="宋体" w:cs="宋体"/>
                <w:b w:val="0"/>
                <w:i w:val="0"/>
                <w:color w:val="000000"/>
                <w:sz w:val="17"/>
              </w:rPr>
              <w:t xml:space="preserve">6.69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2.65</w:t>
            </w:r>
          </w:p>
        </w:tc>
        <w:tc>
          <w:tcPr>
            <w:tcW w:w="1440" w:type="dxa"/>
            <w:tcBorders/>
            <w:vAlign w:val="center"/>
          </w:tcPr>
          <w:p>
            <w:pPr>
              <w:jc w:val="right"/>
            </w:pPr>
            <w:r>
              <w:rPr>
                <w:rFonts w:ascii="宋体" w:eastAsia="宋体" w:hAnsi="宋体" w:cs="宋体"/>
                <w:b w:val="0"/>
                <w:i w:val="0"/>
                <w:color w:val="000000"/>
                <w:sz w:val="17"/>
              </w:rPr>
              <w:t xml:space="preserve">2.65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4.05</w:t>
            </w:r>
          </w:p>
        </w:tc>
        <w:tc>
          <w:tcPr>
            <w:tcW w:w="1440" w:type="dxa"/>
            <w:tcBorders/>
            <w:vAlign w:val="center"/>
          </w:tcPr>
          <w:p>
            <w:pPr>
              <w:jc w:val="right"/>
            </w:pPr>
            <w:r>
              <w:rPr>
                <w:rFonts w:ascii="宋体" w:eastAsia="宋体" w:hAnsi="宋体" w:cs="宋体"/>
                <w:b w:val="0"/>
                <w:i w:val="0"/>
                <w:color w:val="000000"/>
                <w:sz w:val="17"/>
              </w:rPr>
              <w:t xml:space="preserve">4.05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4.23</w:t>
            </w:r>
          </w:p>
        </w:tc>
        <w:tc>
          <w:tcPr>
            <w:tcW w:w="1440" w:type="dxa"/>
            <w:tcBorders/>
            <w:vAlign w:val="center"/>
          </w:tcPr>
          <w:p>
            <w:pPr>
              <w:jc w:val="right"/>
            </w:pPr>
            <w:r>
              <w:rPr>
                <w:rFonts w:ascii="宋体" w:eastAsia="宋体" w:hAnsi="宋体" w:cs="宋体"/>
                <w:b w:val="0"/>
                <w:i w:val="0"/>
                <w:color w:val="000000"/>
                <w:sz w:val="17"/>
              </w:rPr>
              <w:t xml:space="preserve">4.23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4.23</w:t>
            </w:r>
          </w:p>
        </w:tc>
        <w:tc>
          <w:tcPr>
            <w:tcW w:w="1440" w:type="dxa"/>
            <w:tcBorders/>
            <w:vAlign w:val="center"/>
          </w:tcPr>
          <w:p>
            <w:pPr>
              <w:jc w:val="right"/>
            </w:pPr>
            <w:r>
              <w:rPr>
                <w:rFonts w:ascii="宋体" w:eastAsia="宋体" w:hAnsi="宋体" w:cs="宋体"/>
                <w:b w:val="0"/>
                <w:i w:val="0"/>
                <w:color w:val="000000"/>
                <w:sz w:val="17"/>
              </w:rPr>
              <w:t xml:space="preserve">4.23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2.00</w:t>
            </w:r>
          </w:p>
        </w:tc>
        <w:tc>
          <w:tcPr>
            <w:tcW w:w="1440" w:type="dxa"/>
            <w:tcBorders/>
            <w:vAlign w:val="center"/>
          </w:tcPr>
          <w:p>
            <w:pPr>
              <w:jc w:val="right"/>
            </w:pPr>
            <w:r>
              <w:rPr>
                <w:rFonts w:ascii="宋体" w:eastAsia="宋体" w:hAnsi="宋体" w:cs="宋体"/>
                <w:b w:val="0"/>
                <w:i w:val="0"/>
                <w:color w:val="000000"/>
                <w:sz w:val="17"/>
              </w:rPr>
              <w:t xml:space="preserve">2.00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2.23</w:t>
            </w:r>
          </w:p>
        </w:tc>
        <w:tc>
          <w:tcPr>
            <w:tcW w:w="1440" w:type="dxa"/>
            <w:tcBorders/>
            <w:vAlign w:val="center"/>
          </w:tcPr>
          <w:p>
            <w:pPr>
              <w:jc w:val="right"/>
            </w:pPr>
            <w:r>
              <w:rPr>
                <w:rFonts w:ascii="宋体" w:eastAsia="宋体" w:hAnsi="宋体" w:cs="宋体"/>
                <w:b w:val="0"/>
                <w:i w:val="0"/>
                <w:color w:val="000000"/>
                <w:sz w:val="17"/>
              </w:rPr>
              <w:t xml:space="preserve">2.23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城乡社区支出</w:t>
            </w:r>
          </w:p>
        </w:tc>
        <w:tc>
          <w:tcPr>
            <w:tcW w:w="1440" w:type="dxa"/>
            <w:tcBorders/>
            <w:vAlign w:val="center"/>
          </w:tcPr>
          <w:p>
            <w:pPr>
              <w:jc w:val="right"/>
            </w:pPr>
            <w:r>
              <w:rPr>
                <w:rFonts w:ascii="宋体" w:eastAsia="宋体" w:hAnsi="宋体" w:cs="宋体"/>
                <w:b w:val="0"/>
                <w:i w:val="0"/>
                <w:color w:val="000000"/>
                <w:sz w:val="17"/>
              </w:rPr>
              <w:t xml:space="preserve">60.99</w:t>
            </w:r>
          </w:p>
        </w:tc>
        <w:tc>
          <w:tcPr>
            <w:tcW w:w="1440" w:type="dxa"/>
            <w:tcBorders/>
            <w:vAlign w:val="center"/>
          </w:tcPr>
          <w:p>
            <w:pPr>
              <w:jc w:val="right"/>
            </w:pPr>
            <w:r>
              <w:rPr>
                <w:rFonts w:ascii="宋体" w:eastAsia="宋体" w:hAnsi="宋体" w:cs="宋体"/>
                <w:b w:val="0"/>
                <w:i w:val="0"/>
                <w:color w:val="000000"/>
                <w:sz w:val="17"/>
              </w:rPr>
              <w:t xml:space="preserve">60.99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城乡社区管理事务</w:t>
            </w:r>
          </w:p>
        </w:tc>
        <w:tc>
          <w:tcPr>
            <w:tcW w:w="1440" w:type="dxa"/>
            <w:tcBorders/>
            <w:vAlign w:val="center"/>
          </w:tcPr>
          <w:p>
            <w:pPr>
              <w:jc w:val="right"/>
            </w:pPr>
            <w:r>
              <w:rPr>
                <w:rFonts w:ascii="宋体" w:eastAsia="宋体" w:hAnsi="宋体" w:cs="宋体"/>
                <w:b w:val="0"/>
                <w:i w:val="0"/>
                <w:color w:val="000000"/>
                <w:sz w:val="17"/>
              </w:rPr>
              <w:t xml:space="preserve">60.99</w:t>
            </w:r>
          </w:p>
        </w:tc>
        <w:tc>
          <w:tcPr>
            <w:tcW w:w="1440" w:type="dxa"/>
            <w:tcBorders/>
            <w:vAlign w:val="center"/>
          </w:tcPr>
          <w:p>
            <w:pPr>
              <w:jc w:val="right"/>
            </w:pPr>
            <w:r>
              <w:rPr>
                <w:rFonts w:ascii="宋体" w:eastAsia="宋体" w:hAnsi="宋体" w:cs="宋体"/>
                <w:b w:val="0"/>
                <w:i w:val="0"/>
                <w:color w:val="000000"/>
                <w:sz w:val="17"/>
              </w:rPr>
              <w:t xml:space="preserve">60.99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其他城乡社区管理事务支出</w:t>
            </w:r>
          </w:p>
        </w:tc>
        <w:tc>
          <w:tcPr>
            <w:tcW w:w="1440" w:type="dxa"/>
            <w:tcBorders/>
            <w:vAlign w:val="center"/>
          </w:tcPr>
          <w:p>
            <w:pPr>
              <w:jc w:val="right"/>
            </w:pPr>
            <w:r>
              <w:rPr>
                <w:rFonts w:ascii="宋体" w:eastAsia="宋体" w:hAnsi="宋体" w:cs="宋体"/>
                <w:b w:val="0"/>
                <w:i w:val="0"/>
                <w:color w:val="000000"/>
                <w:sz w:val="17"/>
              </w:rPr>
              <w:t xml:space="preserve">60.99</w:t>
            </w:r>
          </w:p>
        </w:tc>
        <w:tc>
          <w:tcPr>
            <w:tcW w:w="1440" w:type="dxa"/>
            <w:tcBorders/>
            <w:vAlign w:val="center"/>
          </w:tcPr>
          <w:p>
            <w:pPr>
              <w:jc w:val="right"/>
            </w:pPr>
            <w:r>
              <w:rPr>
                <w:rFonts w:ascii="宋体" w:eastAsia="宋体" w:hAnsi="宋体" w:cs="宋体"/>
                <w:b w:val="0"/>
                <w:i w:val="0"/>
                <w:color w:val="000000"/>
                <w:sz w:val="17"/>
              </w:rPr>
              <w:t xml:space="preserve">60.99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3.74</w:t>
            </w:r>
          </w:p>
        </w:tc>
        <w:tc>
          <w:tcPr>
            <w:tcW w:w="1440" w:type="dxa"/>
            <w:tcBorders/>
            <w:vAlign w:val="center"/>
          </w:tcPr>
          <w:p>
            <w:pPr>
              <w:jc w:val="right"/>
            </w:pPr>
            <w:r>
              <w:rPr>
                <w:rFonts w:ascii="宋体" w:eastAsia="宋体" w:hAnsi="宋体" w:cs="宋体"/>
                <w:b w:val="0"/>
                <w:i w:val="0"/>
                <w:color w:val="000000"/>
                <w:sz w:val="17"/>
              </w:rPr>
              <w:t xml:space="preserve">3.74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3.74</w:t>
            </w:r>
          </w:p>
        </w:tc>
        <w:tc>
          <w:tcPr>
            <w:tcW w:w="1440" w:type="dxa"/>
            <w:tcBorders/>
            <w:vAlign w:val="center"/>
          </w:tcPr>
          <w:p>
            <w:pPr>
              <w:jc w:val="right"/>
            </w:pPr>
            <w:r>
              <w:rPr>
                <w:rFonts w:ascii="宋体" w:eastAsia="宋体" w:hAnsi="宋体" w:cs="宋体"/>
                <w:b w:val="0"/>
                <w:i w:val="0"/>
                <w:color w:val="000000"/>
                <w:sz w:val="17"/>
              </w:rPr>
              <w:t xml:space="preserve">3.74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3.74</w:t>
            </w:r>
          </w:p>
        </w:tc>
        <w:tc>
          <w:tcPr>
            <w:tcW w:w="1440" w:type="dxa"/>
            <w:tcBorders/>
            <w:vAlign w:val="center"/>
          </w:tcPr>
          <w:p>
            <w:pPr>
              <w:jc w:val="right"/>
            </w:pPr>
            <w:r>
              <w:rPr>
                <w:rFonts w:ascii="宋体" w:eastAsia="宋体" w:hAnsi="宋体" w:cs="宋体"/>
                <w:b w:val="0"/>
                <w:i w:val="0"/>
                <w:color w:val="000000"/>
                <w:sz w:val="17"/>
              </w:rPr>
              <w:t xml:space="preserve">3.74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单位：许昌市国土资源局经济开发区分局长村张所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78.93</w:t>
            </w:r>
          </w:p>
        </w:tc>
        <w:tc>
          <w:tcPr>
            <w:tcW w:w="1600" w:type="dxa"/>
            <w:tcBorders/>
            <w:vAlign w:val="center"/>
          </w:tcPr>
          <w:p>
            <w:pPr>
              <w:jc w:val="right"/>
            </w:pPr>
            <w:r>
              <w:rPr>
                <w:rFonts w:ascii="宋体" w:eastAsia="宋体" w:hAnsi="宋体" w:cs="宋体"/>
                <w:b/>
                <w:i w:val="0"/>
                <w:color w:val="000000"/>
                <w:sz w:val="19"/>
              </w:rPr>
              <w:t xml:space="preserve">78.93</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3.27</w:t>
            </w:r>
          </w:p>
        </w:tc>
        <w:tc>
          <w:tcPr>
            <w:tcW w:w="1600" w:type="dxa"/>
            <w:tcBorders/>
            <w:vAlign w:val="center"/>
          </w:tcPr>
          <w:p>
            <w:pPr>
              <w:jc w:val="right"/>
            </w:pPr>
            <w:r>
              <w:rPr>
                <w:rFonts w:ascii="宋体" w:eastAsia="宋体" w:hAnsi="宋体" w:cs="宋体"/>
                <w:b w:val="0"/>
                <w:i w:val="0"/>
                <w:color w:val="000000"/>
                <w:sz w:val="19"/>
              </w:rPr>
              <w:t xml:space="preserve">3.27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0.34</w:t>
            </w:r>
          </w:p>
        </w:tc>
        <w:tc>
          <w:tcPr>
            <w:tcW w:w="1600" w:type="dxa"/>
            <w:tcBorders/>
            <w:vAlign w:val="center"/>
          </w:tcPr>
          <w:p>
            <w:pPr>
              <w:jc w:val="right"/>
            </w:pPr>
            <w:r>
              <w:rPr>
                <w:rFonts w:ascii="宋体" w:eastAsia="宋体" w:hAnsi="宋体" w:cs="宋体"/>
                <w:b w:val="0"/>
                <w:i w:val="0"/>
                <w:color w:val="000000"/>
                <w:sz w:val="19"/>
              </w:rPr>
              <w:t xml:space="preserve">0.34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0.34</w:t>
            </w:r>
          </w:p>
        </w:tc>
        <w:tc>
          <w:tcPr>
            <w:tcW w:w="1600" w:type="dxa"/>
            <w:tcBorders/>
            <w:vAlign w:val="center"/>
          </w:tcPr>
          <w:p>
            <w:pPr>
              <w:jc w:val="right"/>
            </w:pPr>
            <w:r>
              <w:rPr>
                <w:rFonts w:ascii="宋体" w:eastAsia="宋体" w:hAnsi="宋体" w:cs="宋体"/>
                <w:b w:val="0"/>
                <w:i w:val="0"/>
                <w:color w:val="000000"/>
                <w:sz w:val="19"/>
              </w:rPr>
              <w:t xml:space="preserve">0.34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2.93</w:t>
            </w:r>
          </w:p>
        </w:tc>
        <w:tc>
          <w:tcPr>
            <w:tcW w:w="1600" w:type="dxa"/>
            <w:tcBorders/>
            <w:vAlign w:val="center"/>
          </w:tcPr>
          <w:p>
            <w:pPr>
              <w:jc w:val="right"/>
            </w:pPr>
            <w:r>
              <w:rPr>
                <w:rFonts w:ascii="宋体" w:eastAsia="宋体" w:hAnsi="宋体" w:cs="宋体"/>
                <w:b w:val="0"/>
                <w:i w:val="0"/>
                <w:color w:val="000000"/>
                <w:sz w:val="19"/>
              </w:rPr>
              <w:t xml:space="preserve">2.93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2.93</w:t>
            </w:r>
          </w:p>
        </w:tc>
        <w:tc>
          <w:tcPr>
            <w:tcW w:w="1600" w:type="dxa"/>
            <w:tcBorders/>
            <w:vAlign w:val="center"/>
          </w:tcPr>
          <w:p>
            <w:pPr>
              <w:jc w:val="right"/>
            </w:pPr>
            <w:r>
              <w:rPr>
                <w:rFonts w:ascii="宋体" w:eastAsia="宋体" w:hAnsi="宋体" w:cs="宋体"/>
                <w:b w:val="0"/>
                <w:i w:val="0"/>
                <w:color w:val="000000"/>
                <w:sz w:val="19"/>
              </w:rPr>
              <w:t xml:space="preserve">2.93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6.69</w:t>
            </w:r>
          </w:p>
        </w:tc>
        <w:tc>
          <w:tcPr>
            <w:tcW w:w="1600" w:type="dxa"/>
            <w:tcBorders/>
            <w:vAlign w:val="center"/>
          </w:tcPr>
          <w:p>
            <w:pPr>
              <w:jc w:val="right"/>
            </w:pPr>
            <w:r>
              <w:rPr>
                <w:rFonts w:ascii="宋体" w:eastAsia="宋体" w:hAnsi="宋体" w:cs="宋体"/>
                <w:b w:val="0"/>
                <w:i w:val="0"/>
                <w:color w:val="000000"/>
                <w:sz w:val="19"/>
              </w:rPr>
              <w:t xml:space="preserve">6.69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6.69</w:t>
            </w:r>
          </w:p>
        </w:tc>
        <w:tc>
          <w:tcPr>
            <w:tcW w:w="1600" w:type="dxa"/>
            <w:tcBorders/>
            <w:vAlign w:val="center"/>
          </w:tcPr>
          <w:p>
            <w:pPr>
              <w:jc w:val="right"/>
            </w:pPr>
            <w:r>
              <w:rPr>
                <w:rFonts w:ascii="宋体" w:eastAsia="宋体" w:hAnsi="宋体" w:cs="宋体"/>
                <w:b w:val="0"/>
                <w:i w:val="0"/>
                <w:color w:val="000000"/>
                <w:sz w:val="19"/>
              </w:rPr>
              <w:t xml:space="preserve">6.69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2.65</w:t>
            </w:r>
          </w:p>
        </w:tc>
        <w:tc>
          <w:tcPr>
            <w:tcW w:w="1600" w:type="dxa"/>
            <w:tcBorders/>
            <w:vAlign w:val="center"/>
          </w:tcPr>
          <w:p>
            <w:pPr>
              <w:jc w:val="right"/>
            </w:pPr>
            <w:r>
              <w:rPr>
                <w:rFonts w:ascii="宋体" w:eastAsia="宋体" w:hAnsi="宋体" w:cs="宋体"/>
                <w:b w:val="0"/>
                <w:i w:val="0"/>
                <w:color w:val="000000"/>
                <w:sz w:val="19"/>
              </w:rPr>
              <w:t xml:space="preserve">2.65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4.05</w:t>
            </w:r>
          </w:p>
        </w:tc>
        <w:tc>
          <w:tcPr>
            <w:tcW w:w="1600" w:type="dxa"/>
            <w:tcBorders/>
            <w:vAlign w:val="center"/>
          </w:tcPr>
          <w:p>
            <w:pPr>
              <w:jc w:val="right"/>
            </w:pPr>
            <w:r>
              <w:rPr>
                <w:rFonts w:ascii="宋体" w:eastAsia="宋体" w:hAnsi="宋体" w:cs="宋体"/>
                <w:b w:val="0"/>
                <w:i w:val="0"/>
                <w:color w:val="000000"/>
                <w:sz w:val="19"/>
              </w:rPr>
              <w:t xml:space="preserve">4.05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4.23</w:t>
            </w:r>
          </w:p>
        </w:tc>
        <w:tc>
          <w:tcPr>
            <w:tcW w:w="1600" w:type="dxa"/>
            <w:tcBorders/>
            <w:vAlign w:val="center"/>
          </w:tcPr>
          <w:p>
            <w:pPr>
              <w:jc w:val="right"/>
            </w:pPr>
            <w:r>
              <w:rPr>
                <w:rFonts w:ascii="宋体" w:eastAsia="宋体" w:hAnsi="宋体" w:cs="宋体"/>
                <w:b w:val="0"/>
                <w:i w:val="0"/>
                <w:color w:val="000000"/>
                <w:sz w:val="19"/>
              </w:rPr>
              <w:t xml:space="preserve">4.23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4.23</w:t>
            </w:r>
          </w:p>
        </w:tc>
        <w:tc>
          <w:tcPr>
            <w:tcW w:w="1600" w:type="dxa"/>
            <w:tcBorders/>
            <w:vAlign w:val="center"/>
          </w:tcPr>
          <w:p>
            <w:pPr>
              <w:jc w:val="right"/>
            </w:pPr>
            <w:r>
              <w:rPr>
                <w:rFonts w:ascii="宋体" w:eastAsia="宋体" w:hAnsi="宋体" w:cs="宋体"/>
                <w:b w:val="0"/>
                <w:i w:val="0"/>
                <w:color w:val="000000"/>
                <w:sz w:val="19"/>
              </w:rPr>
              <w:t xml:space="preserve">4.23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2.00</w:t>
            </w:r>
          </w:p>
        </w:tc>
        <w:tc>
          <w:tcPr>
            <w:tcW w:w="1600" w:type="dxa"/>
            <w:tcBorders/>
            <w:vAlign w:val="center"/>
          </w:tcPr>
          <w:p>
            <w:pPr>
              <w:jc w:val="right"/>
            </w:pPr>
            <w:r>
              <w:rPr>
                <w:rFonts w:ascii="宋体" w:eastAsia="宋体" w:hAnsi="宋体" w:cs="宋体"/>
                <w:b w:val="0"/>
                <w:i w:val="0"/>
                <w:color w:val="000000"/>
                <w:sz w:val="19"/>
              </w:rPr>
              <w:t xml:space="preserve">2.00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2.23</w:t>
            </w:r>
          </w:p>
        </w:tc>
        <w:tc>
          <w:tcPr>
            <w:tcW w:w="1600" w:type="dxa"/>
            <w:tcBorders/>
            <w:vAlign w:val="center"/>
          </w:tcPr>
          <w:p>
            <w:pPr>
              <w:jc w:val="right"/>
            </w:pPr>
            <w:r>
              <w:rPr>
                <w:rFonts w:ascii="宋体" w:eastAsia="宋体" w:hAnsi="宋体" w:cs="宋体"/>
                <w:b w:val="0"/>
                <w:i w:val="0"/>
                <w:color w:val="000000"/>
                <w:sz w:val="19"/>
              </w:rPr>
              <w:t xml:space="preserve">2.23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城乡社区支出</w:t>
            </w:r>
          </w:p>
        </w:tc>
        <w:tc>
          <w:tcPr>
            <w:tcW w:w="1600" w:type="dxa"/>
            <w:tcBorders/>
            <w:vAlign w:val="center"/>
          </w:tcPr>
          <w:p>
            <w:pPr>
              <w:jc w:val="right"/>
            </w:pPr>
            <w:r>
              <w:rPr>
                <w:rFonts w:ascii="宋体" w:eastAsia="宋体" w:hAnsi="宋体" w:cs="宋体"/>
                <w:b w:val="0"/>
                <w:i w:val="0"/>
                <w:color w:val="000000"/>
                <w:sz w:val="19"/>
              </w:rPr>
              <w:t xml:space="preserve">60.99</w:t>
            </w:r>
          </w:p>
        </w:tc>
        <w:tc>
          <w:tcPr>
            <w:tcW w:w="1600" w:type="dxa"/>
            <w:tcBorders/>
            <w:vAlign w:val="center"/>
          </w:tcPr>
          <w:p>
            <w:pPr>
              <w:jc w:val="right"/>
            </w:pPr>
            <w:r>
              <w:rPr>
                <w:rFonts w:ascii="宋体" w:eastAsia="宋体" w:hAnsi="宋体" w:cs="宋体"/>
                <w:b w:val="0"/>
                <w:i w:val="0"/>
                <w:color w:val="000000"/>
                <w:sz w:val="19"/>
              </w:rPr>
              <w:t xml:space="preserve">60.99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城乡社区管理事务</w:t>
            </w:r>
          </w:p>
        </w:tc>
        <w:tc>
          <w:tcPr>
            <w:tcW w:w="1600" w:type="dxa"/>
            <w:tcBorders/>
            <w:vAlign w:val="center"/>
          </w:tcPr>
          <w:p>
            <w:pPr>
              <w:jc w:val="right"/>
            </w:pPr>
            <w:r>
              <w:rPr>
                <w:rFonts w:ascii="宋体" w:eastAsia="宋体" w:hAnsi="宋体" w:cs="宋体"/>
                <w:b w:val="0"/>
                <w:i w:val="0"/>
                <w:color w:val="000000"/>
                <w:sz w:val="19"/>
              </w:rPr>
              <w:t xml:space="preserve">60.99</w:t>
            </w:r>
          </w:p>
        </w:tc>
        <w:tc>
          <w:tcPr>
            <w:tcW w:w="1600" w:type="dxa"/>
            <w:tcBorders/>
            <w:vAlign w:val="center"/>
          </w:tcPr>
          <w:p>
            <w:pPr>
              <w:jc w:val="right"/>
            </w:pPr>
            <w:r>
              <w:rPr>
                <w:rFonts w:ascii="宋体" w:eastAsia="宋体" w:hAnsi="宋体" w:cs="宋体"/>
                <w:b w:val="0"/>
                <w:i w:val="0"/>
                <w:color w:val="000000"/>
                <w:sz w:val="19"/>
              </w:rPr>
              <w:t xml:space="preserve">60.99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其他城乡社区管理事务支出</w:t>
            </w:r>
          </w:p>
        </w:tc>
        <w:tc>
          <w:tcPr>
            <w:tcW w:w="1600" w:type="dxa"/>
            <w:tcBorders/>
            <w:vAlign w:val="center"/>
          </w:tcPr>
          <w:p>
            <w:pPr>
              <w:jc w:val="right"/>
            </w:pPr>
            <w:r>
              <w:rPr>
                <w:rFonts w:ascii="宋体" w:eastAsia="宋体" w:hAnsi="宋体" w:cs="宋体"/>
                <w:b w:val="0"/>
                <w:i w:val="0"/>
                <w:color w:val="000000"/>
                <w:sz w:val="19"/>
              </w:rPr>
              <w:t xml:space="preserve">60.99</w:t>
            </w:r>
          </w:p>
        </w:tc>
        <w:tc>
          <w:tcPr>
            <w:tcW w:w="1600" w:type="dxa"/>
            <w:tcBorders/>
            <w:vAlign w:val="center"/>
          </w:tcPr>
          <w:p>
            <w:pPr>
              <w:jc w:val="right"/>
            </w:pPr>
            <w:r>
              <w:rPr>
                <w:rFonts w:ascii="宋体" w:eastAsia="宋体" w:hAnsi="宋体" w:cs="宋体"/>
                <w:b w:val="0"/>
                <w:i w:val="0"/>
                <w:color w:val="000000"/>
                <w:sz w:val="19"/>
              </w:rPr>
              <w:t xml:space="preserve">60.99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3.74</w:t>
            </w:r>
          </w:p>
        </w:tc>
        <w:tc>
          <w:tcPr>
            <w:tcW w:w="1600" w:type="dxa"/>
            <w:tcBorders/>
            <w:vAlign w:val="center"/>
          </w:tcPr>
          <w:p>
            <w:pPr>
              <w:jc w:val="right"/>
            </w:pPr>
            <w:r>
              <w:rPr>
                <w:rFonts w:ascii="宋体" w:eastAsia="宋体" w:hAnsi="宋体" w:cs="宋体"/>
                <w:b w:val="0"/>
                <w:i w:val="0"/>
                <w:color w:val="000000"/>
                <w:sz w:val="19"/>
              </w:rPr>
              <w:t xml:space="preserve">3.74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3.74</w:t>
            </w:r>
          </w:p>
        </w:tc>
        <w:tc>
          <w:tcPr>
            <w:tcW w:w="1600" w:type="dxa"/>
            <w:tcBorders/>
            <w:vAlign w:val="center"/>
          </w:tcPr>
          <w:p>
            <w:pPr>
              <w:jc w:val="right"/>
            </w:pPr>
            <w:r>
              <w:rPr>
                <w:rFonts w:ascii="宋体" w:eastAsia="宋体" w:hAnsi="宋体" w:cs="宋体"/>
                <w:b w:val="0"/>
                <w:i w:val="0"/>
                <w:color w:val="000000"/>
                <w:sz w:val="19"/>
              </w:rPr>
              <w:t xml:space="preserve">3.74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3.74</w:t>
            </w:r>
          </w:p>
        </w:tc>
        <w:tc>
          <w:tcPr>
            <w:tcW w:w="1600" w:type="dxa"/>
            <w:tcBorders/>
            <w:vAlign w:val="center"/>
          </w:tcPr>
          <w:p>
            <w:pPr>
              <w:jc w:val="right"/>
            </w:pPr>
            <w:r>
              <w:rPr>
                <w:rFonts w:ascii="宋体" w:eastAsia="宋体" w:hAnsi="宋体" w:cs="宋体"/>
                <w:b w:val="0"/>
                <w:i w:val="0"/>
                <w:color w:val="000000"/>
                <w:sz w:val="19"/>
              </w:rPr>
              <w:t xml:space="preserve">3.74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单位：许昌市国土资源局经济开发区分局长村张所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78.93</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3.27</w:t>
            </w:r>
          </w:p>
        </w:tc>
        <w:tc>
          <w:tcPr>
            <w:tcW w:w="1420" w:type="dxa"/>
            <w:tcBorders/>
            <w:vAlign w:val="center"/>
          </w:tcPr>
          <w:p>
            <w:pPr>
              <w:jc w:val="right"/>
            </w:pPr>
            <w:r>
              <w:rPr>
                <w:rFonts w:ascii="宋体" w:eastAsia="宋体" w:hAnsi="宋体" w:cs="宋体"/>
                <w:b w:val="0"/>
                <w:i w:val="0"/>
                <w:color w:val="000000"/>
                <w:sz w:val="18"/>
              </w:rPr>
              <w:t xml:space="preserve">3.27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6.69</w:t>
            </w:r>
          </w:p>
        </w:tc>
        <w:tc>
          <w:tcPr>
            <w:tcW w:w="1420" w:type="dxa"/>
            <w:tcBorders/>
            <w:vAlign w:val="center"/>
          </w:tcPr>
          <w:p>
            <w:pPr>
              <w:jc w:val="right"/>
            </w:pPr>
            <w:r>
              <w:rPr>
                <w:rFonts w:ascii="宋体" w:eastAsia="宋体" w:hAnsi="宋体" w:cs="宋体"/>
                <w:b w:val="0"/>
                <w:i w:val="0"/>
                <w:color w:val="000000"/>
                <w:sz w:val="18"/>
              </w:rPr>
              <w:t xml:space="preserve">6.69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4.23</w:t>
            </w:r>
          </w:p>
        </w:tc>
        <w:tc>
          <w:tcPr>
            <w:tcW w:w="1420" w:type="dxa"/>
            <w:tcBorders/>
            <w:vAlign w:val="center"/>
          </w:tcPr>
          <w:p>
            <w:pPr>
              <w:jc w:val="right"/>
            </w:pPr>
            <w:r>
              <w:rPr>
                <w:rFonts w:ascii="宋体" w:eastAsia="宋体" w:hAnsi="宋体" w:cs="宋体"/>
                <w:b w:val="0"/>
                <w:i w:val="0"/>
                <w:color w:val="000000"/>
                <w:sz w:val="18"/>
              </w:rPr>
              <w:t xml:space="preserve">4.23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60.99</w:t>
            </w:r>
          </w:p>
        </w:tc>
        <w:tc>
          <w:tcPr>
            <w:tcW w:w="1420" w:type="dxa"/>
            <w:tcBorders/>
            <w:vAlign w:val="center"/>
          </w:tcPr>
          <w:p>
            <w:pPr>
              <w:jc w:val="right"/>
            </w:pPr>
            <w:r>
              <w:rPr>
                <w:rFonts w:ascii="宋体" w:eastAsia="宋体" w:hAnsi="宋体" w:cs="宋体"/>
                <w:b w:val="0"/>
                <w:i w:val="0"/>
                <w:color w:val="000000"/>
                <w:sz w:val="18"/>
              </w:rPr>
              <w:t xml:space="preserve">60.99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3.74</w:t>
            </w:r>
          </w:p>
        </w:tc>
        <w:tc>
          <w:tcPr>
            <w:tcW w:w="1420" w:type="dxa"/>
            <w:tcBorders/>
            <w:vAlign w:val="center"/>
          </w:tcPr>
          <w:p>
            <w:pPr>
              <w:jc w:val="right"/>
            </w:pPr>
            <w:r>
              <w:rPr>
                <w:rFonts w:ascii="宋体" w:eastAsia="宋体" w:hAnsi="宋体" w:cs="宋体"/>
                <w:b w:val="0"/>
                <w:i w:val="0"/>
                <w:color w:val="000000"/>
                <w:sz w:val="18"/>
              </w:rPr>
              <w:t xml:space="preserve">3.74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78.93</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78.93</w:t>
            </w:r>
          </w:p>
        </w:tc>
        <w:tc>
          <w:tcPr>
            <w:tcW w:w="1420" w:type="dxa"/>
            <w:tcBorders/>
            <w:vAlign w:val="center"/>
          </w:tcPr>
          <w:p>
            <w:pPr>
              <w:jc w:val="right"/>
            </w:pPr>
            <w:r>
              <w:rPr>
                <w:rFonts w:ascii="宋体" w:eastAsia="宋体" w:hAnsi="宋体" w:cs="宋体"/>
                <w:b w:val="0"/>
                <w:i w:val="0"/>
                <w:color w:val="000000"/>
                <w:sz w:val="18"/>
              </w:rPr>
              <w:t xml:space="preserve">78.93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78.93</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78.93</w:t>
            </w:r>
          </w:p>
        </w:tc>
        <w:tc>
          <w:tcPr>
            <w:tcW w:w="1420" w:type="dxa"/>
            <w:tcBorders/>
            <w:vAlign w:val="center"/>
          </w:tcPr>
          <w:p>
            <w:pPr>
              <w:jc w:val="right"/>
            </w:pPr>
            <w:r>
              <w:rPr>
                <w:rFonts w:ascii="宋体" w:eastAsia="宋体" w:hAnsi="宋体" w:cs="宋体"/>
                <w:b w:val="0"/>
                <w:i w:val="0"/>
                <w:color w:val="000000"/>
                <w:sz w:val="18"/>
              </w:rPr>
              <w:t xml:space="preserve">78.93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单位：许昌市国土资源局经济开发区分局长村张所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78.93</w:t>
            </w:r>
          </w:p>
        </w:tc>
        <w:tc>
          <w:tcPr>
            <w:tcW w:w="2700" w:type="dxa"/>
            <w:tcBorders/>
            <w:vAlign w:val="center"/>
          </w:tcPr>
          <w:p>
            <w:pPr>
              <w:jc w:val="right"/>
            </w:pPr>
            <w:r>
              <w:rPr>
                <w:rFonts w:ascii="宋体" w:eastAsia="宋体" w:hAnsi="宋体" w:cs="宋体"/>
                <w:b/>
                <w:i w:val="0"/>
                <w:color w:val="000000"/>
                <w:sz w:val="25"/>
              </w:rPr>
              <w:t xml:space="preserve">78.93</w:t>
            </w:r>
          </w:p>
        </w:tc>
        <w:tc>
          <w:tcPr>
            <w:tcW w:w="2658" w:type="dxa"/>
            <w:tcBorders/>
            <w:vAlign w:val="center"/>
          </w:tcPr>
          <w:p>
            <w:pPr>
              <w:jc w:val="right"/>
            </w:pPr>
            <w:r>
              <w:rPr>
                <w:rFonts w:ascii="宋体" w:eastAsia="宋体" w:hAnsi="宋体" w:cs="宋体"/>
                <w:b/>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3.27</w:t>
            </w:r>
          </w:p>
        </w:tc>
        <w:tc>
          <w:tcPr>
            <w:tcW w:w="2700" w:type="dxa"/>
            <w:tcBorders/>
            <w:vAlign w:val="center"/>
          </w:tcPr>
          <w:p>
            <w:pPr>
              <w:jc w:val="right"/>
            </w:pPr>
            <w:r>
              <w:rPr>
                <w:rFonts w:ascii="宋体" w:eastAsia="宋体" w:hAnsi="宋体" w:cs="宋体"/>
                <w:b w:val="0"/>
                <w:i w:val="0"/>
                <w:color w:val="000000"/>
                <w:sz w:val="25"/>
              </w:rPr>
              <w:t xml:space="preserve">3.27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0.34</w:t>
            </w:r>
          </w:p>
        </w:tc>
        <w:tc>
          <w:tcPr>
            <w:tcW w:w="2700" w:type="dxa"/>
            <w:tcBorders/>
            <w:vAlign w:val="center"/>
          </w:tcPr>
          <w:p>
            <w:pPr>
              <w:jc w:val="right"/>
            </w:pPr>
            <w:r>
              <w:rPr>
                <w:rFonts w:ascii="宋体" w:eastAsia="宋体" w:hAnsi="宋体" w:cs="宋体"/>
                <w:b w:val="0"/>
                <w:i w:val="0"/>
                <w:color w:val="000000"/>
                <w:sz w:val="25"/>
              </w:rPr>
              <w:t xml:space="preserve">0.34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0.34</w:t>
            </w:r>
          </w:p>
        </w:tc>
        <w:tc>
          <w:tcPr>
            <w:tcW w:w="2700" w:type="dxa"/>
            <w:tcBorders/>
            <w:vAlign w:val="center"/>
          </w:tcPr>
          <w:p>
            <w:pPr>
              <w:jc w:val="right"/>
            </w:pPr>
            <w:r>
              <w:rPr>
                <w:rFonts w:ascii="宋体" w:eastAsia="宋体" w:hAnsi="宋体" w:cs="宋体"/>
                <w:b w:val="0"/>
                <w:i w:val="0"/>
                <w:color w:val="000000"/>
                <w:sz w:val="25"/>
              </w:rPr>
              <w:t xml:space="preserve">0.34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2.93</w:t>
            </w:r>
          </w:p>
        </w:tc>
        <w:tc>
          <w:tcPr>
            <w:tcW w:w="2700" w:type="dxa"/>
            <w:tcBorders/>
            <w:vAlign w:val="center"/>
          </w:tcPr>
          <w:p>
            <w:pPr>
              <w:jc w:val="right"/>
            </w:pPr>
            <w:r>
              <w:rPr>
                <w:rFonts w:ascii="宋体" w:eastAsia="宋体" w:hAnsi="宋体" w:cs="宋体"/>
                <w:b w:val="0"/>
                <w:i w:val="0"/>
                <w:color w:val="000000"/>
                <w:sz w:val="25"/>
              </w:rPr>
              <w:t xml:space="preserve">2.93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2.93</w:t>
            </w:r>
          </w:p>
        </w:tc>
        <w:tc>
          <w:tcPr>
            <w:tcW w:w="2700" w:type="dxa"/>
            <w:tcBorders/>
            <w:vAlign w:val="center"/>
          </w:tcPr>
          <w:p>
            <w:pPr>
              <w:jc w:val="right"/>
            </w:pPr>
            <w:r>
              <w:rPr>
                <w:rFonts w:ascii="宋体" w:eastAsia="宋体" w:hAnsi="宋体" w:cs="宋体"/>
                <w:b w:val="0"/>
                <w:i w:val="0"/>
                <w:color w:val="000000"/>
                <w:sz w:val="25"/>
              </w:rPr>
              <w:t xml:space="preserve">2.93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6.69</w:t>
            </w:r>
          </w:p>
        </w:tc>
        <w:tc>
          <w:tcPr>
            <w:tcW w:w="2700" w:type="dxa"/>
            <w:tcBorders/>
            <w:vAlign w:val="center"/>
          </w:tcPr>
          <w:p>
            <w:pPr>
              <w:jc w:val="right"/>
            </w:pPr>
            <w:r>
              <w:rPr>
                <w:rFonts w:ascii="宋体" w:eastAsia="宋体" w:hAnsi="宋体" w:cs="宋体"/>
                <w:b w:val="0"/>
                <w:i w:val="0"/>
                <w:color w:val="000000"/>
                <w:sz w:val="25"/>
              </w:rPr>
              <w:t xml:space="preserve">6.69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6.69</w:t>
            </w:r>
          </w:p>
        </w:tc>
        <w:tc>
          <w:tcPr>
            <w:tcW w:w="2700" w:type="dxa"/>
            <w:tcBorders/>
            <w:vAlign w:val="center"/>
          </w:tcPr>
          <w:p>
            <w:pPr>
              <w:jc w:val="right"/>
            </w:pPr>
            <w:r>
              <w:rPr>
                <w:rFonts w:ascii="宋体" w:eastAsia="宋体" w:hAnsi="宋体" w:cs="宋体"/>
                <w:b w:val="0"/>
                <w:i w:val="0"/>
                <w:color w:val="000000"/>
                <w:sz w:val="25"/>
              </w:rPr>
              <w:t xml:space="preserve">6.69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2.65</w:t>
            </w:r>
          </w:p>
        </w:tc>
        <w:tc>
          <w:tcPr>
            <w:tcW w:w="2700" w:type="dxa"/>
            <w:tcBorders/>
            <w:vAlign w:val="center"/>
          </w:tcPr>
          <w:p>
            <w:pPr>
              <w:jc w:val="right"/>
            </w:pPr>
            <w:r>
              <w:rPr>
                <w:rFonts w:ascii="宋体" w:eastAsia="宋体" w:hAnsi="宋体" w:cs="宋体"/>
                <w:b w:val="0"/>
                <w:i w:val="0"/>
                <w:color w:val="000000"/>
                <w:sz w:val="25"/>
              </w:rPr>
              <w:t xml:space="preserve">2.65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4.05</w:t>
            </w:r>
          </w:p>
        </w:tc>
        <w:tc>
          <w:tcPr>
            <w:tcW w:w="2700" w:type="dxa"/>
            <w:tcBorders/>
            <w:vAlign w:val="center"/>
          </w:tcPr>
          <w:p>
            <w:pPr>
              <w:jc w:val="right"/>
            </w:pPr>
            <w:r>
              <w:rPr>
                <w:rFonts w:ascii="宋体" w:eastAsia="宋体" w:hAnsi="宋体" w:cs="宋体"/>
                <w:b w:val="0"/>
                <w:i w:val="0"/>
                <w:color w:val="000000"/>
                <w:sz w:val="25"/>
              </w:rPr>
              <w:t xml:space="preserve">4.05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4.23</w:t>
            </w:r>
          </w:p>
        </w:tc>
        <w:tc>
          <w:tcPr>
            <w:tcW w:w="2700" w:type="dxa"/>
            <w:tcBorders/>
            <w:vAlign w:val="center"/>
          </w:tcPr>
          <w:p>
            <w:pPr>
              <w:jc w:val="right"/>
            </w:pPr>
            <w:r>
              <w:rPr>
                <w:rFonts w:ascii="宋体" w:eastAsia="宋体" w:hAnsi="宋体" w:cs="宋体"/>
                <w:b w:val="0"/>
                <w:i w:val="0"/>
                <w:color w:val="000000"/>
                <w:sz w:val="25"/>
              </w:rPr>
              <w:t xml:space="preserve">4.23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4.23</w:t>
            </w:r>
          </w:p>
        </w:tc>
        <w:tc>
          <w:tcPr>
            <w:tcW w:w="2700" w:type="dxa"/>
            <w:tcBorders/>
            <w:vAlign w:val="center"/>
          </w:tcPr>
          <w:p>
            <w:pPr>
              <w:jc w:val="right"/>
            </w:pPr>
            <w:r>
              <w:rPr>
                <w:rFonts w:ascii="宋体" w:eastAsia="宋体" w:hAnsi="宋体" w:cs="宋体"/>
                <w:b w:val="0"/>
                <w:i w:val="0"/>
                <w:color w:val="000000"/>
                <w:sz w:val="25"/>
              </w:rPr>
              <w:t xml:space="preserve">4.23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2.00</w:t>
            </w:r>
          </w:p>
        </w:tc>
        <w:tc>
          <w:tcPr>
            <w:tcW w:w="2700" w:type="dxa"/>
            <w:tcBorders/>
            <w:vAlign w:val="center"/>
          </w:tcPr>
          <w:p>
            <w:pPr>
              <w:jc w:val="right"/>
            </w:pPr>
            <w:r>
              <w:rPr>
                <w:rFonts w:ascii="宋体" w:eastAsia="宋体" w:hAnsi="宋体" w:cs="宋体"/>
                <w:b w:val="0"/>
                <w:i w:val="0"/>
                <w:color w:val="000000"/>
                <w:sz w:val="25"/>
              </w:rPr>
              <w:t xml:space="preserve">2.00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2.23</w:t>
            </w:r>
          </w:p>
        </w:tc>
        <w:tc>
          <w:tcPr>
            <w:tcW w:w="2700" w:type="dxa"/>
            <w:tcBorders/>
            <w:vAlign w:val="center"/>
          </w:tcPr>
          <w:p>
            <w:pPr>
              <w:jc w:val="right"/>
            </w:pPr>
            <w:r>
              <w:rPr>
                <w:rFonts w:ascii="宋体" w:eastAsia="宋体" w:hAnsi="宋体" w:cs="宋体"/>
                <w:b w:val="0"/>
                <w:i w:val="0"/>
                <w:color w:val="000000"/>
                <w:sz w:val="25"/>
              </w:rPr>
              <w:t xml:space="preserve">2.23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城乡社区支出</w:t>
            </w:r>
          </w:p>
        </w:tc>
        <w:tc>
          <w:tcPr>
            <w:tcW w:w="2700" w:type="dxa"/>
            <w:tcBorders/>
            <w:vAlign w:val="center"/>
          </w:tcPr>
          <w:p>
            <w:pPr>
              <w:jc w:val="right"/>
            </w:pPr>
            <w:r>
              <w:rPr>
                <w:rFonts w:ascii="宋体" w:eastAsia="宋体" w:hAnsi="宋体" w:cs="宋体"/>
                <w:b w:val="0"/>
                <w:i w:val="0"/>
                <w:color w:val="000000"/>
                <w:sz w:val="25"/>
              </w:rPr>
              <w:t xml:space="preserve">60.99</w:t>
            </w:r>
          </w:p>
        </w:tc>
        <w:tc>
          <w:tcPr>
            <w:tcW w:w="2700" w:type="dxa"/>
            <w:tcBorders/>
            <w:vAlign w:val="center"/>
          </w:tcPr>
          <w:p>
            <w:pPr>
              <w:jc w:val="right"/>
            </w:pPr>
            <w:r>
              <w:rPr>
                <w:rFonts w:ascii="宋体" w:eastAsia="宋体" w:hAnsi="宋体" w:cs="宋体"/>
                <w:b w:val="0"/>
                <w:i w:val="0"/>
                <w:color w:val="000000"/>
                <w:sz w:val="25"/>
              </w:rPr>
              <w:t xml:space="preserve">60.99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城乡社区管理事务</w:t>
            </w:r>
          </w:p>
        </w:tc>
        <w:tc>
          <w:tcPr>
            <w:tcW w:w="2700" w:type="dxa"/>
            <w:tcBorders/>
            <w:vAlign w:val="center"/>
          </w:tcPr>
          <w:p>
            <w:pPr>
              <w:jc w:val="right"/>
            </w:pPr>
            <w:r>
              <w:rPr>
                <w:rFonts w:ascii="宋体" w:eastAsia="宋体" w:hAnsi="宋体" w:cs="宋体"/>
                <w:b w:val="0"/>
                <w:i w:val="0"/>
                <w:color w:val="000000"/>
                <w:sz w:val="25"/>
              </w:rPr>
              <w:t xml:space="preserve">60.99</w:t>
            </w:r>
          </w:p>
        </w:tc>
        <w:tc>
          <w:tcPr>
            <w:tcW w:w="2700" w:type="dxa"/>
            <w:tcBorders/>
            <w:vAlign w:val="center"/>
          </w:tcPr>
          <w:p>
            <w:pPr>
              <w:jc w:val="right"/>
            </w:pPr>
            <w:r>
              <w:rPr>
                <w:rFonts w:ascii="宋体" w:eastAsia="宋体" w:hAnsi="宋体" w:cs="宋体"/>
                <w:b w:val="0"/>
                <w:i w:val="0"/>
                <w:color w:val="000000"/>
                <w:sz w:val="25"/>
              </w:rPr>
              <w:t xml:space="preserve">60.99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其他城乡社区管理事务支出</w:t>
            </w:r>
          </w:p>
        </w:tc>
        <w:tc>
          <w:tcPr>
            <w:tcW w:w="2700" w:type="dxa"/>
            <w:tcBorders/>
            <w:vAlign w:val="center"/>
          </w:tcPr>
          <w:p>
            <w:pPr>
              <w:jc w:val="right"/>
            </w:pPr>
            <w:r>
              <w:rPr>
                <w:rFonts w:ascii="宋体" w:eastAsia="宋体" w:hAnsi="宋体" w:cs="宋体"/>
                <w:b w:val="0"/>
                <w:i w:val="0"/>
                <w:color w:val="000000"/>
                <w:sz w:val="25"/>
              </w:rPr>
              <w:t xml:space="preserve">60.99</w:t>
            </w:r>
          </w:p>
        </w:tc>
        <w:tc>
          <w:tcPr>
            <w:tcW w:w="2700" w:type="dxa"/>
            <w:tcBorders/>
            <w:vAlign w:val="center"/>
          </w:tcPr>
          <w:p>
            <w:pPr>
              <w:jc w:val="right"/>
            </w:pPr>
            <w:r>
              <w:rPr>
                <w:rFonts w:ascii="宋体" w:eastAsia="宋体" w:hAnsi="宋体" w:cs="宋体"/>
                <w:b w:val="0"/>
                <w:i w:val="0"/>
                <w:color w:val="000000"/>
                <w:sz w:val="25"/>
              </w:rPr>
              <w:t xml:space="preserve">60.99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3.74</w:t>
            </w:r>
          </w:p>
        </w:tc>
        <w:tc>
          <w:tcPr>
            <w:tcW w:w="2700" w:type="dxa"/>
            <w:tcBorders/>
            <w:vAlign w:val="center"/>
          </w:tcPr>
          <w:p>
            <w:pPr>
              <w:jc w:val="right"/>
            </w:pPr>
            <w:r>
              <w:rPr>
                <w:rFonts w:ascii="宋体" w:eastAsia="宋体" w:hAnsi="宋体" w:cs="宋体"/>
                <w:b w:val="0"/>
                <w:i w:val="0"/>
                <w:color w:val="000000"/>
                <w:sz w:val="25"/>
              </w:rPr>
              <w:t xml:space="preserve">3.74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3.74</w:t>
            </w:r>
          </w:p>
        </w:tc>
        <w:tc>
          <w:tcPr>
            <w:tcW w:w="2700" w:type="dxa"/>
            <w:tcBorders/>
            <w:vAlign w:val="center"/>
          </w:tcPr>
          <w:p>
            <w:pPr>
              <w:jc w:val="right"/>
            </w:pPr>
            <w:r>
              <w:rPr>
                <w:rFonts w:ascii="宋体" w:eastAsia="宋体" w:hAnsi="宋体" w:cs="宋体"/>
                <w:b w:val="0"/>
                <w:i w:val="0"/>
                <w:color w:val="000000"/>
                <w:sz w:val="25"/>
              </w:rPr>
              <w:t xml:space="preserve">3.74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3.74</w:t>
            </w:r>
          </w:p>
        </w:tc>
        <w:tc>
          <w:tcPr>
            <w:tcW w:w="2700" w:type="dxa"/>
            <w:tcBorders/>
            <w:vAlign w:val="center"/>
          </w:tcPr>
          <w:p>
            <w:pPr>
              <w:jc w:val="right"/>
            </w:pPr>
            <w:r>
              <w:rPr>
                <w:rFonts w:ascii="宋体" w:eastAsia="宋体" w:hAnsi="宋体" w:cs="宋体"/>
                <w:b w:val="0"/>
                <w:i w:val="0"/>
                <w:color w:val="000000"/>
                <w:sz w:val="25"/>
              </w:rPr>
              <w:t xml:space="preserve">3.74</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单位：许昌市国土资源局经济开发区分局长村张所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70.05</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5.33</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17.42</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2.62</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18.73</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1.26</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21.84</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4.05</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0.64</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2.00</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2.23</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0.03</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3.74</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0.05</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3.56</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2.65</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0.91</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0.34</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0.41</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73.60</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5.33</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单位：许昌市国土资源局经济开发区分局长村张所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单位：许昌市国土资源局经济开发区分局长村张所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单位：许昌市国土资源局经济开发区分局长村张所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说明：我单位没有预算安排的三公经费，也没有预算安排的三公支出，故本表无数据。</w:t>
      </w: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78.93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增加7.13万元，增长9.93%</w:t>
      </w:r>
      <w:r>
        <w:rPr>
          <w:rFonts w:ascii="仿宋" w:eastAsia="仿宋" w:hAnsi="仿宋" w:cs="仿宋" w:hint="eastAsia"/>
          <w:kern w:val="0"/>
          <w:sz w:val="32"/>
          <w:szCs w:val="32"/>
          <w:lang w:val="en-US" w:eastAsia="zh-CN"/>
        </w:rPr>
        <w:t xml:space="preserve">。主要原因是在职人员工资调标，人员经费增加，发放以前年度津补贴与奖金。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78.93</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财政拨款收入78.93万元，占100.00%；上级补助收入0.00万元，占0.00%；事业收入0.00万元，占0.00%；经营收入0.00万元，占0.00%；附属单位上缴收入0.00万元，占0.00%；其他收入0.00万元，占0.00%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78.93</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基本支出78.93万元，占100.00%；项目支出0.00万元，占0.00%；上缴上级支出0.00万元，占0.00%；经营支出0.00万元，占0.00%；对附属单位补助支出0.00万元，占0.00%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78.93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增加7.13万元，增长9.93%</w:t>
      </w:r>
      <w:r>
        <w:rPr>
          <w:rFonts w:ascii="仿宋" w:eastAsia="仿宋" w:hAnsi="仿宋" w:cs="仿宋" w:hint="eastAsia"/>
          <w:kern w:val="0"/>
          <w:sz w:val="32"/>
          <w:szCs w:val="32"/>
          <w:lang w:val="en-US" w:eastAsia="zh-CN"/>
        </w:rPr>
        <w:t xml:space="preserve">。主要原因是在职人员工资调标，人员经费增加，发放以前年度津补贴与奖金。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78.93</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增加7.13万元，增长9.93%</w:t>
      </w:r>
      <w:r>
        <w:rPr>
          <w:rFonts w:ascii="仿宋" w:eastAsia="仿宋" w:hAnsi="仿宋" w:cs="仿宋" w:hint="eastAsia"/>
          <w:kern w:val="0"/>
          <w:sz w:val="32"/>
          <w:szCs w:val="32"/>
          <w:lang w:val="en-US" w:eastAsia="zh-CN"/>
        </w:rPr>
        <w:t xml:space="preserve">。主要原因是在职人员工资调标，人员经费增加，发放以前年度津补贴与奖金。</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78.93</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一般公共服务支出（类）3.27万元，占4.14%；社会保障和就业支出（类）6.69万元，占8.48%；卫生健康支出（类）4.23万元，占5.36%；城乡社区支出（类）60.99万元，占77.27%；住房保障支出（类）3.74万元，占4.75%</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74.60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78.93</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105.80</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年初预算数为0.34万元，决算数0.34万元,完成年初预算的100.00%，决算数与年初预算数不存在差异。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年初预算数为0.00万元，决算数2.93万元,决算数与年初预算数存在差异的主要原因是追加人员经费，发放在职人员2021年度平安建设奖。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年初预算数为2.65万元，决算数2.65万元,完成年初预算的100.00%，决算数与年初预算数不存在差异。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年初预算数为4.15万元，决算数4.05万元,完成年初预算的97.59%，决算数与年初预算数存在差异的主要原因是在职人员社保基数调整。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5.卫生健康支出（类）行政事业单位医疗（款）事业单位医疗（项）</w:t>
      </w:r>
      <w:r>
        <w:rPr>
          <w:rFonts w:ascii="仿宋" w:eastAsia="仿宋" w:hAnsi="仿宋" w:cs="仿宋" w:hint="default"/>
          <w:kern w:val="2"/>
          <w:sz w:val="32"/>
          <w:szCs w:val="32"/>
          <w:lang w:val="en-US" w:eastAsia="zh-CN"/>
        </w:rPr>
        <w:t xml:space="preserve">年初预算数为2.04万元，决算数2.00万元,完成年初预算的98.04%，决算数与年初预算数存在差异的主要原因是在职人员社保基数调整。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6.卫生健康支出（类）行政事业单位医疗（款）公务员医疗补助（项）</w:t>
      </w:r>
      <w:r>
        <w:rPr>
          <w:rFonts w:ascii="仿宋" w:eastAsia="仿宋" w:hAnsi="仿宋" w:cs="仿宋" w:hint="default"/>
          <w:kern w:val="2"/>
          <w:sz w:val="32"/>
          <w:szCs w:val="32"/>
          <w:lang w:val="en-US" w:eastAsia="zh-CN"/>
        </w:rPr>
        <w:t xml:space="preserve">年初预算数为2.26万元，决算数2.23万元,完成年初预算的98.67%，决算数与年初预算数存在差异的主要原因是在职人员社保基数调整。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7.城乡社区支出（类）城乡社区管理事务（款）其他城乡社区管理事务支出（项）</w:t>
      </w:r>
      <w:r>
        <w:rPr>
          <w:rFonts w:ascii="仿宋" w:eastAsia="仿宋" w:hAnsi="仿宋" w:cs="仿宋" w:hint="default"/>
          <w:kern w:val="2"/>
          <w:sz w:val="32"/>
          <w:szCs w:val="32"/>
          <w:lang w:val="en-US" w:eastAsia="zh-CN"/>
        </w:rPr>
        <w:t xml:space="preserve">年初预算数为59.27万元，决算数60.99万元,完成年初预算的102.90%，决算数与年初预算数存在差异的主要原因是在职人员工资调标，人员经费增加，发放以前年度津补贴及奖金。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8.住房保障支出（类）住房改革支出（款）住房公积金（项）</w:t>
      </w:r>
      <w:r>
        <w:rPr>
          <w:rFonts w:ascii="仿宋" w:eastAsia="仿宋" w:hAnsi="仿宋" w:cs="仿宋" w:hint="default"/>
          <w:kern w:val="2"/>
          <w:sz w:val="32"/>
          <w:szCs w:val="32"/>
          <w:lang w:val="en-US" w:eastAsia="zh-CN"/>
        </w:rPr>
        <w:t xml:space="preserve">年初预算数为3.88万元，决算数3.74万元,完成年初预算的96.39%，决算数与年初预算数存在差异的主要原因是我单位住房公积金基数调整在每年7月，导致预决算差异。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78.93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其中：人员经费73.60万元，主要包括：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公用经费5.33万元，主要包括：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0</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78.93</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97.4</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根据2023年年初设定的绩效目标，单位整体绩效自评为优，达到年初预期目标</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eastAsia"/>
          <w:kern w:val="2"/>
          <w:sz w:val="32"/>
          <w:szCs w:val="32"/>
          <w:lang w:val="en-US" w:eastAsia="zh-CN"/>
        </w:rPr>
        <w:t xml:space="preserve">根据工作实际，我单位没有项目需要开展项目绩效自评。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ae824202-de1e-4d15-a507-a293519d7e74"/>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616"/>
        <w:gridCol w:w="764"/>
        <w:gridCol w:w="544"/>
        <w:gridCol w:w="456"/>
        <w:gridCol w:w="1255"/>
        <w:gridCol w:w="789"/>
        <w:gridCol w:w="1019"/>
        <w:gridCol w:w="486"/>
        <w:gridCol w:w="576"/>
        <w:gridCol w:w="576"/>
        <w:gridCol w:w="545"/>
        <w:gridCol w:w="896"/>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3"/>
        </w:trPr>
        <w:tc>
          <w:tcPr>
            <w:tcW w:type="auto" w:w="0"/>
            <w:gridSpan w:val="12"/>
            <w:tcBorders>
              <w:top w:val="nil"/>
              <w:left w:val="nil"/>
              <w:bottom w:val="nil"/>
              <w:right w:val="nil"/>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单位整体自评表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单位名称</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许昌市国土资源局经济开发区分局长村张所</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单位整体支出情况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单位预算总额（万元）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74.6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78.93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78.93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资金来源：（1）政府预算资金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74.6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78.93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78.93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（2）财政专户管理资金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nil"/>
              <w:right w:val="single" w:sz="4" w:space="0" w:color="000000"/>
            </w:tcBorders>
            <w:shd w:val="clear" w:color="auto" w:fill="auto"/>
            <w:vAlign w:val="center"/>
          </w:tcPr>
          <w:p>
            <w:pPr>
              <w:pStyle w:val="Normal_d4f9b69a-1576-4a03-99cf-ba056e79186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（3）单位资金</w:t>
            </w:r>
          </w:p>
        </w:tc>
        <w:tc>
          <w:tcPr>
            <w:tcW w:type="auto" w:w="0"/>
            <w:tcBorders>
              <w:top w:val="single" w:sz="4" w:space="0" w:color="000000"/>
              <w:left w:val="single" w:sz="4" w:space="0" w:color="000000"/>
              <w:bottom w:val="nil"/>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nil"/>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5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贯彻执行国土资源管理法律、法规、政策；划定和管理基本农田保护区。加强对本区域内国土资源开发、利用情况的监督检查，调查处理国土资源违法案件和权属纠纷案件。 组织实施本区域内土地资源调查、土地统计和对国土资源的动态监测。   </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达到95%以上</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vMerge w:val="restart"/>
            <w:tcBorders>
              <w:top w:val="single" w:sz="4" w:space="0" w:color="000000"/>
              <w:left w:val="single" w:sz="4" w:space="0" w:color="000000"/>
              <w:bottom w:val="nil"/>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年度主要任务</w:t>
            </w:r>
          </w:p>
        </w:tc>
        <w:tc>
          <w:tcPr>
            <w:tcW w:type="auto" w:w="0"/>
            <w:gridSpan w:val="2"/>
            <w:tcBorders>
              <w:top w:val="nil"/>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任务名称</w:t>
            </w:r>
          </w:p>
        </w:tc>
        <w:tc>
          <w:tcPr>
            <w:tcW w:type="auto" w:w="0"/>
            <w:gridSpan w:val="3"/>
            <w:tcBorders>
              <w:top w:val="nil"/>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80"/>
        </w:trPr>
        <w:tc>
          <w:tcPr>
            <w:vMerge/>
            <w:tcBorders>
              <w:top w:val="single" w:sz="4" w:space="0" w:color="000000"/>
              <w:left w:val="single" w:sz="4" w:space="0" w:color="000000"/>
              <w:bottom w:val="nil"/>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基本农田保护和土地行政执法</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做好辖区内的基本农田和耕地保护， 日常动态巡查，对违法案件进行处理、制止调查取证工作。</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达到95%以上</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00"/>
        </w:trPr>
        <w:tc>
          <w:tcPr>
            <w:vMerge/>
            <w:tcBorders>
              <w:top w:val="single" w:sz="4" w:space="0" w:color="000000"/>
              <w:left w:val="single" w:sz="4" w:space="0" w:color="000000"/>
              <w:bottom w:val="nil"/>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土地管理</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配合上级做好辖区土地调查统计、土地权属纠纷调解等工作。</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达到95%以上</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0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投入管理指标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目标充分、内容合法合规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合理、清晰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完整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预算调整率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结转结余率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“三公经费”控制率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无三公经费预算</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决算真实性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真实</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健全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完善财务制度</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真实</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nil"/>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gridSpan w:val="2"/>
            <w:vMerge w:val="restart"/>
            <w:tcBorders>
              <w:top w:val="nil"/>
              <w:left w:val="single" w:sz="4" w:space="0" w:color="000000"/>
              <w:bottom w:val="single" w:sz="4" w:space="0" w:color="000000"/>
              <w:right w:val="nil"/>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绩效目标编制完成率</w:t>
            </w:r>
          </w:p>
        </w:tc>
        <w:tc>
          <w:tcPr>
            <w:tcW w:type="auto" w:w="0"/>
            <w:tcBorders>
              <w:top w:val="single" w:sz="4" w:space="0" w:color="000000"/>
              <w:left w:val="nil"/>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gridSpan w:val="2"/>
            <w:vMerge/>
            <w:tcBorders>
              <w:top w:val="nil"/>
              <w:left w:val="single" w:sz="4" w:space="0" w:color="000000"/>
              <w:bottom w:val="single" w:sz="4" w:space="0" w:color="000000"/>
              <w:right w:val="nil"/>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绩效监控完成率</w:t>
            </w:r>
          </w:p>
        </w:tc>
        <w:tc>
          <w:tcPr>
            <w:tcW w:type="auto" w:w="0"/>
            <w:tcBorders>
              <w:top w:val="single" w:sz="4" w:space="0" w:color="000000"/>
              <w:left w:val="nil"/>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gridSpan w:val="2"/>
            <w:vMerge/>
            <w:tcBorders>
              <w:top w:val="nil"/>
              <w:left w:val="single" w:sz="4" w:space="0" w:color="000000"/>
              <w:bottom w:val="single" w:sz="4" w:space="0" w:color="000000"/>
              <w:right w:val="nil"/>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绩效自评完成率</w:t>
            </w:r>
          </w:p>
        </w:tc>
        <w:tc>
          <w:tcPr>
            <w:tcW w:type="auto" w:w="0"/>
            <w:tcBorders>
              <w:top w:val="single" w:sz="4" w:space="0" w:color="000000"/>
              <w:left w:val="nil"/>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gridSpan w:val="2"/>
            <w:vMerge/>
            <w:tcBorders>
              <w:top w:val="nil"/>
              <w:left w:val="single" w:sz="4" w:space="0" w:color="000000"/>
              <w:bottom w:val="single" w:sz="4" w:space="0" w:color="000000"/>
              <w:right w:val="nil"/>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部门绩效评价完成率</w:t>
            </w:r>
          </w:p>
        </w:tc>
        <w:tc>
          <w:tcPr>
            <w:tcW w:type="auto" w:w="0"/>
            <w:tcBorders>
              <w:top w:val="single" w:sz="4" w:space="0" w:color="000000"/>
              <w:left w:val="nil"/>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加强绩效评价工作</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gridSpan w:val="2"/>
            <w:vMerge/>
            <w:tcBorders>
              <w:top w:val="nil"/>
              <w:left w:val="single" w:sz="4" w:space="0" w:color="000000"/>
              <w:bottom w:val="single" w:sz="4" w:space="0" w:color="000000"/>
              <w:right w:val="nil"/>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评价结果应用率</w:t>
            </w:r>
          </w:p>
        </w:tc>
        <w:tc>
          <w:tcPr>
            <w:tcW w:type="auto" w:w="0"/>
            <w:tcBorders>
              <w:top w:val="single" w:sz="4" w:space="0" w:color="000000"/>
              <w:left w:val="nil"/>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加强评价结果应用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6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gridSpan w:val="2"/>
            <w:vMerge w:val="restart"/>
            <w:tcBorders>
              <w:top w:val="single" w:sz="4" w:space="0" w:color="000000"/>
              <w:left w:val="single" w:sz="4" w:space="0" w:color="000000"/>
              <w:bottom w:val="nil"/>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重点工作任务完成</w:t>
            </w:r>
          </w:p>
        </w:tc>
        <w:tc>
          <w:tcPr>
            <w:tcW w:type="auto" w:w="0"/>
            <w:tcBorders>
              <w:top w:val="single" w:sz="4" w:space="0" w:color="000000"/>
              <w:left w:val="single" w:sz="4" w:space="0" w:color="000000"/>
              <w:bottom w:val="nil"/>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基本农田保护完成率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6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nil"/>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土地管理监测计划完成率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履职目标实现</w:t>
            </w:r>
          </w:p>
        </w:tc>
        <w:tc>
          <w:tcPr>
            <w:tcW w:type="auto" w:w="0"/>
            <w:tcBorders>
              <w:top w:val="single" w:sz="4" w:space="0" w:color="000000"/>
              <w:left w:val="single" w:sz="4" w:space="0" w:color="000000"/>
              <w:bottom w:val="nil"/>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基本农田保护完成率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土地管理监测计划完成率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提升社会效益</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w:t>
            </w:r>
          </w:p>
        </w:tc>
        <w:tc>
          <w:tcPr>
            <w:tcW w:type="auto" w:w="0"/>
            <w:tcBorders>
              <w:top w:val="single" w:sz="4" w:space="0" w:color="000000"/>
              <w:left w:val="single" w:sz="4" w:space="0" w:color="000000"/>
              <w:bottom w:val="nil"/>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加强满意度</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服务对象满意度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加强满意度</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97.4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4f9b69a-1576-4a03-99cf-ba056e791867"/>
              <w:rPr>
                <w:rFonts w:ascii="宋体" w:eastAsia="宋体" w:hAnsi="宋体" w:cs="宋体" w:hint="eastAsia"/>
                <w:i w:val="0"/>
                <w:iCs w:val="0"/>
                <w:color w:val="000000"/>
                <w:sz w:val="18"/>
                <w:szCs w:val="18"/>
                <w:u w:val="none"/>
              </w:rPr>
            </w:pPr>
          </w:p>
        </w:tc>
      </w:tr>
    </w:tbl>
    <w:p>
      <w:pPr>
        <w:pStyle w:val="Normal_d4f9b69a-1576-4a03-99cf-ba056e791867"/>
        <w:sectPr>
          <w:pgSz w:w="11906" w:h="16838" w:orient="portrait"/>
          <w:pgMar w:top="1440" w:right="1800" w:bottom="1440" w:left="1800" w:header="851" w:footer="992" w:gutter="0"/>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41"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52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d4f9b69a-1576-4a03-99cf-ba056e791867">
    <w:name w:val="Normal_d4f9b69a-1576-4a03-99cf-ba056e791867"/>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table" w:styleId="NormalTable_ae824202-de1e-4d15-a507-a293519d7e74">
    <w:name w:val="Normal Table_ae824202-de1e-4d15-a507-a293519d7e74"/>
    <w:semiHidden/>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2024-10-10T09:21:14Z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