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许昌市军队离退休干部第一休养所单位决算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许昌市军队离退休干部第一休养所概况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许昌市军队离退休干部第一休养所概况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承担安置军队离退休干部并为其服务。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许昌市军队离退休干部第一休养所内设机构3个,包括：办公室、财务室、医保室。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从决算单位构成看，许昌市军队离退休干部第一休养所单位决算包括：本级决算（1个）。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许昌市军队离退休干部第一休养所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公开01表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收入</w:t>
            </w:r>
          </w:p>
        </w:tc>
        <w:tc>
          <w:tcPr>
            <w:tcW w:w="600" w:type="dxa"/>
            <w:vAlign w:val="center"/>
          </w:tcPr>
          <w:p/>
        </w:tc>
        <w:tc>
          <w:tcPr>
            <w:tcW w:w="2220" w:type="dxa"/>
            <w:vAlign w:val="center"/>
          </w:tcPr>
          <w:p/>
        </w:tc>
        <w:tc>
          <w:tcPr>
            <w:tcW w:w="4160" w:type="dxa"/>
            <w:vAlign w:val="center"/>
          </w:tcPr>
          <w:p>
            <w:pPr>
              <w:jc w:val="center"/>
            </w:pPr>
            <w:r>
              <w:rPr>
                <w:rFonts w:ascii="宋体" w:hAnsi="宋体" w:eastAsia="宋体" w:cs="宋体"/>
                <w:b w:val="0"/>
                <w:i w:val="0"/>
                <w:color w:val="000000"/>
                <w:sz w:val="21"/>
              </w:rPr>
              <w:t>支出</w:t>
            </w:r>
          </w:p>
        </w:tc>
        <w:tc>
          <w:tcPr>
            <w:tcW w:w="600" w:type="dxa"/>
            <w:vAlign w:val="center"/>
          </w:tcP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1,168.97</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1,136.04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1,168.97</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1,193.95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24.98</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1,193.95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1,193.95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公开02表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0"/>
        <w:gridCol w:w="260"/>
        <w:gridCol w:w="26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center"/>
            </w:pPr>
            <w:r>
              <w:rPr>
                <w:rFonts w:ascii="宋体" w:hAnsi="宋体" w:eastAsia="宋体" w:cs="宋体"/>
                <w:b w:val="0"/>
                <w:i w:val="0"/>
                <w:color w:val="000000"/>
                <w:sz w:val="17"/>
              </w:rPr>
              <w:t>项目</w:t>
            </w:r>
          </w:p>
        </w:tc>
        <w:tc>
          <w:tcPr>
            <w:tcW w:w="260" w:type="dxa"/>
            <w:vAlign w:val="center"/>
          </w:tcPr>
          <w:p/>
        </w:tc>
        <w:tc>
          <w:tcPr>
            <w:tcW w:w="260" w:type="dxa"/>
            <w:vAlign w:val="center"/>
          </w:tcPr>
          <w:p/>
        </w:tc>
        <w:tc>
          <w:tcPr>
            <w:tcW w:w="3140" w:type="dxa"/>
            <w:vAlign w:val="center"/>
          </w:tcP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260" w:type="dxa"/>
            <w:vAlign w:val="center"/>
          </w:tcPr>
          <w:p/>
        </w:tc>
        <w:tc>
          <w:tcPr>
            <w:tcW w:w="260" w:type="dxa"/>
            <w:vAlign w:val="center"/>
          </w:tcP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260" w:type="dxa"/>
            <w:vAlign w:val="center"/>
          </w:tcPr>
          <w:p/>
        </w:tc>
        <w:tc>
          <w:tcPr>
            <w:tcW w:w="260" w:type="dxa"/>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260" w:type="dxa"/>
            <w:vAlign w:val="center"/>
          </w:tcPr>
          <w:p/>
        </w:tc>
        <w:tc>
          <w:tcPr>
            <w:tcW w:w="260" w:type="dxa"/>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center"/>
            </w:pPr>
            <w:r>
              <w:rPr>
                <w:rFonts w:ascii="宋体" w:hAnsi="宋体" w:eastAsia="宋体" w:cs="宋体"/>
                <w:b w:val="0"/>
                <w:i w:val="0"/>
                <w:color w:val="000000"/>
                <w:sz w:val="17"/>
              </w:rPr>
              <w:t>栏次</w:t>
            </w:r>
          </w:p>
        </w:tc>
        <w:tc>
          <w:tcPr>
            <w:tcW w:w="260" w:type="dxa"/>
            <w:vAlign w:val="center"/>
          </w:tcPr>
          <w:p/>
        </w:tc>
        <w:tc>
          <w:tcPr>
            <w:tcW w:w="260" w:type="dxa"/>
            <w:vAlign w:val="center"/>
          </w:tcPr>
          <w:p/>
        </w:tc>
        <w:tc>
          <w:tcPr>
            <w:tcW w:w="3140" w:type="dxa"/>
            <w:vAlign w:val="center"/>
          </w:tcP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center"/>
            </w:pPr>
            <w:r>
              <w:rPr>
                <w:rFonts w:ascii="宋体" w:hAnsi="宋体" w:eastAsia="宋体" w:cs="宋体"/>
                <w:b w:val="0"/>
                <w:i w:val="0"/>
                <w:color w:val="000000"/>
                <w:sz w:val="17"/>
              </w:rPr>
              <w:t>合计</w:t>
            </w:r>
          </w:p>
        </w:tc>
        <w:tc>
          <w:tcPr>
            <w:tcW w:w="260" w:type="dxa"/>
            <w:vAlign w:val="center"/>
          </w:tcPr>
          <w:p/>
        </w:tc>
        <w:tc>
          <w:tcPr>
            <w:tcW w:w="260" w:type="dxa"/>
            <w:vAlign w:val="center"/>
          </w:tcPr>
          <w:p/>
        </w:tc>
        <w:tc>
          <w:tcPr>
            <w:tcW w:w="3140" w:type="dxa"/>
            <w:vAlign w:val="center"/>
          </w:tcPr>
          <w:p/>
        </w:tc>
        <w:tc>
          <w:tcPr>
            <w:tcW w:w="1440" w:type="dxa"/>
            <w:vAlign w:val="center"/>
          </w:tcPr>
          <w:p>
            <w:pPr>
              <w:jc w:val="right"/>
            </w:pPr>
            <w:r>
              <w:rPr>
                <w:rFonts w:ascii="宋体" w:hAnsi="宋体" w:eastAsia="宋体" w:cs="宋体"/>
                <w:b/>
                <w:i w:val="0"/>
                <w:color w:val="000000"/>
                <w:sz w:val="17"/>
              </w:rPr>
              <w:t>1,168.97</w:t>
            </w:r>
          </w:p>
        </w:tc>
        <w:tc>
          <w:tcPr>
            <w:tcW w:w="1440" w:type="dxa"/>
            <w:vAlign w:val="center"/>
          </w:tcPr>
          <w:p>
            <w:pPr>
              <w:jc w:val="right"/>
            </w:pPr>
            <w:r>
              <w:rPr>
                <w:rFonts w:ascii="宋体" w:hAnsi="宋体" w:eastAsia="宋体" w:cs="宋体"/>
                <w:b/>
                <w:i w:val="0"/>
                <w:color w:val="000000"/>
                <w:sz w:val="17"/>
              </w:rPr>
              <w:t>1,168.97</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1,111.06</w:t>
            </w:r>
          </w:p>
        </w:tc>
        <w:tc>
          <w:tcPr>
            <w:tcW w:w="1440" w:type="dxa"/>
            <w:vAlign w:val="center"/>
          </w:tcPr>
          <w:p>
            <w:pPr>
              <w:jc w:val="right"/>
            </w:pPr>
            <w:r>
              <w:rPr>
                <w:rFonts w:ascii="宋体" w:hAnsi="宋体" w:eastAsia="宋体" w:cs="宋体"/>
                <w:b w:val="0"/>
                <w:i w:val="0"/>
                <w:color w:val="000000"/>
                <w:sz w:val="17"/>
              </w:rPr>
              <w:t>1,111.06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82.64</w:t>
            </w:r>
          </w:p>
        </w:tc>
        <w:tc>
          <w:tcPr>
            <w:tcW w:w="1440" w:type="dxa"/>
            <w:vAlign w:val="center"/>
          </w:tcPr>
          <w:p>
            <w:pPr>
              <w:jc w:val="right"/>
            </w:pPr>
            <w:r>
              <w:rPr>
                <w:rFonts w:ascii="宋体" w:hAnsi="宋体" w:eastAsia="宋体" w:cs="宋体"/>
                <w:b w:val="0"/>
                <w:i w:val="0"/>
                <w:color w:val="000000"/>
                <w:sz w:val="17"/>
              </w:rPr>
              <w:t>82.64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82.64</w:t>
            </w:r>
          </w:p>
        </w:tc>
        <w:tc>
          <w:tcPr>
            <w:tcW w:w="1440" w:type="dxa"/>
            <w:vAlign w:val="center"/>
          </w:tcPr>
          <w:p>
            <w:pPr>
              <w:jc w:val="right"/>
            </w:pPr>
            <w:r>
              <w:rPr>
                <w:rFonts w:ascii="宋体" w:hAnsi="宋体" w:eastAsia="宋体" w:cs="宋体"/>
                <w:b w:val="0"/>
                <w:i w:val="0"/>
                <w:color w:val="000000"/>
                <w:sz w:val="17"/>
              </w:rPr>
              <w:t>82.64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退役安置</w:t>
            </w:r>
          </w:p>
        </w:tc>
        <w:tc>
          <w:tcPr>
            <w:tcW w:w="1440" w:type="dxa"/>
            <w:vAlign w:val="center"/>
          </w:tcPr>
          <w:p>
            <w:pPr>
              <w:jc w:val="right"/>
            </w:pPr>
            <w:r>
              <w:rPr>
                <w:rFonts w:ascii="宋体" w:hAnsi="宋体" w:eastAsia="宋体" w:cs="宋体"/>
                <w:b w:val="0"/>
                <w:i w:val="0"/>
                <w:color w:val="000000"/>
                <w:sz w:val="17"/>
              </w:rPr>
              <w:t>1,028.42</w:t>
            </w:r>
          </w:p>
        </w:tc>
        <w:tc>
          <w:tcPr>
            <w:tcW w:w="1440" w:type="dxa"/>
            <w:vAlign w:val="center"/>
          </w:tcPr>
          <w:p>
            <w:pPr>
              <w:jc w:val="right"/>
            </w:pPr>
            <w:r>
              <w:rPr>
                <w:rFonts w:ascii="宋体" w:hAnsi="宋体" w:eastAsia="宋体" w:cs="宋体"/>
                <w:b w:val="0"/>
                <w:i w:val="0"/>
                <w:color w:val="000000"/>
                <w:sz w:val="17"/>
              </w:rPr>
              <w:t>1,028.42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2080903</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军队移交政府离退休干部管理机构</w:t>
            </w:r>
          </w:p>
        </w:tc>
        <w:tc>
          <w:tcPr>
            <w:tcW w:w="1440" w:type="dxa"/>
            <w:vAlign w:val="center"/>
          </w:tcPr>
          <w:p>
            <w:pPr>
              <w:jc w:val="right"/>
            </w:pPr>
            <w:r>
              <w:rPr>
                <w:rFonts w:ascii="宋体" w:hAnsi="宋体" w:eastAsia="宋体" w:cs="宋体"/>
                <w:b w:val="0"/>
                <w:i w:val="0"/>
                <w:color w:val="000000"/>
                <w:sz w:val="17"/>
              </w:rPr>
              <w:t>1,026.34</w:t>
            </w:r>
          </w:p>
        </w:tc>
        <w:tc>
          <w:tcPr>
            <w:tcW w:w="1440" w:type="dxa"/>
            <w:vAlign w:val="center"/>
          </w:tcPr>
          <w:p>
            <w:pPr>
              <w:jc w:val="right"/>
            </w:pPr>
            <w:r>
              <w:rPr>
                <w:rFonts w:ascii="宋体" w:hAnsi="宋体" w:eastAsia="宋体" w:cs="宋体"/>
                <w:b w:val="0"/>
                <w:i w:val="0"/>
                <w:color w:val="000000"/>
                <w:sz w:val="17"/>
              </w:rPr>
              <w:t>1,026.34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2080999</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其他退役安置支出</w:t>
            </w:r>
          </w:p>
        </w:tc>
        <w:tc>
          <w:tcPr>
            <w:tcW w:w="1440" w:type="dxa"/>
            <w:vAlign w:val="center"/>
          </w:tcPr>
          <w:p>
            <w:pPr>
              <w:jc w:val="right"/>
            </w:pPr>
            <w:r>
              <w:rPr>
                <w:rFonts w:ascii="宋体" w:hAnsi="宋体" w:eastAsia="宋体" w:cs="宋体"/>
                <w:b w:val="0"/>
                <w:i w:val="0"/>
                <w:color w:val="000000"/>
                <w:sz w:val="17"/>
              </w:rPr>
              <w:t>2.08</w:t>
            </w:r>
          </w:p>
        </w:tc>
        <w:tc>
          <w:tcPr>
            <w:tcW w:w="1440" w:type="dxa"/>
            <w:vAlign w:val="center"/>
          </w:tcPr>
          <w:p>
            <w:pPr>
              <w:jc w:val="right"/>
            </w:pPr>
            <w:r>
              <w:rPr>
                <w:rFonts w:ascii="宋体" w:hAnsi="宋体" w:eastAsia="宋体" w:cs="宋体"/>
                <w:b w:val="0"/>
                <w:i w:val="0"/>
                <w:color w:val="000000"/>
                <w:sz w:val="17"/>
              </w:rPr>
              <w:t>2.08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260" w:type="dxa"/>
            <w:vAlign w:val="center"/>
          </w:tcPr>
          <w:p/>
        </w:tc>
        <w:tc>
          <w:tcPr>
            <w:tcW w:w="260" w:type="dxa"/>
            <w:vAlign w:val="center"/>
          </w:tcP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57.11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公开03表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center"/>
            </w:pPr>
            <w:r>
              <w:rPr>
                <w:rFonts w:ascii="宋体" w:hAnsi="宋体" w:eastAsia="宋体" w:cs="宋体"/>
                <w:b w:val="0"/>
                <w:i w:val="0"/>
                <w:color w:val="000000"/>
                <w:sz w:val="19"/>
              </w:rPr>
              <w:t>项目</w:t>
            </w:r>
          </w:p>
        </w:tc>
        <w:tc>
          <w:tcPr>
            <w:tcW w:w="300" w:type="dxa"/>
            <w:vAlign w:val="center"/>
          </w:tcPr>
          <w:p/>
        </w:tc>
        <w:tc>
          <w:tcPr>
            <w:tcW w:w="300" w:type="dxa"/>
            <w:vAlign w:val="center"/>
          </w:tcPr>
          <w:p/>
        </w:tc>
        <w:tc>
          <w:tcPr>
            <w:tcW w:w="3480" w:type="dxa"/>
            <w:vAlign w:val="center"/>
          </w:tcP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00" w:type="dxa"/>
            <w:vAlign w:val="center"/>
          </w:tcPr>
          <w:p/>
        </w:tc>
        <w:tc>
          <w:tcPr>
            <w:tcW w:w="300" w:type="dxa"/>
            <w:vAlign w:val="center"/>
          </w:tcP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Align w:val="center"/>
          </w:tcPr>
          <w:p/>
        </w:tc>
        <w:tc>
          <w:tcPr>
            <w:tcW w:w="300" w:type="dxa"/>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Align w:val="center"/>
          </w:tcPr>
          <w:p/>
        </w:tc>
        <w:tc>
          <w:tcPr>
            <w:tcW w:w="300" w:type="dxa"/>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center"/>
            </w:pPr>
            <w:r>
              <w:rPr>
                <w:rFonts w:ascii="宋体" w:hAnsi="宋体" w:eastAsia="宋体" w:cs="宋体"/>
                <w:b w:val="0"/>
                <w:i w:val="0"/>
                <w:color w:val="000000"/>
                <w:sz w:val="19"/>
              </w:rPr>
              <w:t>栏次</w:t>
            </w:r>
          </w:p>
        </w:tc>
        <w:tc>
          <w:tcPr>
            <w:tcW w:w="300" w:type="dxa"/>
            <w:vAlign w:val="center"/>
          </w:tcPr>
          <w:p/>
        </w:tc>
        <w:tc>
          <w:tcPr>
            <w:tcW w:w="300" w:type="dxa"/>
            <w:vAlign w:val="center"/>
          </w:tcPr>
          <w:p/>
        </w:tc>
        <w:tc>
          <w:tcPr>
            <w:tcW w:w="3480" w:type="dxa"/>
            <w:vAlign w:val="center"/>
          </w:tcP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center"/>
            </w:pPr>
            <w:r>
              <w:rPr>
                <w:rFonts w:ascii="宋体" w:hAnsi="宋体" w:eastAsia="宋体" w:cs="宋体"/>
                <w:b w:val="0"/>
                <w:i w:val="0"/>
                <w:color w:val="000000"/>
                <w:sz w:val="19"/>
              </w:rPr>
              <w:t>合计</w:t>
            </w:r>
          </w:p>
        </w:tc>
        <w:tc>
          <w:tcPr>
            <w:tcW w:w="300" w:type="dxa"/>
            <w:vAlign w:val="center"/>
          </w:tcPr>
          <w:p/>
        </w:tc>
        <w:tc>
          <w:tcPr>
            <w:tcW w:w="300" w:type="dxa"/>
            <w:vAlign w:val="center"/>
          </w:tcPr>
          <w:p/>
        </w:tc>
        <w:tc>
          <w:tcPr>
            <w:tcW w:w="3480" w:type="dxa"/>
            <w:vAlign w:val="center"/>
          </w:tcPr>
          <w:p/>
        </w:tc>
        <w:tc>
          <w:tcPr>
            <w:tcW w:w="1600" w:type="dxa"/>
            <w:vAlign w:val="center"/>
          </w:tcPr>
          <w:p>
            <w:pPr>
              <w:jc w:val="right"/>
            </w:pPr>
            <w:r>
              <w:rPr>
                <w:rFonts w:ascii="宋体" w:hAnsi="宋体" w:eastAsia="宋体" w:cs="宋体"/>
                <w:b/>
                <w:i w:val="0"/>
                <w:color w:val="000000"/>
                <w:sz w:val="19"/>
              </w:rPr>
              <w:t>1,193.95</w:t>
            </w:r>
          </w:p>
        </w:tc>
        <w:tc>
          <w:tcPr>
            <w:tcW w:w="1600" w:type="dxa"/>
            <w:vAlign w:val="center"/>
          </w:tcPr>
          <w:p>
            <w:pPr>
              <w:jc w:val="right"/>
            </w:pPr>
            <w:r>
              <w:rPr>
                <w:rFonts w:ascii="宋体" w:hAnsi="宋体" w:eastAsia="宋体" w:cs="宋体"/>
                <w:b/>
                <w:i w:val="0"/>
                <w:color w:val="000000"/>
                <w:sz w:val="19"/>
              </w:rPr>
              <w:t>140.54</w:t>
            </w:r>
          </w:p>
        </w:tc>
        <w:tc>
          <w:tcPr>
            <w:tcW w:w="1600" w:type="dxa"/>
            <w:vAlign w:val="center"/>
          </w:tcPr>
          <w:p>
            <w:pPr>
              <w:jc w:val="right"/>
            </w:pPr>
            <w:r>
              <w:rPr>
                <w:rFonts w:ascii="宋体" w:hAnsi="宋体" w:eastAsia="宋体" w:cs="宋体"/>
                <w:b/>
                <w:i w:val="0"/>
                <w:color w:val="000000"/>
                <w:sz w:val="19"/>
              </w:rPr>
              <w:t>1,053.41</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1,136.04</w:t>
            </w:r>
          </w:p>
        </w:tc>
        <w:tc>
          <w:tcPr>
            <w:tcW w:w="1600" w:type="dxa"/>
            <w:vAlign w:val="center"/>
          </w:tcPr>
          <w:p>
            <w:pPr>
              <w:jc w:val="right"/>
            </w:pPr>
            <w:r>
              <w:rPr>
                <w:rFonts w:ascii="宋体" w:hAnsi="宋体" w:eastAsia="宋体" w:cs="宋体"/>
                <w:b w:val="0"/>
                <w:i w:val="0"/>
                <w:color w:val="000000"/>
                <w:sz w:val="19"/>
              </w:rPr>
              <w:t>82.64</w:t>
            </w:r>
          </w:p>
        </w:tc>
        <w:tc>
          <w:tcPr>
            <w:tcW w:w="1600" w:type="dxa"/>
            <w:vAlign w:val="center"/>
          </w:tcPr>
          <w:p>
            <w:pPr>
              <w:jc w:val="right"/>
            </w:pPr>
            <w:r>
              <w:rPr>
                <w:rFonts w:ascii="宋体" w:hAnsi="宋体" w:eastAsia="宋体" w:cs="宋体"/>
                <w:b w:val="0"/>
                <w:i w:val="0"/>
                <w:color w:val="000000"/>
                <w:sz w:val="19"/>
              </w:rPr>
              <w:t>1,053.40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82.64</w:t>
            </w:r>
          </w:p>
        </w:tc>
        <w:tc>
          <w:tcPr>
            <w:tcW w:w="1600" w:type="dxa"/>
            <w:vAlign w:val="center"/>
          </w:tcPr>
          <w:p>
            <w:pPr>
              <w:jc w:val="right"/>
            </w:pPr>
            <w:r>
              <w:rPr>
                <w:rFonts w:ascii="宋体" w:hAnsi="宋体" w:eastAsia="宋体" w:cs="宋体"/>
                <w:b w:val="0"/>
                <w:i w:val="0"/>
                <w:color w:val="000000"/>
                <w:sz w:val="19"/>
              </w:rPr>
              <w:t>82.64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82.64</w:t>
            </w:r>
          </w:p>
        </w:tc>
        <w:tc>
          <w:tcPr>
            <w:tcW w:w="1600" w:type="dxa"/>
            <w:vAlign w:val="center"/>
          </w:tcPr>
          <w:p>
            <w:pPr>
              <w:jc w:val="right"/>
            </w:pPr>
            <w:r>
              <w:rPr>
                <w:rFonts w:ascii="宋体" w:hAnsi="宋体" w:eastAsia="宋体" w:cs="宋体"/>
                <w:b w:val="0"/>
                <w:i w:val="0"/>
                <w:color w:val="000000"/>
                <w:sz w:val="19"/>
              </w:rPr>
              <w:t>82.64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退役安置</w:t>
            </w:r>
          </w:p>
        </w:tc>
        <w:tc>
          <w:tcPr>
            <w:tcW w:w="1600" w:type="dxa"/>
            <w:vAlign w:val="center"/>
          </w:tcPr>
          <w:p>
            <w:pPr>
              <w:jc w:val="right"/>
            </w:pPr>
            <w:r>
              <w:rPr>
                <w:rFonts w:ascii="宋体" w:hAnsi="宋体" w:eastAsia="宋体" w:cs="宋体"/>
                <w:b w:val="0"/>
                <w:i w:val="0"/>
                <w:color w:val="000000"/>
                <w:sz w:val="19"/>
              </w:rPr>
              <w:t>1,053.40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1,053.40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2080903</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军队移交政府离退休干部管理机构</w:t>
            </w:r>
          </w:p>
        </w:tc>
        <w:tc>
          <w:tcPr>
            <w:tcW w:w="1600" w:type="dxa"/>
            <w:vAlign w:val="center"/>
          </w:tcPr>
          <w:p>
            <w:pPr>
              <w:jc w:val="right"/>
            </w:pPr>
            <w:r>
              <w:rPr>
                <w:rFonts w:ascii="宋体" w:hAnsi="宋体" w:eastAsia="宋体" w:cs="宋体"/>
                <w:b w:val="0"/>
                <w:i w:val="0"/>
                <w:color w:val="000000"/>
                <w:sz w:val="19"/>
              </w:rPr>
              <w:t>1,051.32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1,051.32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2080999</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其他退役安置支出</w:t>
            </w:r>
          </w:p>
        </w:tc>
        <w:tc>
          <w:tcPr>
            <w:tcW w:w="1600" w:type="dxa"/>
            <w:vAlign w:val="center"/>
          </w:tcPr>
          <w:p>
            <w:pPr>
              <w:jc w:val="right"/>
            </w:pPr>
            <w:r>
              <w:rPr>
                <w:rFonts w:ascii="宋体" w:hAnsi="宋体" w:eastAsia="宋体" w:cs="宋体"/>
                <w:b w:val="0"/>
                <w:i w:val="0"/>
                <w:color w:val="000000"/>
                <w:sz w:val="19"/>
              </w:rPr>
              <w:t>2.08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00" w:type="dxa"/>
            <w:vAlign w:val="center"/>
          </w:tcPr>
          <w:p/>
        </w:tc>
        <w:tc>
          <w:tcPr>
            <w:tcW w:w="300" w:type="dxa"/>
            <w:vAlign w:val="center"/>
          </w:tcP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57.11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公开04表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收     入</w:t>
            </w:r>
          </w:p>
        </w:tc>
        <w:tc>
          <w:tcPr>
            <w:tcW w:w="480" w:type="dxa"/>
            <w:vAlign w:val="center"/>
          </w:tcPr>
          <w:p/>
        </w:tc>
        <w:tc>
          <w:tcPr>
            <w:tcW w:w="1420" w:type="dxa"/>
            <w:vAlign w:val="center"/>
          </w:tcPr>
          <w:p/>
        </w:tc>
        <w:tc>
          <w:tcPr>
            <w:tcW w:w="3080" w:type="dxa"/>
            <w:vAlign w:val="center"/>
          </w:tcPr>
          <w:p>
            <w:pPr>
              <w:jc w:val="center"/>
            </w:pPr>
            <w:r>
              <w:rPr>
                <w:rFonts w:ascii="宋体" w:hAnsi="宋体" w:eastAsia="宋体" w:cs="宋体"/>
                <w:b w:val="0"/>
                <w:i w:val="0"/>
                <w:color w:val="000000"/>
                <w:sz w:val="18"/>
              </w:rPr>
              <w:t>支     出</w:t>
            </w:r>
          </w:p>
        </w:tc>
        <w:tc>
          <w:tcPr>
            <w:tcW w:w="480" w:type="dxa"/>
            <w:vAlign w:val="center"/>
          </w:tcP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1,168.97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0.80</w:t>
            </w:r>
          </w:p>
        </w:tc>
        <w:tc>
          <w:tcPr>
            <w:tcW w:w="1420" w:type="dxa"/>
            <w:vAlign w:val="center"/>
          </w:tcPr>
          <w:p>
            <w:pPr>
              <w:jc w:val="right"/>
            </w:pPr>
            <w:r>
              <w:rPr>
                <w:rFonts w:ascii="宋体" w:hAnsi="宋体" w:eastAsia="宋体" w:cs="宋体"/>
                <w:b w:val="0"/>
                <w:i w:val="0"/>
                <w:color w:val="000000"/>
                <w:sz w:val="18"/>
              </w:rPr>
              <w:t>0.80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1,136.04</w:t>
            </w:r>
          </w:p>
        </w:tc>
        <w:tc>
          <w:tcPr>
            <w:tcW w:w="1420" w:type="dxa"/>
            <w:vAlign w:val="center"/>
          </w:tcPr>
          <w:p>
            <w:pPr>
              <w:jc w:val="right"/>
            </w:pPr>
            <w:r>
              <w:rPr>
                <w:rFonts w:ascii="宋体" w:hAnsi="宋体" w:eastAsia="宋体" w:cs="宋体"/>
                <w:b w:val="0"/>
                <w:i w:val="0"/>
                <w:color w:val="000000"/>
                <w:sz w:val="18"/>
              </w:rPr>
              <w:t>1,136.04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57.11</w:t>
            </w:r>
          </w:p>
        </w:tc>
        <w:tc>
          <w:tcPr>
            <w:tcW w:w="1420" w:type="dxa"/>
            <w:vAlign w:val="center"/>
          </w:tcPr>
          <w:p>
            <w:pPr>
              <w:jc w:val="right"/>
            </w:pPr>
            <w:r>
              <w:rPr>
                <w:rFonts w:ascii="宋体" w:hAnsi="宋体" w:eastAsia="宋体" w:cs="宋体"/>
                <w:b w:val="0"/>
                <w:i w:val="0"/>
                <w:color w:val="000000"/>
                <w:sz w:val="18"/>
              </w:rPr>
              <w:t>57.11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1,168.97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1,193.95</w:t>
            </w:r>
          </w:p>
        </w:tc>
        <w:tc>
          <w:tcPr>
            <w:tcW w:w="1420" w:type="dxa"/>
            <w:vAlign w:val="center"/>
          </w:tcPr>
          <w:p>
            <w:pPr>
              <w:jc w:val="right"/>
            </w:pPr>
            <w:r>
              <w:rPr>
                <w:rFonts w:ascii="宋体" w:hAnsi="宋体" w:eastAsia="宋体" w:cs="宋体"/>
                <w:b w:val="0"/>
                <w:i w:val="0"/>
                <w:color w:val="000000"/>
                <w:sz w:val="18"/>
              </w:rPr>
              <w:t>1,193.95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24.98</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24.98</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1,193.95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1,193.95</w:t>
            </w:r>
          </w:p>
        </w:tc>
        <w:tc>
          <w:tcPr>
            <w:tcW w:w="1420" w:type="dxa"/>
            <w:vAlign w:val="center"/>
          </w:tcPr>
          <w:p>
            <w:pPr>
              <w:jc w:val="right"/>
            </w:pPr>
            <w:r>
              <w:rPr>
                <w:rFonts w:ascii="宋体" w:hAnsi="宋体" w:eastAsia="宋体" w:cs="宋体"/>
                <w:b w:val="0"/>
                <w:i w:val="0"/>
                <w:color w:val="000000"/>
                <w:sz w:val="18"/>
              </w:rPr>
              <w:t>1,193.95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公开05表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center"/>
            </w:pPr>
            <w:r>
              <w:rPr>
                <w:rFonts w:ascii="宋体" w:hAnsi="宋体" w:eastAsia="宋体" w:cs="宋体"/>
                <w:b w:val="0"/>
                <w:i w:val="0"/>
                <w:color w:val="000000"/>
                <w:sz w:val="25"/>
              </w:rPr>
              <w:t>项目</w:t>
            </w:r>
          </w:p>
        </w:tc>
        <w:tc>
          <w:tcPr>
            <w:tcW w:w="400" w:type="dxa"/>
            <w:vAlign w:val="center"/>
          </w:tcPr>
          <w:p/>
        </w:tc>
        <w:tc>
          <w:tcPr>
            <w:tcW w:w="400" w:type="dxa"/>
            <w:vAlign w:val="center"/>
          </w:tcPr>
          <w:p/>
        </w:tc>
        <w:tc>
          <w:tcPr>
            <w:tcW w:w="4700" w:type="dxa"/>
            <w:vAlign w:val="center"/>
          </w:tcPr>
          <w:p/>
        </w:tc>
        <w:tc>
          <w:tcPr>
            <w:tcW w:w="2700" w:type="dxa"/>
            <w:vAlign w:val="center"/>
          </w:tcPr>
          <w:p>
            <w:pPr>
              <w:jc w:val="center"/>
            </w:pPr>
            <w:r>
              <w:rPr>
                <w:rFonts w:ascii="宋体" w:hAnsi="宋体" w:eastAsia="宋体" w:cs="宋体"/>
                <w:b w:val="0"/>
                <w:i w:val="0"/>
                <w:color w:val="000000"/>
                <w:sz w:val="25"/>
              </w:rPr>
              <w:t>本年支出</w:t>
            </w:r>
          </w:p>
        </w:tc>
        <w:tc>
          <w:tcPr>
            <w:tcW w:w="2700" w:type="dxa"/>
            <w:vAlign w:val="center"/>
          </w:tcPr>
          <w:p/>
        </w:tc>
        <w:tc>
          <w:tcPr>
            <w:tcW w:w="26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00" w:type="dxa"/>
            <w:vAlign w:val="center"/>
          </w:tcPr>
          <w:p/>
        </w:tc>
        <w:tc>
          <w:tcPr>
            <w:tcW w:w="400" w:type="dxa"/>
            <w:vAlign w:val="center"/>
          </w:tcP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00" w:type="dxa"/>
            <w:vAlign w:val="center"/>
          </w:tcPr>
          <w:p/>
        </w:tc>
        <w:tc>
          <w:tcPr>
            <w:tcW w:w="400" w:type="dxa"/>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00" w:type="dxa"/>
            <w:vAlign w:val="center"/>
          </w:tcPr>
          <w:p/>
        </w:tc>
        <w:tc>
          <w:tcPr>
            <w:tcW w:w="400" w:type="dxa"/>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center"/>
            </w:pPr>
            <w:r>
              <w:rPr>
                <w:rFonts w:ascii="宋体" w:hAnsi="宋体" w:eastAsia="宋体" w:cs="宋体"/>
                <w:b w:val="0"/>
                <w:i w:val="0"/>
                <w:color w:val="000000"/>
                <w:sz w:val="25"/>
              </w:rPr>
              <w:t>栏次</w:t>
            </w:r>
          </w:p>
        </w:tc>
        <w:tc>
          <w:tcPr>
            <w:tcW w:w="400" w:type="dxa"/>
            <w:vAlign w:val="center"/>
          </w:tcPr>
          <w:p/>
        </w:tc>
        <w:tc>
          <w:tcPr>
            <w:tcW w:w="400" w:type="dxa"/>
            <w:vAlign w:val="center"/>
          </w:tcPr>
          <w:p/>
        </w:tc>
        <w:tc>
          <w:tcPr>
            <w:tcW w:w="4700" w:type="dxa"/>
            <w:vAlign w:val="center"/>
          </w:tcP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center"/>
            </w:pPr>
            <w:r>
              <w:rPr>
                <w:rFonts w:ascii="宋体" w:hAnsi="宋体" w:eastAsia="宋体" w:cs="宋体"/>
                <w:b w:val="0"/>
                <w:i w:val="0"/>
                <w:color w:val="000000"/>
                <w:sz w:val="25"/>
              </w:rPr>
              <w:t>合计</w:t>
            </w:r>
          </w:p>
        </w:tc>
        <w:tc>
          <w:tcPr>
            <w:tcW w:w="400" w:type="dxa"/>
            <w:vAlign w:val="center"/>
          </w:tcPr>
          <w:p/>
        </w:tc>
        <w:tc>
          <w:tcPr>
            <w:tcW w:w="400" w:type="dxa"/>
            <w:vAlign w:val="center"/>
          </w:tcPr>
          <w:p/>
        </w:tc>
        <w:tc>
          <w:tcPr>
            <w:tcW w:w="4700" w:type="dxa"/>
            <w:vAlign w:val="center"/>
          </w:tcPr>
          <w:p/>
        </w:tc>
        <w:tc>
          <w:tcPr>
            <w:tcW w:w="2700" w:type="dxa"/>
            <w:vAlign w:val="center"/>
          </w:tcPr>
          <w:p>
            <w:pPr>
              <w:jc w:val="right"/>
            </w:pPr>
            <w:r>
              <w:rPr>
                <w:rFonts w:ascii="宋体" w:hAnsi="宋体" w:eastAsia="宋体" w:cs="宋体"/>
                <w:b/>
                <w:i w:val="0"/>
                <w:color w:val="000000"/>
                <w:sz w:val="25"/>
              </w:rPr>
              <w:t>1,193.95</w:t>
            </w:r>
          </w:p>
        </w:tc>
        <w:tc>
          <w:tcPr>
            <w:tcW w:w="2700" w:type="dxa"/>
            <w:vAlign w:val="center"/>
          </w:tcPr>
          <w:p>
            <w:pPr>
              <w:jc w:val="right"/>
            </w:pPr>
            <w:r>
              <w:rPr>
                <w:rFonts w:ascii="宋体" w:hAnsi="宋体" w:eastAsia="宋体" w:cs="宋体"/>
                <w:b/>
                <w:i w:val="0"/>
                <w:color w:val="000000"/>
                <w:sz w:val="25"/>
              </w:rPr>
              <w:t>140.54</w:t>
            </w:r>
          </w:p>
        </w:tc>
        <w:tc>
          <w:tcPr>
            <w:tcW w:w="2658" w:type="dxa"/>
            <w:vAlign w:val="center"/>
          </w:tcPr>
          <w:p>
            <w:pPr>
              <w:jc w:val="right"/>
            </w:pPr>
            <w:r>
              <w:rPr>
                <w:rFonts w:ascii="宋体" w:hAnsi="宋体" w:eastAsia="宋体" w:cs="宋体"/>
                <w:b/>
                <w:i w:val="0"/>
                <w:color w:val="000000"/>
                <w:sz w:val="25"/>
              </w:rPr>
              <w:t>1,053.41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0.80</w:t>
            </w:r>
          </w:p>
        </w:tc>
        <w:tc>
          <w:tcPr>
            <w:tcW w:w="2700" w:type="dxa"/>
            <w:vAlign w:val="center"/>
          </w:tcPr>
          <w:p>
            <w:pPr>
              <w:jc w:val="right"/>
            </w:pPr>
            <w:r>
              <w:rPr>
                <w:rFonts w:ascii="宋体" w:hAnsi="宋体" w:eastAsia="宋体" w:cs="宋体"/>
                <w:b w:val="0"/>
                <w:i w:val="0"/>
                <w:color w:val="000000"/>
                <w:sz w:val="25"/>
              </w:rPr>
              <w:t>0.80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0.80</w:t>
            </w:r>
          </w:p>
        </w:tc>
        <w:tc>
          <w:tcPr>
            <w:tcW w:w="2700" w:type="dxa"/>
            <w:vAlign w:val="center"/>
          </w:tcPr>
          <w:p>
            <w:pPr>
              <w:jc w:val="right"/>
            </w:pPr>
            <w:r>
              <w:rPr>
                <w:rFonts w:ascii="宋体" w:hAnsi="宋体" w:eastAsia="宋体" w:cs="宋体"/>
                <w:b w:val="0"/>
                <w:i w:val="0"/>
                <w:color w:val="000000"/>
                <w:sz w:val="25"/>
              </w:rPr>
              <w:t>0.80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0.80</w:t>
            </w:r>
          </w:p>
        </w:tc>
        <w:tc>
          <w:tcPr>
            <w:tcW w:w="2700" w:type="dxa"/>
            <w:vAlign w:val="center"/>
          </w:tcPr>
          <w:p>
            <w:pPr>
              <w:jc w:val="right"/>
            </w:pPr>
            <w:r>
              <w:rPr>
                <w:rFonts w:ascii="宋体" w:hAnsi="宋体" w:eastAsia="宋体" w:cs="宋体"/>
                <w:b w:val="0"/>
                <w:i w:val="0"/>
                <w:color w:val="000000"/>
                <w:sz w:val="25"/>
              </w:rPr>
              <w:t>0.80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1,136.04</w:t>
            </w:r>
          </w:p>
        </w:tc>
        <w:tc>
          <w:tcPr>
            <w:tcW w:w="2700" w:type="dxa"/>
            <w:vAlign w:val="center"/>
          </w:tcPr>
          <w:p>
            <w:pPr>
              <w:jc w:val="right"/>
            </w:pPr>
            <w:r>
              <w:rPr>
                <w:rFonts w:ascii="宋体" w:hAnsi="宋体" w:eastAsia="宋体" w:cs="宋体"/>
                <w:b w:val="0"/>
                <w:i w:val="0"/>
                <w:color w:val="000000"/>
                <w:sz w:val="25"/>
              </w:rPr>
              <w:t>82.64</w:t>
            </w:r>
          </w:p>
        </w:tc>
        <w:tc>
          <w:tcPr>
            <w:tcW w:w="2658" w:type="dxa"/>
            <w:vAlign w:val="center"/>
          </w:tcPr>
          <w:p>
            <w:pPr>
              <w:jc w:val="right"/>
            </w:pPr>
            <w:r>
              <w:rPr>
                <w:rFonts w:ascii="宋体" w:hAnsi="宋体" w:eastAsia="宋体" w:cs="宋体"/>
                <w:b w:val="0"/>
                <w:i w:val="0"/>
                <w:color w:val="000000"/>
                <w:sz w:val="25"/>
              </w:rPr>
              <w:t>1,053.40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82.64</w:t>
            </w:r>
          </w:p>
        </w:tc>
        <w:tc>
          <w:tcPr>
            <w:tcW w:w="2700" w:type="dxa"/>
            <w:vAlign w:val="center"/>
          </w:tcPr>
          <w:p>
            <w:pPr>
              <w:jc w:val="right"/>
            </w:pPr>
            <w:r>
              <w:rPr>
                <w:rFonts w:ascii="宋体" w:hAnsi="宋体" w:eastAsia="宋体" w:cs="宋体"/>
                <w:b w:val="0"/>
                <w:i w:val="0"/>
                <w:color w:val="000000"/>
                <w:sz w:val="25"/>
              </w:rPr>
              <w:t>82.64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82.64</w:t>
            </w:r>
          </w:p>
        </w:tc>
        <w:tc>
          <w:tcPr>
            <w:tcW w:w="2700" w:type="dxa"/>
            <w:vAlign w:val="center"/>
          </w:tcPr>
          <w:p>
            <w:pPr>
              <w:jc w:val="right"/>
            </w:pPr>
            <w:r>
              <w:rPr>
                <w:rFonts w:ascii="宋体" w:hAnsi="宋体" w:eastAsia="宋体" w:cs="宋体"/>
                <w:b w:val="0"/>
                <w:i w:val="0"/>
                <w:color w:val="000000"/>
                <w:sz w:val="25"/>
              </w:rPr>
              <w:t>82.64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退役安置</w:t>
            </w:r>
          </w:p>
        </w:tc>
        <w:tc>
          <w:tcPr>
            <w:tcW w:w="2700" w:type="dxa"/>
            <w:vAlign w:val="center"/>
          </w:tcPr>
          <w:p>
            <w:pPr>
              <w:jc w:val="right"/>
            </w:pPr>
            <w:r>
              <w:rPr>
                <w:rFonts w:ascii="宋体" w:hAnsi="宋体" w:eastAsia="宋体" w:cs="宋体"/>
                <w:b w:val="0"/>
                <w:i w:val="0"/>
                <w:color w:val="000000"/>
                <w:sz w:val="25"/>
              </w:rPr>
              <w:t>1,053.40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1,053.40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2080903</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军队移交政府离退休干部管理机构</w:t>
            </w:r>
          </w:p>
        </w:tc>
        <w:tc>
          <w:tcPr>
            <w:tcW w:w="2700" w:type="dxa"/>
            <w:vAlign w:val="center"/>
          </w:tcPr>
          <w:p>
            <w:pPr>
              <w:jc w:val="right"/>
            </w:pPr>
            <w:r>
              <w:rPr>
                <w:rFonts w:ascii="宋体" w:hAnsi="宋体" w:eastAsia="宋体" w:cs="宋体"/>
                <w:b w:val="0"/>
                <w:i w:val="0"/>
                <w:color w:val="000000"/>
                <w:sz w:val="25"/>
              </w:rPr>
              <w:t>1,051.32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1,051.32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2080999</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其他退役安置支出</w:t>
            </w:r>
          </w:p>
        </w:tc>
        <w:tc>
          <w:tcPr>
            <w:tcW w:w="2700" w:type="dxa"/>
            <w:vAlign w:val="center"/>
          </w:tcPr>
          <w:p>
            <w:pPr>
              <w:jc w:val="right"/>
            </w:pPr>
            <w:r>
              <w:rPr>
                <w:rFonts w:ascii="宋体" w:hAnsi="宋体" w:eastAsia="宋体" w:cs="宋体"/>
                <w:b w:val="0"/>
                <w:i w:val="0"/>
                <w:color w:val="000000"/>
                <w:sz w:val="25"/>
              </w:rPr>
              <w:t>2.08</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57.11</w:t>
            </w:r>
          </w:p>
        </w:tc>
        <w:tc>
          <w:tcPr>
            <w:tcW w:w="2700" w:type="dxa"/>
            <w:vAlign w:val="center"/>
          </w:tcPr>
          <w:p>
            <w:pPr>
              <w:jc w:val="right"/>
            </w:pPr>
            <w:r>
              <w:rPr>
                <w:rFonts w:ascii="宋体" w:hAnsi="宋体" w:eastAsia="宋体" w:cs="宋体"/>
                <w:b w:val="0"/>
                <w:i w:val="0"/>
                <w:color w:val="000000"/>
                <w:sz w:val="25"/>
              </w:rPr>
              <w:t>57.11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57.11</w:t>
            </w:r>
          </w:p>
        </w:tc>
        <w:tc>
          <w:tcPr>
            <w:tcW w:w="2700" w:type="dxa"/>
            <w:vAlign w:val="center"/>
          </w:tcPr>
          <w:p>
            <w:pPr>
              <w:jc w:val="right"/>
            </w:pPr>
            <w:r>
              <w:rPr>
                <w:rFonts w:ascii="宋体" w:hAnsi="宋体" w:eastAsia="宋体" w:cs="宋体"/>
                <w:b w:val="0"/>
                <w:i w:val="0"/>
                <w:color w:val="000000"/>
                <w:sz w:val="25"/>
              </w:rPr>
              <w:t>57.11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00" w:type="dxa"/>
            <w:vAlign w:val="center"/>
          </w:tcPr>
          <w:p/>
        </w:tc>
        <w:tc>
          <w:tcPr>
            <w:tcW w:w="400" w:type="dxa"/>
            <w:vAlign w:val="center"/>
          </w:tcP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57.11</w:t>
            </w:r>
          </w:p>
        </w:tc>
        <w:tc>
          <w:tcPr>
            <w:tcW w:w="2700" w:type="dxa"/>
            <w:vAlign w:val="center"/>
          </w:tcPr>
          <w:p>
            <w:pPr>
              <w:jc w:val="right"/>
            </w:pPr>
            <w:r>
              <w:rPr>
                <w:rFonts w:ascii="宋体" w:hAnsi="宋体" w:eastAsia="宋体" w:cs="宋体"/>
                <w:b w:val="0"/>
                <w:i w:val="0"/>
                <w:color w:val="000000"/>
                <w:sz w:val="25"/>
              </w:rPr>
              <w:t>57.11</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公开06表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center"/>
            </w:pPr>
            <w:r>
              <w:rPr>
                <w:rFonts w:ascii="宋体" w:hAnsi="宋体" w:eastAsia="宋体" w:cs="宋体"/>
                <w:b w:val="0"/>
                <w:i w:val="0"/>
                <w:color w:val="000000"/>
                <w:sz w:val="16"/>
              </w:rPr>
              <w:t>人员经费</w:t>
            </w:r>
          </w:p>
        </w:tc>
        <w:tc>
          <w:tcPr>
            <w:tcW w:w="2680" w:type="dxa"/>
            <w:vAlign w:val="center"/>
          </w:tcPr>
          <w:p/>
        </w:tc>
        <w:tc>
          <w:tcPr>
            <w:tcW w:w="1360" w:type="dxa"/>
            <w:vAlign w:val="center"/>
          </w:tcPr>
          <w:p/>
        </w:tc>
        <w:tc>
          <w:tcPr>
            <w:tcW w:w="560" w:type="dxa"/>
            <w:vAlign w:val="center"/>
          </w:tcPr>
          <w:p>
            <w:pPr>
              <w:jc w:val="center"/>
            </w:pPr>
            <w:r>
              <w:rPr>
                <w:rFonts w:ascii="宋体" w:hAnsi="宋体" w:eastAsia="宋体" w:cs="宋体"/>
                <w:b w:val="0"/>
                <w:i w:val="0"/>
                <w:color w:val="000000"/>
                <w:sz w:val="16"/>
              </w:rPr>
              <w:t>公用经费</w:t>
            </w: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0.80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139.74</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57.11</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82.64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0.80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center"/>
            </w:pPr>
            <w:r>
              <w:rPr>
                <w:rFonts w:ascii="宋体" w:hAnsi="宋体" w:eastAsia="宋体" w:cs="宋体"/>
                <w:b w:val="0"/>
                <w:i w:val="0"/>
                <w:color w:val="000000"/>
                <w:sz w:val="16"/>
              </w:rPr>
              <w:t>人员经费合计</w:t>
            </w:r>
          </w:p>
        </w:tc>
        <w:tc>
          <w:tcPr>
            <w:tcW w:w="2680" w:type="dxa"/>
            <w:vAlign w:val="center"/>
          </w:tcPr>
          <w:p/>
        </w:tc>
        <w:tc>
          <w:tcPr>
            <w:tcW w:w="1360" w:type="dxa"/>
            <w:vAlign w:val="center"/>
          </w:tcPr>
          <w:p>
            <w:pPr>
              <w:jc w:val="right"/>
            </w:pPr>
            <w:r>
              <w:rPr>
                <w:rFonts w:ascii="宋体" w:hAnsi="宋体" w:eastAsia="宋体" w:cs="宋体"/>
                <w:b w:val="0"/>
                <w:i w:val="0"/>
                <w:color w:val="000000"/>
                <w:sz w:val="16"/>
              </w:rPr>
              <w:t>139.74</w:t>
            </w:r>
          </w:p>
        </w:tc>
        <w:tc>
          <w:tcPr>
            <w:tcW w:w="560" w:type="dxa"/>
            <w:vAlign w:val="center"/>
          </w:tcPr>
          <w:p>
            <w:pPr>
              <w:jc w:val="center"/>
            </w:pPr>
            <w:r>
              <w:rPr>
                <w:rFonts w:ascii="宋体" w:hAnsi="宋体" w:eastAsia="宋体" w:cs="宋体"/>
                <w:b w:val="0"/>
                <w:i w:val="0"/>
                <w:color w:val="000000"/>
                <w:sz w:val="16"/>
              </w:rPr>
              <w:t>公用经费合计</w:t>
            </w: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pPr>
              <w:jc w:val="right"/>
            </w:pPr>
            <w:r>
              <w:rPr>
                <w:rFonts w:ascii="宋体" w:hAnsi="宋体" w:eastAsia="宋体" w:cs="宋体"/>
                <w:b w:val="0"/>
                <w:i w:val="0"/>
                <w:color w:val="000000"/>
                <w:sz w:val="16"/>
              </w:rPr>
              <w:t>0.80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公开07表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center"/>
            </w:pPr>
            <w:r>
              <w:rPr>
                <w:rFonts w:ascii="宋体" w:hAnsi="宋体" w:eastAsia="宋体" w:cs="宋体"/>
                <w:b w:val="0"/>
                <w:i w:val="0"/>
                <w:color w:val="000000"/>
                <w:sz w:val="20"/>
              </w:rPr>
              <w:t>项目</w:t>
            </w:r>
          </w:p>
        </w:tc>
        <w:tc>
          <w:tcPr>
            <w:tcW w:w="300" w:type="dxa"/>
            <w:vAlign w:val="center"/>
          </w:tcPr>
          <w:p/>
        </w:tc>
        <w:tc>
          <w:tcPr>
            <w:tcW w:w="300" w:type="dxa"/>
            <w:vAlign w:val="center"/>
          </w:tcPr>
          <w:p/>
        </w:tc>
        <w:tc>
          <w:tcPr>
            <w:tcW w:w="3660" w:type="dxa"/>
            <w:vAlign w:val="center"/>
          </w:tcP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vAlign w:val="center"/>
          </w:tcPr>
          <w:p>
            <w:pPr>
              <w:jc w:val="center"/>
            </w:pPr>
            <w:r>
              <w:rPr>
                <w:rFonts w:ascii="宋体" w:hAnsi="宋体" w:eastAsia="宋体" w:cs="宋体"/>
                <w:b w:val="0"/>
                <w:i w:val="0"/>
                <w:color w:val="000000"/>
                <w:sz w:val="20"/>
              </w:rPr>
              <w:t>本年支出</w:t>
            </w:r>
          </w:p>
        </w:tc>
        <w:tc>
          <w:tcPr>
            <w:tcW w:w="1560" w:type="dxa"/>
            <w:vAlign w:val="center"/>
          </w:tcPr>
          <w:p/>
        </w:tc>
        <w:tc>
          <w:tcPr>
            <w:tcW w:w="1560" w:type="dxa"/>
            <w:vAlign w:val="center"/>
          </w:tcP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00" w:type="dxa"/>
            <w:vAlign w:val="center"/>
          </w:tcPr>
          <w:p/>
        </w:tc>
        <w:tc>
          <w:tcPr>
            <w:tcW w:w="300" w:type="dxa"/>
            <w:vAlign w:val="center"/>
          </w:tcP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00" w:type="dxa"/>
            <w:vAlign w:val="center"/>
          </w:tcPr>
          <w:p/>
        </w:tc>
        <w:tc>
          <w:tcPr>
            <w:tcW w:w="300" w:type="dxa"/>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00" w:type="dxa"/>
            <w:vAlign w:val="center"/>
          </w:tcPr>
          <w:p/>
        </w:tc>
        <w:tc>
          <w:tcPr>
            <w:tcW w:w="300" w:type="dxa"/>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center"/>
            </w:pPr>
            <w:r>
              <w:rPr>
                <w:rFonts w:ascii="宋体" w:hAnsi="宋体" w:eastAsia="宋体" w:cs="宋体"/>
                <w:b w:val="0"/>
                <w:i w:val="0"/>
                <w:color w:val="000000"/>
                <w:sz w:val="20"/>
              </w:rPr>
              <w:t>栏次</w:t>
            </w:r>
          </w:p>
        </w:tc>
        <w:tc>
          <w:tcPr>
            <w:tcW w:w="300" w:type="dxa"/>
            <w:vAlign w:val="center"/>
          </w:tcPr>
          <w:p/>
        </w:tc>
        <w:tc>
          <w:tcPr>
            <w:tcW w:w="300" w:type="dxa"/>
            <w:vAlign w:val="center"/>
          </w:tcPr>
          <w:p/>
        </w:tc>
        <w:tc>
          <w:tcPr>
            <w:tcW w:w="3660" w:type="dxa"/>
            <w:vAlign w:val="center"/>
          </w:tcP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center"/>
            </w:pPr>
            <w:r>
              <w:rPr>
                <w:rFonts w:ascii="宋体" w:hAnsi="宋体" w:eastAsia="宋体" w:cs="宋体"/>
                <w:b w:val="0"/>
                <w:i w:val="0"/>
                <w:color w:val="000000"/>
                <w:sz w:val="20"/>
              </w:rPr>
              <w:t>合计</w:t>
            </w:r>
          </w:p>
        </w:tc>
        <w:tc>
          <w:tcPr>
            <w:tcW w:w="300" w:type="dxa"/>
            <w:vAlign w:val="center"/>
          </w:tcPr>
          <w:p/>
        </w:tc>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00" w:type="dxa"/>
            <w:vAlign w:val="center"/>
          </w:tcPr>
          <w:p/>
        </w:tc>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公开08表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0"/>
        <w:gridCol w:w="460"/>
        <w:gridCol w:w="46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center"/>
            </w:pPr>
            <w:r>
              <w:rPr>
                <w:rFonts w:ascii="宋体" w:hAnsi="宋体" w:eastAsia="宋体" w:cs="宋体"/>
                <w:b w:val="0"/>
                <w:i w:val="0"/>
                <w:color w:val="000000"/>
                <w:sz w:val="28"/>
              </w:rPr>
              <w:t>项目</w:t>
            </w:r>
          </w:p>
        </w:tc>
        <w:tc>
          <w:tcPr>
            <w:tcW w:w="460" w:type="dxa"/>
            <w:vAlign w:val="center"/>
          </w:tcPr>
          <w:p/>
        </w:tc>
        <w:tc>
          <w:tcPr>
            <w:tcW w:w="460" w:type="dxa"/>
            <w:vAlign w:val="center"/>
          </w:tcPr>
          <w:p/>
        </w:tc>
        <w:tc>
          <w:tcPr>
            <w:tcW w:w="5500" w:type="dxa"/>
            <w:vAlign w:val="center"/>
          </w:tcPr>
          <w:p/>
        </w:tc>
        <w:tc>
          <w:tcPr>
            <w:tcW w:w="2360" w:type="dxa"/>
            <w:vAlign w:val="center"/>
          </w:tcPr>
          <w:p>
            <w:pPr>
              <w:jc w:val="center"/>
            </w:pPr>
            <w:r>
              <w:rPr>
                <w:rFonts w:ascii="宋体" w:hAnsi="宋体" w:eastAsia="宋体" w:cs="宋体"/>
                <w:b w:val="0"/>
                <w:i w:val="0"/>
                <w:color w:val="000000"/>
                <w:sz w:val="28"/>
              </w:rPr>
              <w:t>本年支出</w:t>
            </w: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460" w:type="dxa"/>
            <w:vAlign w:val="center"/>
          </w:tcPr>
          <w:p/>
        </w:tc>
        <w:tc>
          <w:tcPr>
            <w:tcW w:w="460" w:type="dxa"/>
            <w:vAlign w:val="center"/>
          </w:tcP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460" w:type="dxa"/>
            <w:vAlign w:val="center"/>
          </w:tcPr>
          <w:p/>
        </w:tc>
        <w:tc>
          <w:tcPr>
            <w:tcW w:w="460" w:type="dxa"/>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460" w:type="dxa"/>
            <w:vAlign w:val="center"/>
          </w:tcPr>
          <w:p/>
        </w:tc>
        <w:tc>
          <w:tcPr>
            <w:tcW w:w="460" w:type="dxa"/>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center"/>
            </w:pPr>
            <w:r>
              <w:rPr>
                <w:rFonts w:ascii="宋体" w:hAnsi="宋体" w:eastAsia="宋体" w:cs="宋体"/>
                <w:b w:val="0"/>
                <w:i w:val="0"/>
                <w:color w:val="000000"/>
                <w:sz w:val="28"/>
              </w:rPr>
              <w:t>栏次</w:t>
            </w:r>
          </w:p>
        </w:tc>
        <w:tc>
          <w:tcPr>
            <w:tcW w:w="460" w:type="dxa"/>
            <w:vAlign w:val="center"/>
          </w:tcPr>
          <w:p/>
        </w:tc>
        <w:tc>
          <w:tcPr>
            <w:tcW w:w="460" w:type="dxa"/>
            <w:vAlign w:val="center"/>
          </w:tcPr>
          <w:p/>
        </w:tc>
        <w:tc>
          <w:tcPr>
            <w:tcW w:w="5500" w:type="dxa"/>
            <w:vAlign w:val="center"/>
          </w:tcP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center"/>
            </w:pPr>
            <w:r>
              <w:rPr>
                <w:rFonts w:ascii="宋体" w:hAnsi="宋体" w:eastAsia="宋体" w:cs="宋体"/>
                <w:b w:val="0"/>
                <w:i w:val="0"/>
                <w:color w:val="000000"/>
                <w:sz w:val="28"/>
              </w:rPr>
              <w:t>合计</w:t>
            </w:r>
          </w:p>
        </w:tc>
        <w:tc>
          <w:tcPr>
            <w:tcW w:w="460" w:type="dxa"/>
            <w:vAlign w:val="center"/>
          </w:tcPr>
          <w:p/>
        </w:tc>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460" w:type="dxa"/>
            <w:vAlign w:val="center"/>
          </w:tcPr>
          <w:p/>
        </w:tc>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公开09表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单位：许昌市军队离退休干部第一休养所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预算数</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pPr>
              <w:jc w:val="center"/>
            </w:pPr>
            <w:r>
              <w:rPr>
                <w:rFonts w:ascii="宋体" w:hAnsi="宋体" w:eastAsia="宋体" w:cs="宋体"/>
                <w:b w:val="0"/>
                <w:i w:val="0"/>
                <w:color w:val="000000"/>
                <w:sz w:val="17"/>
              </w:rPr>
              <w:t>决算数</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vAlign w:val="center"/>
          </w:tcPr>
          <w:p>
            <w:pPr>
              <w:jc w:val="center"/>
            </w:pPr>
            <w:r>
              <w:rPr>
                <w:rFonts w:ascii="宋体" w:hAnsi="宋体" w:eastAsia="宋体" w:cs="宋体"/>
                <w:b w:val="0"/>
                <w:i w:val="0"/>
                <w:color w:val="000000"/>
                <w:sz w:val="17"/>
              </w:rPr>
              <w:t>公务用车购置及运行维护费</w:t>
            </w:r>
          </w:p>
        </w:tc>
        <w:tc>
          <w:tcPr>
            <w:tcW w:w="1160" w:type="dxa"/>
            <w:vAlign w:val="center"/>
          </w:tcPr>
          <w:p/>
        </w:tc>
        <w:tc>
          <w:tcPr>
            <w:tcW w:w="1160" w:type="dxa"/>
            <w:vAlign w:val="center"/>
          </w:tcP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vAlign w:val="center"/>
          </w:tcPr>
          <w:p>
            <w:pPr>
              <w:jc w:val="center"/>
            </w:pPr>
            <w:r>
              <w:rPr>
                <w:rFonts w:ascii="宋体" w:hAnsi="宋体" w:eastAsia="宋体" w:cs="宋体"/>
                <w:b w:val="0"/>
                <w:i w:val="0"/>
                <w:color w:val="000000"/>
                <w:sz w:val="17"/>
              </w:rPr>
              <w:t>公务用车购置及运行维护费</w:t>
            </w:r>
          </w:p>
        </w:tc>
        <w:tc>
          <w:tcPr>
            <w:tcW w:w="1160" w:type="dxa"/>
            <w:vAlign w:val="center"/>
          </w:tcPr>
          <w:p/>
        </w:tc>
        <w:tc>
          <w:tcPr>
            <w:tcW w:w="1160" w:type="dxa"/>
            <w:vAlign w:val="center"/>
          </w:tcP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27.56</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27.56</w:t>
            </w:r>
          </w:p>
        </w:tc>
        <w:tc>
          <w:tcPr>
            <w:tcW w:w="1160" w:type="dxa"/>
            <w:vAlign w:val="center"/>
          </w:tcPr>
          <w:p>
            <w:pPr>
              <w:jc w:val="right"/>
            </w:pPr>
            <w:r>
              <w:rPr>
                <w:rFonts w:ascii="宋体" w:hAnsi="宋体" w:eastAsia="宋体" w:cs="宋体"/>
                <w:b w:val="0"/>
                <w:i w:val="0"/>
                <w:color w:val="000000"/>
                <w:sz w:val="17"/>
              </w:rPr>
              <w:t>24.98</w:t>
            </w:r>
          </w:p>
        </w:tc>
        <w:tc>
          <w:tcPr>
            <w:tcW w:w="1160" w:type="dxa"/>
            <w:vAlign w:val="center"/>
          </w:tcPr>
          <w:p>
            <w:pPr>
              <w:jc w:val="right"/>
            </w:pPr>
            <w:r>
              <w:rPr>
                <w:rFonts w:ascii="宋体" w:hAnsi="宋体" w:eastAsia="宋体" w:cs="宋体"/>
                <w:b w:val="0"/>
                <w:i w:val="0"/>
                <w:color w:val="000000"/>
                <w:sz w:val="17"/>
              </w:rPr>
              <w:t>2.58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27.56</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27.56</w:t>
            </w:r>
          </w:p>
        </w:tc>
        <w:tc>
          <w:tcPr>
            <w:tcW w:w="1160" w:type="dxa"/>
            <w:vAlign w:val="center"/>
          </w:tcPr>
          <w:p>
            <w:pPr>
              <w:jc w:val="right"/>
            </w:pPr>
            <w:r>
              <w:rPr>
                <w:rFonts w:ascii="宋体" w:hAnsi="宋体" w:eastAsia="宋体" w:cs="宋体"/>
                <w:b w:val="0"/>
                <w:i w:val="0"/>
                <w:color w:val="000000"/>
                <w:sz w:val="17"/>
              </w:rPr>
              <w:t>24.98</w:t>
            </w:r>
          </w:p>
        </w:tc>
        <w:tc>
          <w:tcPr>
            <w:tcW w:w="1160" w:type="dxa"/>
            <w:vAlign w:val="center"/>
          </w:tcPr>
          <w:p>
            <w:pPr>
              <w:jc w:val="right"/>
            </w:pPr>
            <w:r>
              <w:rPr>
                <w:rFonts w:ascii="宋体" w:hAnsi="宋体" w:eastAsia="宋体" w:cs="宋体"/>
                <w:b w:val="0"/>
                <w:i w:val="0"/>
                <w:color w:val="000000"/>
                <w:sz w:val="17"/>
              </w:rPr>
              <w:t>2.58</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2023年度收、支总计均为1193.95万元。与上年度相比，收、支总计各增加252.31万元，增长26.79%。主要原因是新接收军队退休干部，军休干部人员增加；军休干部增加工资；军休干部抚恤金支出。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1168.97万元，其中：财政拨款收入1168.97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2023年度支出合计1193.95万元，其中：基本支出140.54万元，占11.77%；项目支出1053.41万元，占88.23%；上缴上级支出0.00万元，占0.00%；经营支出0.00万元，占0.00%；对附属单位补助支出0.00万元，占0.00%。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2023年度财政拨款收、支总计均为1193.95万元。与上年度相比，财政拨款收、支总计各增加252.31万元，增长26.79%。主要原因是新接收军队退休干部，军休干部人员增加；军休干部增加工资；军休干部抚恤金支出。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1193.95万元，占支出合计的100.00%。与上年度相比，一般公共预算财政拨款支出增加252.31万元，增长26.79%。主要原因是新接收军队退休干部，军休干部人员增加；军休干部增加工资；军休干部抚恤金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2023年度一般公共预算财政拨款支出1193.95万元，主要用于以下方面：一般公共服务支出（类）0.80万元，占0.07%；社会保障和就业支出（类）1136.04万元，占95.15%；卫生健康支出（类）57.11万元，占4.78%。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2023年度一般公共预算财政拨款支出年初预算为1193.95万元，支出决算为1193.95万元，完成年初预算的100.00%。其中：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年初预算数为0.80万元，决算数0.80万元,完成年初预算的100.00%，决算数与年初预算数不存在差异。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2.社会保障和就业支出（类）抚恤（款）死亡抚恤（项）</w:t>
      </w:r>
      <w:r>
        <w:rPr>
          <w:rFonts w:hint="default" w:ascii="仿宋" w:hAnsi="仿宋" w:eastAsia="仿宋" w:cs="仿宋"/>
          <w:kern w:val="2"/>
          <w:sz w:val="32"/>
          <w:szCs w:val="32"/>
          <w:lang w:val="en-US" w:eastAsia="zh-CN"/>
        </w:rPr>
        <w:t>年初预算数为0.00万元，决算数82.64万元,决算数与年初预算数存在差异的主要原因是上级下达资金未列入单位预算。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3.社会保障和就业支出（类）退役安置（款）军队移交政府离退休干部管理机构（项）</w:t>
      </w:r>
      <w:r>
        <w:rPr>
          <w:rFonts w:hint="default" w:ascii="仿宋" w:hAnsi="仿宋" w:eastAsia="仿宋" w:cs="仿宋"/>
          <w:kern w:val="2"/>
          <w:sz w:val="32"/>
          <w:szCs w:val="32"/>
          <w:lang w:val="en-US" w:eastAsia="zh-CN"/>
        </w:rPr>
        <w:t>年初预算数为209.16万元，决算数1051.32万元,完成年初预算的502.64%，决算数与年初预算数存在差异的主要原因是上级下达资金未列入单位预算。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4.社会保障和就业支出（类）退役安置（款）其他退役安置支出（项）</w:t>
      </w:r>
      <w:r>
        <w:rPr>
          <w:rFonts w:hint="default" w:ascii="仿宋" w:hAnsi="仿宋" w:eastAsia="仿宋" w:cs="仿宋"/>
          <w:kern w:val="2"/>
          <w:sz w:val="32"/>
          <w:szCs w:val="32"/>
          <w:lang w:val="en-US" w:eastAsia="zh-CN"/>
        </w:rPr>
        <w:t>年初预算数为0.00万元，决算数2.08万元,决算数与年初预算数存在差异的主要原因是上级下达资金未列入单位预算。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年初预算数为4.36万元，决算数57.11万元,完成年初预算的1309.86%，决算数与年初预算数存在差异的主要原因是上级下达资金未列入单位预算。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2023年度一般公共预算财政拨款基本支出140.54万元。其中：人员经费139.74万元，主要包括：离休费、抚恤金。公用经费0.80万元，主要包括：工会经费。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2023年度“三公”经费财政拨款支出预算为27.56万元，支出决算为27.56万元，完成预算的100.00%。2023年度“三公”经费支出决算数与预算数无差异。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27.56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预算为27.56万元，支出决算为27.56万元，完成预算的100.00%。决算数与预算数无差异。其中：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24.98万元，购置车辆1台，其中离退休干部服务用车1辆。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2.58万元。主要用于为军休干部服务。2023年期末，单位开支财政拨款的公务用车保有量为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2023年期末，本单位共有车辆2辆，其中：省级领导干部用车0辆、主要领导干部用车0辆、机要通信用车2辆、应急保障车0辆、执法执勤用车0辆、特种专业技术用车0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涉及预算资金1193.95万元。自评得分为10分，等级为“优”。从单位整体自评情况来看，情况良好。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基于项目预期目标的实现程度，我单位对2023年度单位预算项目支出（含单位参与分配的转移支付项目）开展绩效自评，涉及项目5个，项目金额874.36万元。其中：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（1）提前下达2023年退役安置补助经费771.55万元，自评得分为100分，等级为“优”，预算执行率99.98%。经费拨付合规，安排科学，严格落实军队离退休干部及其家属保障待遇，维护管理机构正常运转。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（2）提前下达2022年退役安置补助经费离退休费84.63万元，自评得分为100分，等级为“优”，预算执行率100%。经费拨付合规，安排科学，严格落实军队离退休干部保障待遇，维护管理机构正常运转。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（3）提前下达2022年退役安置补助经费军休经费15.86万元，自评得分为100分，等级为“优”，预算执行率100%。经费拨付合规，安排科学，严格落实军队离退休干部及其家属保障待遇。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（4）提前下达2022年退役安置补助经费管理机构1.7万元，自评得分为100分，等级为“优”，预算执行率100%。经费拨付合规，安排科学，维护管理机构正常运转。</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（5）下达2022年退役安置省级补助资金0.62万元，自评得分为100分，等级为“优”，预算执行率100%。 经费拨付合规，安排科学，严格落实军队离退休干部及其家属保障待遇。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经费拨付合规，安排科学，严格落实军队离退休干部及其家属保障待遇，维护管理机构正常运转。项目目标基本完成，存在的主要问题是预算执行未达到100%。针对以上问题，将采取部分整改措施，如完善项目管理制度，规范项目管理流程；加强预算执行和绩效管理监督力度，及时汇总反馈，提高工作质量。。</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4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2"/>
        <w:gridCol w:w="1199"/>
        <w:gridCol w:w="681"/>
        <w:gridCol w:w="1394"/>
        <w:gridCol w:w="2141"/>
        <w:gridCol w:w="1289"/>
        <w:gridCol w:w="1741"/>
        <w:gridCol w:w="792"/>
        <w:gridCol w:w="802"/>
        <w:gridCol w:w="876"/>
        <w:gridCol w:w="81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4350" w:type="dxa"/>
            <w:gridSpan w:val="12"/>
            <w:shd w:val="clear" w:color="auto" w:fill="auto"/>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部门（单位）名称</w:t>
            </w:r>
          </w:p>
        </w:tc>
        <w:tc>
          <w:tcPr>
            <w:tcW w:w="10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部门整体支出情况</w:t>
            </w: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部门预算总额（万元）</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1193.95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1193.95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1193.81</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99.98</w:t>
            </w:r>
            <w:r>
              <w:rPr>
                <w:rFonts w:ascii="宋体" w:hAnsi="宋体" w:eastAsia="宋体" w:cs="宋体"/>
                <w:i w:val="0"/>
                <w:color w:val="000000"/>
                <w:kern w:val="0"/>
                <w:sz w:val="18"/>
                <w:szCs w:val="18"/>
                <w:u w:val="none"/>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1193.95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1193.95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1193.81</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99.98</w:t>
            </w:r>
            <w:r>
              <w:rPr>
                <w:rFonts w:ascii="宋体" w:hAnsi="宋体" w:eastAsia="宋体" w:cs="宋体"/>
                <w:i w:val="0"/>
                <w:color w:val="000000"/>
                <w:kern w:val="0"/>
                <w:sz w:val="18"/>
                <w:szCs w:val="18"/>
                <w:u w:val="none"/>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67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6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67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拨付各项军休经费，提高接收军队离退休干部及其家属保障待遇，维护服务管理机构正常运转。</w:t>
            </w:r>
          </w:p>
        </w:tc>
        <w:tc>
          <w:tcPr>
            <w:tcW w:w="6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拨付各项军休经费，提高接收军队离退休干部及其家属保障待遇，维护服务管理机构正常运转。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6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关于提前下达2022年退役安置补助经费</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拨付各项军休经费，提高接收军队离退休干部及其家属保障待遇，维护服务管理机构正常运转。</w:t>
            </w:r>
          </w:p>
        </w:tc>
        <w:tc>
          <w:tcPr>
            <w:tcW w:w="6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通过下拨军队离退休人员经费，提高1984年以来接收军队离退休干部以及家属、遗属，和无军籍职工各项待遇，维护服务管理机构正常运转。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军休一所军队离退休人员和无军籍职工经费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1193.95</w:t>
            </w:r>
            <w:r>
              <w:rPr>
                <w:rFonts w:ascii="宋体" w:hAnsi="宋体" w:eastAsia="宋体" w:cs="宋体"/>
                <w:i w:val="0"/>
                <w:color w:val="000000"/>
                <w:kern w:val="0"/>
                <w:sz w:val="18"/>
                <w:szCs w:val="18"/>
                <w:u w:val="none"/>
                <w:lang w:val="en-US" w:eastAsia="zh-CN"/>
              </w:rPr>
              <w:t>万元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1193.81</w:t>
            </w:r>
            <w:r>
              <w:rPr>
                <w:rFonts w:ascii="宋体" w:hAnsi="宋体" w:eastAsia="宋体" w:cs="宋体"/>
                <w:i w:val="0"/>
                <w:color w:val="000000"/>
                <w:kern w:val="0"/>
                <w:sz w:val="18"/>
                <w:szCs w:val="18"/>
                <w:u w:val="none"/>
                <w:lang w:val="en-US" w:eastAsia="zh-CN"/>
              </w:rPr>
              <w:t>万元</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r>
              <w:rPr>
                <w:rFonts w:ascii="宋体" w:hAnsi="宋体" w:eastAsia="宋体" w:cs="宋体"/>
                <w:i w:val="0"/>
                <w:color w:val="000000"/>
                <w:kern w:val="0"/>
                <w:sz w:val="18"/>
                <w:szCs w:val="18"/>
                <w:u w:val="none"/>
                <w:lang w:val="en-US" w:eastAsia="zh-CN"/>
              </w:rPr>
              <w:t>%</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按照部门预算编制和资金管理办法的要求，做好预算编制、指标安排等工作。</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0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0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严格按照下达预算的科目和项目执行，专款专用。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0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2141"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该资金已纳入绩效管理，科学合理确定绩效目标，开展绩效监控。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02" w:type="dxa"/>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2075" w:type="dxa"/>
            <w:gridSpan w:val="2"/>
            <w:vMerge w:val="restart"/>
            <w:tcBorders>
              <w:top w:val="single" w:color="000000" w:sz="4" w:space="0"/>
              <w:left w:val="single" w:color="000000" w:sz="4" w:space="0"/>
              <w:bottom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资金按规定足额拨付率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vMerge w:val="continue"/>
            <w:tcBorders>
              <w:top w:val="single" w:color="000000" w:sz="4" w:space="0"/>
              <w:left w:val="single" w:color="000000" w:sz="4" w:space="0"/>
              <w:bottom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拨付资金时间节点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w:t>
            </w:r>
            <w:r>
              <w:rPr>
                <w:rFonts w:hint="eastAsia" w:ascii="宋体" w:hAnsi="宋体" w:eastAsia="宋体" w:cs="宋体"/>
                <w:i w:val="0"/>
                <w:color w:val="000000"/>
                <w:kern w:val="0"/>
                <w:sz w:val="18"/>
                <w:szCs w:val="18"/>
                <w:u w:val="none"/>
                <w:lang w:val="en-US" w:eastAsia="zh-CN"/>
              </w:rPr>
              <w:t>3</w:t>
            </w:r>
            <w:r>
              <w:rPr>
                <w:rFonts w:ascii="宋体" w:hAnsi="宋体" w:eastAsia="宋体" w:cs="宋体"/>
                <w:i w:val="0"/>
                <w:color w:val="000000"/>
                <w:kern w:val="0"/>
                <w:sz w:val="18"/>
                <w:szCs w:val="18"/>
                <w:u w:val="none"/>
                <w:lang w:val="en-US" w:eastAsia="zh-CN"/>
              </w:rPr>
              <w:t>年12月底</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2141" w:type="dxa"/>
            <w:tcBorders>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补助军队离退休干部人数</w:t>
            </w:r>
          </w:p>
        </w:tc>
        <w:tc>
          <w:tcPr>
            <w:tcW w:w="1289" w:type="dxa"/>
            <w:tcBorders>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200</w:t>
            </w:r>
            <w:r>
              <w:rPr>
                <w:rFonts w:ascii="宋体" w:hAnsi="宋体" w:eastAsia="宋体" w:cs="宋体"/>
                <w:i w:val="0"/>
                <w:color w:val="000000"/>
                <w:kern w:val="0"/>
                <w:sz w:val="18"/>
                <w:szCs w:val="18"/>
                <w:u w:val="none"/>
                <w:lang w:val="en-US" w:eastAsia="zh-CN"/>
              </w:rPr>
              <w:t>人</w:t>
            </w:r>
          </w:p>
        </w:tc>
        <w:tc>
          <w:tcPr>
            <w:tcW w:w="1741" w:type="dxa"/>
            <w:tcBorders>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r>
              <w:rPr>
                <w:rFonts w:hint="eastAsia" w:ascii="宋体" w:hAnsi="宋体" w:eastAsia="宋体" w:cs="宋体"/>
                <w:i w:val="0"/>
                <w:color w:val="000000"/>
                <w:kern w:val="0"/>
                <w:sz w:val="18"/>
                <w:szCs w:val="18"/>
                <w:u w:val="none"/>
                <w:lang w:val="en-US" w:eastAsia="zh-CN"/>
              </w:rPr>
              <w:t>9</w:t>
            </w:r>
            <w:r>
              <w:rPr>
                <w:rFonts w:ascii="宋体" w:hAnsi="宋体" w:eastAsia="宋体" w:cs="宋体"/>
                <w:i w:val="0"/>
                <w:color w:val="000000"/>
                <w:kern w:val="0"/>
                <w:sz w:val="18"/>
                <w:szCs w:val="18"/>
                <w:u w:val="none"/>
                <w:lang w:val="en-US" w:eastAsia="zh-CN"/>
              </w:rPr>
              <w:t>0人</w:t>
            </w:r>
          </w:p>
        </w:tc>
        <w:tc>
          <w:tcPr>
            <w:tcW w:w="792" w:type="dxa"/>
            <w:tcBorders>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02" w:type="dxa"/>
            <w:tcBorders>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落实军队离退休人员和无军籍职工各项待遇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有效落实</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军队离退休人员和无军籍职工满意度</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8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color w:val="000000"/>
                <w:sz w:val="18"/>
                <w:szCs w:val="18"/>
                <w:u w:val="none"/>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tbl>
      <w:tblPr>
        <w:tblStyle w:val="4"/>
        <w:tblW w:w="16285" w:type="dxa"/>
        <w:tblInd w:w="-15" w:type="dxa"/>
        <w:shd w:val="clear" w:color="auto" w:fill="auto"/>
        <w:tblLayout w:type="fixed"/>
        <w:tblCellMar>
          <w:top w:w="15" w:type="dxa"/>
          <w:left w:w="15" w:type="dxa"/>
          <w:bottom w:w="15" w:type="dxa"/>
          <w:right w:w="15" w:type="dxa"/>
        </w:tblCellMar>
      </w:tblPr>
      <w:tblGrid>
        <w:gridCol w:w="881"/>
        <w:gridCol w:w="1043"/>
        <w:gridCol w:w="1220"/>
        <w:gridCol w:w="1220"/>
        <w:gridCol w:w="1071"/>
        <w:gridCol w:w="1739"/>
        <w:gridCol w:w="897"/>
        <w:gridCol w:w="1397"/>
        <w:gridCol w:w="1147"/>
        <w:gridCol w:w="1176"/>
        <w:gridCol w:w="999"/>
        <w:gridCol w:w="1181"/>
        <w:gridCol w:w="2314"/>
      </w:tblGrid>
      <w:tr>
        <w:tblPrEx>
          <w:tblCellMar>
            <w:top w:w="15" w:type="dxa"/>
            <w:left w:w="15" w:type="dxa"/>
            <w:bottom w:w="15" w:type="dxa"/>
            <w:right w:w="15" w:type="dxa"/>
          </w:tblCellMar>
        </w:tblPrEx>
        <w:trPr>
          <w:trHeight w:val="555" w:hRule="atLeast"/>
        </w:trPr>
        <w:tc>
          <w:tcPr>
            <w:tcW w:w="16285" w:type="dxa"/>
            <w:gridSpan w:val="13"/>
            <w:shd w:val="clear" w:color="auto" w:fill="auto"/>
            <w:vAlign w:val="center"/>
          </w:tcPr>
          <w:p>
            <w:pPr>
              <w:pStyle w:val="10"/>
              <w:keepNext/>
              <w:keepLines/>
              <w:widowControl/>
              <w:ind w:left="0" w:right="0"/>
              <w:contextualSpacing w:val="0"/>
              <w:jc w:val="center"/>
              <w:rPr>
                <w:rFonts w:ascii="宋体" w:hAnsi="宋体" w:eastAsia="宋体" w:cs="宋体"/>
                <w:b/>
                <w:i w:val="0"/>
                <w:color w:val="000000"/>
                <w:sz w:val="38"/>
                <w:u w:val="none"/>
              </w:rPr>
            </w:pPr>
            <w:r>
              <w:rPr>
                <w:rFonts w:ascii="宋体" w:hAnsi="宋体" w:eastAsia="宋体" w:cs="宋体"/>
                <w:b/>
                <w:i w:val="0"/>
                <w:color w:val="000000"/>
                <w:sz w:val="38"/>
                <w:u w:val="none"/>
                <w:lang w:val="en-US"/>
              </w:rPr>
              <w:t>项目单位自评表</w:t>
            </w:r>
          </w:p>
        </w:tc>
      </w:tr>
      <w:tr>
        <w:tblPrEx>
          <w:shd w:val="clear" w:color="auto" w:fill="auto"/>
          <w:tblCellMar>
            <w:top w:w="15" w:type="dxa"/>
            <w:left w:w="15" w:type="dxa"/>
            <w:bottom w:w="15" w:type="dxa"/>
            <w:right w:w="15" w:type="dxa"/>
          </w:tblCellMar>
        </w:tblPrEx>
        <w:trPr>
          <w:trHeight w:val="285"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项目名称</w:t>
            </w:r>
          </w:p>
        </w:tc>
        <w:tc>
          <w:tcPr>
            <w:tcW w:w="143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提前下达2023年退役安置补助经费（上级提前下达）</w:t>
            </w:r>
          </w:p>
        </w:tc>
      </w:tr>
      <w:tr>
        <w:tblPrEx>
          <w:shd w:val="clear" w:color="auto" w:fill="auto"/>
          <w:tblCellMar>
            <w:top w:w="15" w:type="dxa"/>
            <w:left w:w="15" w:type="dxa"/>
            <w:bottom w:w="15" w:type="dxa"/>
            <w:right w:w="15" w:type="dxa"/>
          </w:tblCellMar>
        </w:tblPrEx>
        <w:trPr>
          <w:trHeight w:val="285"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主管部门</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许昌市退役军人事务局</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实施单位</w:t>
            </w:r>
          </w:p>
        </w:tc>
        <w:tc>
          <w:tcPr>
            <w:tcW w:w="68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许昌市军队离退休干部第一休养所</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项目资金（万元）</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年初预算数</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全年预算数</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执行率 %</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年度资金总额（万元）：</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771.55</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771.55</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771.41</w:t>
            </w:r>
          </w:p>
        </w:tc>
        <w:tc>
          <w:tcPr>
            <w:tcW w:w="999" w:type="dxa"/>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99.98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政府性预算资金</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771.55</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771.55</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771.41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99.98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财政专户管理资金</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单位资金</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shd w:val="clear" w:color="auto" w:fill="auto"/>
          <w:tblCellMar>
            <w:top w:w="15" w:type="dxa"/>
            <w:left w:w="15" w:type="dxa"/>
            <w:bottom w:w="15" w:type="dxa"/>
            <w:right w:w="15" w:type="dxa"/>
          </w:tblCellMar>
        </w:tblPrEx>
        <w:trPr>
          <w:trHeight w:val="285" w:hRule="atLeast"/>
        </w:trPr>
        <w:tc>
          <w:tcPr>
            <w:tcW w:w="1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资金管理情况</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 xml:space="preserve"> 情况说明</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存在问题和改进措施</w:t>
            </w:r>
          </w:p>
        </w:tc>
      </w:tr>
      <w:tr>
        <w:tblPrEx>
          <w:shd w:val="clear" w:color="auto" w:fill="auto"/>
          <w:tblCellMar>
            <w:top w:w="15" w:type="dxa"/>
            <w:left w:w="15" w:type="dxa"/>
            <w:bottom w:w="15" w:type="dxa"/>
            <w:right w:w="15" w:type="dxa"/>
          </w:tblCellMar>
        </w:tblPrEx>
        <w:trPr>
          <w:trHeight w:val="450"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安排科学性</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按照部门预算编制和资金管理办法的要求，做好预算编制、指标安排等工作。</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拨付合规性</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严格按照国库集中支付制度有关规定支付资金。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使用规范性</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严格按照下达预算的科目和项目执行，专款专用。</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预算绩效管理情况</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该资金已纳入绩效管理，科学合理确定绩效目标，开展绩效监控。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年度总体目标</w:t>
            </w:r>
          </w:p>
        </w:tc>
        <w:tc>
          <w:tcPr>
            <w:tcW w:w="6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预期目标</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实际完成情况</w:t>
            </w:r>
          </w:p>
        </w:tc>
      </w:tr>
      <w:tr>
        <w:tblPrEx>
          <w:shd w:val="clear" w:color="auto" w:fill="auto"/>
          <w:tblCellMar>
            <w:top w:w="15" w:type="dxa"/>
            <w:left w:w="15" w:type="dxa"/>
            <w:bottom w:w="15" w:type="dxa"/>
            <w:right w:w="15" w:type="dxa"/>
          </w:tblCellMar>
        </w:tblPrEx>
        <w:trPr>
          <w:trHeight w:val="85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6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通过拨付军休机构管理人员绩效工资等经费缺口资金，保障落实军休服务管理机构人员和无军籍职工各项待遇，维护军休机构的正常运转。</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已经通过拨付军休机构管理人员绩效工资等经费缺口资金，保障落实军休服务管理机构人员和无军籍职工各项待遇，维护军休机构的正常运转。</w:t>
            </w:r>
          </w:p>
        </w:tc>
      </w:tr>
      <w:tr>
        <w:tblPrEx>
          <w:shd w:val="clear" w:color="auto" w:fill="auto"/>
          <w:tblCellMar>
            <w:top w:w="15" w:type="dxa"/>
            <w:left w:w="15" w:type="dxa"/>
            <w:bottom w:w="15" w:type="dxa"/>
            <w:right w:w="15"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一级指标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二级指标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三级指标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年度指标值</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实际完成值</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偏差度 %</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偏差原因分析及改进措施</w:t>
            </w: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成本指标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经济成本指标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提前下达2023年退役安置补助</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771.55万元</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771.41万元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社会成本指标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生态环境成本指标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产出指标</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数量指标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在职和离退休人员人数</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≤50人</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50人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接收军队离退休人数（含无军籍职工）</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≤200人</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190人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质量指标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按政策标准足额发放比率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时效指标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资金拨付使用时间节点</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2023年12月底</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效益指标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经济效益指标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社会效益指标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军休服务管理机构人员和无军籍职工各项待遇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保障落实</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生态效益指标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45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满意度指标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服务对象满意度指标</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军休服务管理机构人员和无军籍职工满意度</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≥95%</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shd w:val="clear" w:color="auto" w:fill="auto"/>
          <w:tblCellMar>
            <w:top w:w="15" w:type="dxa"/>
            <w:left w:w="15" w:type="dxa"/>
            <w:bottom w:w="15" w:type="dxa"/>
            <w:right w:w="15"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85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总分</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bl>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tbl>
      <w:tblPr>
        <w:tblStyle w:val="4"/>
        <w:tblW w:w="16282" w:type="dxa"/>
        <w:tblInd w:w="-15" w:type="dxa"/>
        <w:shd w:val="clear" w:color="auto" w:fill="auto"/>
        <w:tblLayout w:type="fixed"/>
        <w:tblCellMar>
          <w:top w:w="15" w:type="dxa"/>
          <w:left w:w="15" w:type="dxa"/>
          <w:bottom w:w="15" w:type="dxa"/>
          <w:right w:w="15" w:type="dxa"/>
        </w:tblCellMar>
      </w:tblPr>
      <w:tblGrid>
        <w:gridCol w:w="882"/>
        <w:gridCol w:w="1043"/>
        <w:gridCol w:w="1220"/>
        <w:gridCol w:w="1220"/>
        <w:gridCol w:w="1072"/>
        <w:gridCol w:w="1737"/>
        <w:gridCol w:w="896"/>
        <w:gridCol w:w="1396"/>
        <w:gridCol w:w="1148"/>
        <w:gridCol w:w="1177"/>
        <w:gridCol w:w="999"/>
        <w:gridCol w:w="1177"/>
        <w:gridCol w:w="2315"/>
      </w:tblGrid>
      <w:tr>
        <w:tblPrEx>
          <w:shd w:val="clear" w:color="auto" w:fill="auto"/>
          <w:tblCellMar>
            <w:top w:w="15" w:type="dxa"/>
            <w:left w:w="15" w:type="dxa"/>
            <w:bottom w:w="15" w:type="dxa"/>
            <w:right w:w="15" w:type="dxa"/>
          </w:tblCellMar>
        </w:tblPrEx>
        <w:trPr>
          <w:trHeight w:val="555" w:hRule="atLeast"/>
        </w:trPr>
        <w:tc>
          <w:tcPr>
            <w:tcW w:w="16282" w:type="dxa"/>
            <w:gridSpan w:val="13"/>
            <w:shd w:val="clear" w:color="auto" w:fill="auto"/>
            <w:vAlign w:val="center"/>
          </w:tcPr>
          <w:p>
            <w:pPr>
              <w:pStyle w:val="10"/>
              <w:keepNext/>
              <w:keepLines/>
              <w:widowControl/>
              <w:ind w:left="0" w:right="0"/>
              <w:contextualSpacing w:val="0"/>
              <w:jc w:val="center"/>
              <w:rPr>
                <w:rFonts w:ascii="宋体" w:hAnsi="宋体" w:eastAsia="宋体" w:cs="宋体"/>
                <w:b/>
                <w:i w:val="0"/>
                <w:color w:val="000000"/>
                <w:sz w:val="38"/>
                <w:u w:val="none"/>
              </w:rPr>
            </w:pPr>
            <w:r>
              <w:rPr>
                <w:rFonts w:ascii="宋体" w:hAnsi="宋体" w:eastAsia="宋体" w:cs="宋体"/>
                <w:b/>
                <w:i w:val="0"/>
                <w:color w:val="000000"/>
                <w:sz w:val="38"/>
                <w:u w:val="none"/>
                <w:lang w:val="en-US"/>
              </w:rPr>
              <w:t>项目单位自评表</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项目名称</w:t>
            </w:r>
          </w:p>
        </w:tc>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提前下达2022年退役安置补助经费离退休费(结转上级资金)</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主管部门</w:t>
            </w:r>
          </w:p>
        </w:tc>
        <w:tc>
          <w:tcPr>
            <w:tcW w:w="5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许昌市退役军人事务局</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实施单位</w:t>
            </w:r>
          </w:p>
        </w:tc>
        <w:tc>
          <w:tcPr>
            <w:tcW w:w="68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许昌市军队离退休干部第一休养所</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项目资金（万元）</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年初预算数</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全年预算数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执行率 %</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年度资金总额（万元）：</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999" w:type="dxa"/>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政府性预算资金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财政专户管理资金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单位资金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资金管理情况</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 xml:space="preserve"> 情况说明</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存在问题和改进措施</w:t>
            </w: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安排科学性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按照部门预算编制和资金管理办法的要求，做好预算编制、指标安排等工作。</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拨付合规性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严格按照国库集中支付制度有关规定支付资金。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使用规范性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严格按照下达预算的科目和项目执行，专款专用。</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预算绩效管理情况</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该资金已纳入绩效管理，科学合理确定绩效目标，开展绩效监控。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年度总体目标</w:t>
            </w:r>
          </w:p>
        </w:tc>
        <w:tc>
          <w:tcPr>
            <w:tcW w:w="6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预期目标</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实际完成情况</w:t>
            </w:r>
          </w:p>
        </w:tc>
      </w:tr>
      <w:tr>
        <w:tblPrEx>
          <w:tblCellMar>
            <w:top w:w="15" w:type="dxa"/>
            <w:left w:w="15" w:type="dxa"/>
            <w:bottom w:w="15" w:type="dxa"/>
            <w:right w:w="15" w:type="dxa"/>
          </w:tblCellMar>
        </w:tblPrEx>
        <w:trPr>
          <w:trHeight w:val="85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6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通过发放军队离退休人员经费，提高1984年以来接收军队离退休干部及其家属、遗属，以及无军籍职工各项待遇，维护服务管理机构驻村运转。</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已经通过发放军队离退休人员经费，提高1984年以来接收军队离退休干部及其家属、遗属，以及无军籍职工各项待遇，维护服务管理机构驻村运转。</w:t>
            </w: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一级指标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二级指标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三级指标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年度指标值</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偏差度 %</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偏差原因分析及改进措施</w:t>
            </w: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成本指标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经济成本指标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军休一所2022年退役安置补助经费离退休费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84.63万元</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84.63万元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社会成本指标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生态环境成本指标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产出指标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数量指标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补助军队离退休人员和无军籍职工人数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≥60人</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60人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质量指标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经费发放符合相关政策规定比率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时效指标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军队离退休人员和无军籍职工经费及时发放</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效益指标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经济效益指标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社会效益指标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落实军队离退休人员各项待遇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满意度指标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服务对象满意度指标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军队离退休人员和无军籍职工满意率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≥95%</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85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总分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bl>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tbl>
      <w:tblPr>
        <w:tblStyle w:val="4"/>
        <w:tblW w:w="16282" w:type="dxa"/>
        <w:tblInd w:w="-15" w:type="dxa"/>
        <w:shd w:val="clear" w:color="auto" w:fill="auto"/>
        <w:tblLayout w:type="fixed"/>
        <w:tblCellMar>
          <w:top w:w="15" w:type="dxa"/>
          <w:left w:w="15" w:type="dxa"/>
          <w:bottom w:w="15" w:type="dxa"/>
          <w:right w:w="15" w:type="dxa"/>
        </w:tblCellMar>
      </w:tblPr>
      <w:tblGrid>
        <w:gridCol w:w="882"/>
        <w:gridCol w:w="1043"/>
        <w:gridCol w:w="1220"/>
        <w:gridCol w:w="1220"/>
        <w:gridCol w:w="1072"/>
        <w:gridCol w:w="1737"/>
        <w:gridCol w:w="896"/>
        <w:gridCol w:w="1396"/>
        <w:gridCol w:w="1148"/>
        <w:gridCol w:w="1177"/>
        <w:gridCol w:w="999"/>
        <w:gridCol w:w="1177"/>
        <w:gridCol w:w="2315"/>
      </w:tblGrid>
      <w:tr>
        <w:tblPrEx>
          <w:shd w:val="clear" w:color="auto" w:fill="auto"/>
          <w:tblCellMar>
            <w:top w:w="15" w:type="dxa"/>
            <w:left w:w="15" w:type="dxa"/>
            <w:bottom w:w="15" w:type="dxa"/>
            <w:right w:w="15" w:type="dxa"/>
          </w:tblCellMar>
        </w:tblPrEx>
        <w:trPr>
          <w:trHeight w:val="555" w:hRule="atLeast"/>
        </w:trPr>
        <w:tc>
          <w:tcPr>
            <w:tcW w:w="16282" w:type="dxa"/>
            <w:gridSpan w:val="13"/>
            <w:shd w:val="clear" w:color="auto" w:fill="auto"/>
            <w:vAlign w:val="center"/>
          </w:tcPr>
          <w:p>
            <w:pPr>
              <w:pStyle w:val="10"/>
              <w:keepNext/>
              <w:keepLines/>
              <w:widowControl/>
              <w:ind w:left="0" w:right="0"/>
              <w:contextualSpacing w:val="0"/>
              <w:jc w:val="center"/>
              <w:rPr>
                <w:rFonts w:ascii="宋体" w:hAnsi="宋体" w:eastAsia="宋体" w:cs="宋体"/>
                <w:b/>
                <w:i w:val="0"/>
                <w:color w:val="000000"/>
                <w:sz w:val="38"/>
                <w:u w:val="none"/>
              </w:rPr>
            </w:pPr>
            <w:r>
              <w:rPr>
                <w:rFonts w:ascii="宋体" w:hAnsi="宋体" w:eastAsia="宋体" w:cs="宋体"/>
                <w:b/>
                <w:i w:val="0"/>
                <w:color w:val="000000"/>
                <w:sz w:val="38"/>
                <w:u w:val="none"/>
                <w:lang w:val="en-US"/>
              </w:rPr>
              <w:t>项目单位自评表</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项目名称</w:t>
            </w:r>
          </w:p>
        </w:tc>
        <w:tc>
          <w:tcPr>
            <w:tcW w:w="14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提前下达2022年退役安置补助经费军休经费(结转上级资金)</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主管部门</w:t>
            </w:r>
          </w:p>
        </w:tc>
        <w:tc>
          <w:tcPr>
            <w:tcW w:w="5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许昌市退役军人事务局</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实施单位</w:t>
            </w:r>
          </w:p>
        </w:tc>
        <w:tc>
          <w:tcPr>
            <w:tcW w:w="68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许昌市军队离退休干部第一休养所</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项目资金（万元）</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年初预算数</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全年预算数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执行率 %</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年度资金总额（万元）：</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999" w:type="dxa"/>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政府性预算资金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财政专户管理资金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单位资金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资金管理情况</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 xml:space="preserve"> 情况说明</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存在问题和改进措施</w:t>
            </w: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安排科学性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按照部门预算编制和资金管理办法的要求，做好预算编制、指标安排等工作。</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拨付合规性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严格按照国库集中支付制度有关规定支付资金。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使用规范性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严格按照下达预算的科目和项目执行，专款专用。</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预算绩效管理情况</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该资金已纳入绩效管理，科学合理确定绩效目标，开展绩效监控。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年度总体目标</w:t>
            </w:r>
          </w:p>
        </w:tc>
        <w:tc>
          <w:tcPr>
            <w:tcW w:w="6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预期目标</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实际完成情况</w:t>
            </w:r>
          </w:p>
        </w:tc>
      </w:tr>
      <w:tr>
        <w:tblPrEx>
          <w:tblCellMar>
            <w:top w:w="15" w:type="dxa"/>
            <w:left w:w="15" w:type="dxa"/>
            <w:bottom w:w="15" w:type="dxa"/>
            <w:right w:w="15" w:type="dxa"/>
          </w:tblCellMar>
        </w:tblPrEx>
        <w:trPr>
          <w:trHeight w:val="85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6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提高1984年以来接收军队离退休干部及其家属、遗属，以及无军籍职工各项待遇，维护服务管理机构正常运转。</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提高了1984年以来接收军队离退休干部及其家属、遗属，以及无军籍职工各项待遇，维护服务管理机构正常运转。</w:t>
            </w: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一级指标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二级指标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三级指标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年度指标值</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偏差度 %</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偏差原因分析及改进措施</w:t>
            </w: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成本指标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经济成本指标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军休一所2022年退役安置补助经费军休人员</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15.86万元</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15.86万元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社会成本指标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生态环境成本指标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产出指标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数量指标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补助军队离退休人员和无军籍职工人数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≥60人</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60人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质量指标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经费使用符合相关政策规定比率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时效指标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军队离退休人员和无军籍职工及时使用率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效益指标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经济效益指标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社会效益指标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落实军队离退休人员各项待遇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满意度指标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服务对象满意度指标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军队离退休人员和无军籍职工满意率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≥95%</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85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总分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bl>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tbl>
      <w:tblPr>
        <w:tblStyle w:val="4"/>
        <w:tblW w:w="16284" w:type="dxa"/>
        <w:tblInd w:w="-15" w:type="dxa"/>
        <w:shd w:val="clear" w:color="auto" w:fill="auto"/>
        <w:tblLayout w:type="fixed"/>
        <w:tblCellMar>
          <w:top w:w="15" w:type="dxa"/>
          <w:left w:w="15" w:type="dxa"/>
          <w:bottom w:w="15" w:type="dxa"/>
          <w:right w:w="15" w:type="dxa"/>
        </w:tblCellMar>
      </w:tblPr>
      <w:tblGrid>
        <w:gridCol w:w="882"/>
        <w:gridCol w:w="1043"/>
        <w:gridCol w:w="1221"/>
        <w:gridCol w:w="1221"/>
        <w:gridCol w:w="1072"/>
        <w:gridCol w:w="1737"/>
        <w:gridCol w:w="896"/>
        <w:gridCol w:w="1395"/>
        <w:gridCol w:w="1148"/>
        <w:gridCol w:w="1177"/>
        <w:gridCol w:w="999"/>
        <w:gridCol w:w="1177"/>
        <w:gridCol w:w="2316"/>
      </w:tblGrid>
      <w:tr>
        <w:tblPrEx>
          <w:shd w:val="clear" w:color="auto" w:fill="auto"/>
          <w:tblCellMar>
            <w:top w:w="15" w:type="dxa"/>
            <w:left w:w="15" w:type="dxa"/>
            <w:bottom w:w="15" w:type="dxa"/>
            <w:right w:w="15" w:type="dxa"/>
          </w:tblCellMar>
        </w:tblPrEx>
        <w:trPr>
          <w:trHeight w:val="555" w:hRule="atLeast"/>
        </w:trPr>
        <w:tc>
          <w:tcPr>
            <w:tcW w:w="16284" w:type="dxa"/>
            <w:gridSpan w:val="13"/>
            <w:shd w:val="clear" w:color="auto" w:fill="auto"/>
            <w:vAlign w:val="center"/>
          </w:tcPr>
          <w:p>
            <w:pPr>
              <w:pStyle w:val="10"/>
              <w:keepNext/>
              <w:keepLines/>
              <w:widowControl/>
              <w:ind w:left="0" w:right="0"/>
              <w:contextualSpacing w:val="0"/>
              <w:jc w:val="center"/>
              <w:rPr>
                <w:rFonts w:ascii="宋体" w:hAnsi="宋体" w:eastAsia="宋体" w:cs="宋体"/>
                <w:b/>
                <w:i w:val="0"/>
                <w:color w:val="000000"/>
                <w:sz w:val="38"/>
                <w:u w:val="none"/>
              </w:rPr>
            </w:pPr>
            <w:r>
              <w:rPr>
                <w:rFonts w:ascii="宋体" w:hAnsi="宋体" w:eastAsia="宋体" w:cs="宋体"/>
                <w:b/>
                <w:i w:val="0"/>
                <w:color w:val="000000"/>
                <w:sz w:val="38"/>
                <w:u w:val="none"/>
                <w:lang w:val="en-US"/>
              </w:rPr>
              <w:t>项目单位自评表</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项目名称</w:t>
            </w:r>
          </w:p>
        </w:tc>
        <w:tc>
          <w:tcPr>
            <w:tcW w:w="143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提前下达2022年退役安置补助经费管理机构(结转上级资金)</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主管部门</w:t>
            </w:r>
          </w:p>
        </w:tc>
        <w:tc>
          <w:tcPr>
            <w:tcW w:w="52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许昌市退役军人事务局</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实施单位</w:t>
            </w:r>
          </w:p>
        </w:tc>
        <w:tc>
          <w:tcPr>
            <w:tcW w:w="68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许昌市军队离退休干部第一休养所</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项目资金（万元）</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年初预算数</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全年预算数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执行率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年度资金总额（万元）：</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999" w:type="dxa"/>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政府性预算资金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财政专户管理资金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单位资金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资金管理情况</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 xml:space="preserve"> 情况说明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存在问题和改进措施</w:t>
            </w: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安排科学性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按照部门预算编制和资金管理办法的要求，做好预算编制、指标安排等工作。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拨付合规性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严格按照国库集中支付制度有关规定支付资金。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使用规范性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严格按照下达预算的科目和项目执行，专款专用。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预算绩效管理情况</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该资金已纳入绩效管理，科学合理确定绩效目标，开展绩效监控。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年度总体目标</w:t>
            </w:r>
          </w:p>
        </w:tc>
        <w:tc>
          <w:tcPr>
            <w:tcW w:w="6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预期目标</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实际完成情况</w:t>
            </w:r>
          </w:p>
        </w:tc>
      </w:tr>
      <w:tr>
        <w:tblPrEx>
          <w:tblCellMar>
            <w:top w:w="15" w:type="dxa"/>
            <w:left w:w="15" w:type="dxa"/>
            <w:bottom w:w="15" w:type="dxa"/>
            <w:right w:w="15" w:type="dxa"/>
          </w:tblCellMar>
        </w:tblPrEx>
        <w:trPr>
          <w:trHeight w:val="85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6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提高1984年以来接收军队离退休干部及其家属、遗属，以及无军籍职工各项待遇，维护服务管理机构正常运转。</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提高了1984年以来接收军队离退休干部及其家属、遗属，以及无军籍职工各项待遇，维护服务管理机构正常运转。</w:t>
            </w: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一级指标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二级指标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三级指标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年度指标值</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偏差度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偏差原因分析及改进措施</w:t>
            </w: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成本指标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经济成本指标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军休一所2022年退役安置补助经费管理机构</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1.7万元</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1.7万元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社会成本指标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生态环境成本指标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产出指标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数量指标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管理机构工作人员人数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10人</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质量指标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经费符合相关政策规定比率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时效指标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管理机构经费及时使用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经济效益指标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社会效益指标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落实军队离退休人员待遇和管理机构正常运转</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满意度指标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服务对象满意度指标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军队离退休人员和管理机构职工满意率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≥95%</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8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总分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bl>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p>
      <w:pPr>
        <w:pStyle w:val="10"/>
        <w:widowControl w:val="0"/>
        <w:ind w:left="0" w:right="0"/>
        <w:contextualSpacing w:val="0"/>
        <w:rPr>
          <w:rFonts w:ascii="Arial" w:hAnsi="Arial" w:eastAsia="Arial" w:cs="Arial"/>
          <w:color w:val="000000"/>
          <w:sz w:val="24"/>
        </w:rPr>
      </w:pPr>
    </w:p>
    <w:tbl>
      <w:tblPr>
        <w:tblStyle w:val="4"/>
        <w:tblW w:w="16284" w:type="dxa"/>
        <w:tblInd w:w="-15" w:type="dxa"/>
        <w:shd w:val="clear" w:color="auto" w:fill="auto"/>
        <w:tblLayout w:type="fixed"/>
        <w:tblCellMar>
          <w:top w:w="15" w:type="dxa"/>
          <w:left w:w="15" w:type="dxa"/>
          <w:bottom w:w="15" w:type="dxa"/>
          <w:right w:w="15" w:type="dxa"/>
        </w:tblCellMar>
      </w:tblPr>
      <w:tblGrid>
        <w:gridCol w:w="882"/>
        <w:gridCol w:w="1043"/>
        <w:gridCol w:w="1221"/>
        <w:gridCol w:w="1221"/>
        <w:gridCol w:w="1072"/>
        <w:gridCol w:w="1737"/>
        <w:gridCol w:w="896"/>
        <w:gridCol w:w="1395"/>
        <w:gridCol w:w="1148"/>
        <w:gridCol w:w="1177"/>
        <w:gridCol w:w="999"/>
        <w:gridCol w:w="1177"/>
        <w:gridCol w:w="2316"/>
      </w:tblGrid>
      <w:tr>
        <w:tblPrEx>
          <w:shd w:val="clear" w:color="auto" w:fill="auto"/>
          <w:tblCellMar>
            <w:top w:w="15" w:type="dxa"/>
            <w:left w:w="15" w:type="dxa"/>
            <w:bottom w:w="15" w:type="dxa"/>
            <w:right w:w="15" w:type="dxa"/>
          </w:tblCellMar>
        </w:tblPrEx>
        <w:trPr>
          <w:trHeight w:val="555" w:hRule="atLeast"/>
        </w:trPr>
        <w:tc>
          <w:tcPr>
            <w:tcW w:w="16284" w:type="dxa"/>
            <w:gridSpan w:val="13"/>
            <w:shd w:val="clear" w:color="auto" w:fill="auto"/>
            <w:vAlign w:val="center"/>
          </w:tcPr>
          <w:p>
            <w:pPr>
              <w:pStyle w:val="10"/>
              <w:keepNext/>
              <w:keepLines/>
              <w:widowControl/>
              <w:ind w:left="0" w:right="0"/>
              <w:contextualSpacing w:val="0"/>
              <w:jc w:val="center"/>
              <w:rPr>
                <w:rFonts w:ascii="宋体" w:hAnsi="宋体" w:eastAsia="宋体" w:cs="宋体"/>
                <w:b/>
                <w:i w:val="0"/>
                <w:color w:val="000000"/>
                <w:sz w:val="38"/>
                <w:u w:val="none"/>
              </w:rPr>
            </w:pPr>
            <w:r>
              <w:rPr>
                <w:rFonts w:ascii="宋体" w:hAnsi="宋体" w:eastAsia="宋体" w:cs="宋体"/>
                <w:b/>
                <w:i w:val="0"/>
                <w:color w:val="000000"/>
                <w:sz w:val="38"/>
                <w:u w:val="none"/>
                <w:lang w:val="en-US"/>
              </w:rPr>
              <w:t>项目单位自评表</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项目名称</w:t>
            </w:r>
          </w:p>
        </w:tc>
        <w:tc>
          <w:tcPr>
            <w:tcW w:w="143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下达2022年退役安置省级补助资金(结转上级资金)</w:t>
            </w:r>
          </w:p>
        </w:tc>
      </w:tr>
      <w:tr>
        <w:tblPrEx>
          <w:tblCellMar>
            <w:top w:w="15" w:type="dxa"/>
            <w:left w:w="15" w:type="dxa"/>
            <w:bottom w:w="15" w:type="dxa"/>
            <w:right w:w="15" w:type="dxa"/>
          </w:tblCellMar>
        </w:tblPrEx>
        <w:trPr>
          <w:trHeight w:val="285" w:hRule="atLeast"/>
        </w:trPr>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主管部门</w:t>
            </w:r>
          </w:p>
        </w:tc>
        <w:tc>
          <w:tcPr>
            <w:tcW w:w="52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许昌市退役军人事务局</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实施单位</w:t>
            </w:r>
          </w:p>
        </w:tc>
        <w:tc>
          <w:tcPr>
            <w:tcW w:w="68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许昌市军队离退休干部第一休养所</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项目资金（万元）</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年初预算数</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全年预算数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执行率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年度资金总额（万元）：</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999" w:type="dxa"/>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政府性预算资金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财政专户管理资金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单位资金</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w:t>
            </w:r>
          </w:p>
        </w:tc>
      </w:tr>
      <w:tr>
        <w:tblPrEx>
          <w:tblCellMar>
            <w:top w:w="15" w:type="dxa"/>
            <w:left w:w="15" w:type="dxa"/>
            <w:bottom w:w="15" w:type="dxa"/>
            <w:right w:w="15" w:type="dxa"/>
          </w:tblCellMar>
        </w:tblPrEx>
        <w:trPr>
          <w:trHeight w:val="285" w:hRule="atLeast"/>
        </w:trPr>
        <w:tc>
          <w:tcPr>
            <w:tcW w:w="1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资金管理情况</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 xml:space="preserve"> 情况说明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存在问题和改进措施</w:t>
            </w: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安排科学性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按照部门预算编制和资金管理办法的要求，做好预算编制、指标安排等工作。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拨付合规性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严格按照国库集中支付制度有关规定支付资金。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使用规范性</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严格按照下达预算的科目和项目执行，专款专用。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1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预算绩效管理情况</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该资金已纳入绩效管理，科学合理确定绩效目标，开展绩效监控。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年度总体目标</w:t>
            </w:r>
          </w:p>
        </w:tc>
        <w:tc>
          <w:tcPr>
            <w:tcW w:w="6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预期目标</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实际完成情况</w:t>
            </w:r>
          </w:p>
        </w:tc>
      </w:tr>
      <w:tr>
        <w:tblPrEx>
          <w:tblCellMar>
            <w:top w:w="15" w:type="dxa"/>
            <w:left w:w="15" w:type="dxa"/>
            <w:bottom w:w="15" w:type="dxa"/>
            <w:right w:w="15" w:type="dxa"/>
          </w:tblCellMar>
        </w:tblPrEx>
        <w:trPr>
          <w:trHeight w:val="85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6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通过补发军队离退休人员医疗补助经费，确保军队离退休干部的合法权益。</w:t>
            </w:r>
          </w:p>
        </w:tc>
        <w:tc>
          <w:tcPr>
            <w:tcW w:w="9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已经通过补发军队离退休人员医疗补助经费，确保军队离退休干部的合法权益。</w:t>
            </w: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一级指标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二级指标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三级指标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年度指标值</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实际完成值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得分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偏差度 %</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偏差原因分析及改进措施</w:t>
            </w: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成本指标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经济成本指标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军休一所2022年退役安置省级补助资金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0.62万元</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0.62万元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left"/>
              <w:rPr>
                <w:rFonts w:ascii="宋体" w:hAnsi="宋体" w:eastAsia="宋体" w:cs="宋体"/>
                <w:i w:val="0"/>
                <w:color w:val="000000"/>
                <w:sz w:val="18"/>
                <w:u w:val="none"/>
              </w:rPr>
            </w:pPr>
            <w:r>
              <w:rPr>
                <w:rFonts w:ascii="宋体" w:hAnsi="宋体" w:eastAsia="宋体" w:cs="宋体"/>
                <w:i w:val="0"/>
                <w:color w:val="000000"/>
                <w:sz w:val="18"/>
                <w:u w:val="none"/>
                <w:lang w:val="en-US"/>
              </w:rPr>
              <w:t>社会成本指标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生态环境成本指标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产出指标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数量指标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军队离退休人员、遗属人数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≤50人</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质量指标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补助足额发放率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时效指标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军队离退休人员医疗补助经费及时发放</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及时</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经济效益指标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社会效益指标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军队离退休人员医疗待遇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保障落实</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25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生态效益指标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45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满意度指标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服务对象满意度指标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军队离退休干部和遗属满意度</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≥95%</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r>
        <w:tblPrEx>
          <w:tblCellMar>
            <w:top w:w="15" w:type="dxa"/>
            <w:left w:w="15" w:type="dxa"/>
            <w:bottom w:w="15" w:type="dxa"/>
            <w:right w:w="15" w:type="dxa"/>
          </w:tblCellMar>
        </w:tblPrEx>
        <w:trPr>
          <w:trHeight w:val="28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8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总分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keepLines/>
              <w:widowControl/>
              <w:ind w:left="0" w:right="0"/>
              <w:contextualSpacing w:val="0"/>
              <w:jc w:val="center"/>
              <w:rPr>
                <w:rFonts w:ascii="宋体" w:hAnsi="宋体" w:eastAsia="宋体" w:cs="宋体"/>
                <w:i w:val="0"/>
                <w:color w:val="000000"/>
                <w:sz w:val="18"/>
                <w:u w:val="none"/>
              </w:rPr>
            </w:pPr>
            <w:r>
              <w:rPr>
                <w:rFonts w:ascii="宋体" w:hAnsi="宋体" w:eastAsia="宋体" w:cs="宋体"/>
                <w:i w:val="0"/>
                <w:color w:val="000000"/>
                <w:sz w:val="18"/>
                <w:u w:val="none"/>
                <w:lang w:val="en-US"/>
              </w:rPr>
              <w:t>100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ind w:left="0" w:right="0"/>
              <w:contextualSpacing w:val="0"/>
              <w:jc w:val="center"/>
              <w:rPr>
                <w:rFonts w:ascii="宋体" w:hAnsi="宋体" w:eastAsia="宋体" w:cs="宋体"/>
                <w:i w:val="0"/>
                <w:color w:val="000000"/>
                <w:sz w:val="18"/>
                <w:u w:val="none"/>
              </w:rPr>
            </w:pPr>
          </w:p>
        </w:tc>
      </w:tr>
    </w:tbl>
    <w:p>
      <w:pPr>
        <w:pStyle w:val="10"/>
        <w:widowControl w:val="0"/>
        <w:ind w:left="0" w:right="0"/>
        <w:contextualSpacing w:val="0"/>
        <w:rPr>
          <w:rFonts w:ascii="Arial" w:hAnsi="Arial" w:eastAsia="Arial" w:cs="Arial"/>
          <w:color w:val="000000"/>
          <w:sz w:val="24"/>
        </w:rPr>
        <w:sectPr>
          <w:pgSz w:w="20409" w:h="15840"/>
          <w:pgMar w:top="388" w:right="1080" w:bottom="388" w:left="108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wpZ4cAwIAAAsEAAAOAAAAZHJz&#10;L2Uyb0RvYy54bWytU82O0zAQviPxDpbvNGkPSxU1XSGqIqQVW2nhAVzHaSzZHmvsNikPAG/AiQt3&#10;nqvPwTg/XVg47IGL83k8+TzfN+PVbWcNOykMGlzJ57OcM+UkVNodSv7p4/bVkrMQhauEAadKflaB&#10;365fvli1vlALaMBUChmRuFC0vuRNjL7IsiAbZUWYgVeODmtAKyJt8ZBVKFpityZb5PlN1gJWHkGq&#10;ECi6GQ75yIjPIYS61lJtQB6tcnFgRWVEJEmh0T7wdV9tXSsZ7+s6qMhMyUlp7Fe6hPA+rdl6JYoD&#10;Ct9oOZYgnlPCE01WaEeXXqk2Igp2RP0XldUSIUAdZxJsNgjpHSEV8/yJNw+N8KrXQlYHfzU9/D9a&#10;+eG0Q6arkr/ObzhzwlLLL9++Xr7/vPz4wubJoNaHgvIe/A7HXSCY1HY12vQlHazrTT1fTVVdZJKC&#10;8+ViuczJb0ln04Z4ssffPYb4ToFlCZQcqWu9meJ0F+KQOqWk2xxstTEUF4VxfwSIM0WyVPFQY0Kx&#10;23dj4XuozqQXYRiE4OVW0513IsSdQOo81UlvI97TUhtoSw4j4qwB/PyveMqnhtApZy1NUskdPRzO&#10;zHtHjUpDNwGcwH4C7mjfAo3mnDOMpof0g3CS6EoeOTt61IemrzYpDf7NMZL83pWkbRA0SqYZ6X0d&#10;5zkN4e/7PuvxDa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DwpZ4c&#10;AwIAAAs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13D89"/>
    <w:multiLevelType w:val="multilevel"/>
    <w:tmpl w:val="66F13D8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5DA127E"/>
    <w:rsid w:val="CFDD67D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8dfcf8a-dced-4607-96a1-ebb682a3a1b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168ef915-219c-490e-8283-3f37e25abe7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0</TotalTime>
  <ScaleCrop>false</ScaleCrop>
  <LinksUpToDate>false</LinksUpToDate>
  <CharactersWithSpaces>19487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2024-09-23T18:08:58Z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