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许昌市公路养护中心</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许昌市公路养护中心</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许昌市公路养护中心概况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（一）贯彻执行国家有关公路工作方针、政策和法规，承担管辖范围内国、省干线公路的养护与改建，公路养护质量监控与路况评定；</w:t>
        <w:br/>
        <w:t xml:space="preserve">    （二）公路灾害抢修与保通；</w:t>
        <w:br/>
        <w:t xml:space="preserve">    （三）公路绿化、保洁及公路扬尘污染防治工作；</w:t>
        <w:br/>
        <w:t xml:space="preserve">    （四）负责辖区内路产路权维护与公路巡查；</w:t>
        <w:br/>
        <w:t xml:space="preserve">    （五）参与区域内公路工程项目建设管理和公路工程质量监控。</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许昌市公路养护中心</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11</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行政办公室、党支部办公室、安全监督科、人事科、财务科、设备材料科、路产路权科、养护科、庞庄道班、徐湾道班、机械队</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许昌市公路养护中心</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许昌市公路养护中心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单位：许昌市公路养护中心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1,554.28</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2.71</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0.07</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207.62</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13.56</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482.56</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913.80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27.73</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1,554.35</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1,647.98</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93.70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0.07</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1,648.05</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1,648.05</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单位：许昌市公路养护中心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1,554.35</w:t>
            </w:r>
          </w:p>
        </w:tc>
        <w:tc>
          <w:tcPr>
            <w:tcW w:w="1440" w:type="dxa"/>
            <w:tcBorders/>
            <w:vAlign w:val="center"/>
          </w:tcPr>
          <w:p>
            <w:pPr>
              <w:jc w:val="right"/>
            </w:pPr>
            <w:r>
              <w:rPr>
                <w:rFonts w:ascii="宋体" w:eastAsia="宋体" w:hAnsi="宋体" w:cs="宋体"/>
                <w:b/>
                <w:i w:val="0"/>
                <w:color w:val="000000"/>
                <w:sz w:val="17"/>
              </w:rPr>
              <w:t xml:space="preserve">1,554.28</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0.07</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2.71</w:t>
            </w:r>
          </w:p>
        </w:tc>
        <w:tc>
          <w:tcPr>
            <w:tcW w:w="1440" w:type="dxa"/>
            <w:tcBorders/>
            <w:vAlign w:val="center"/>
          </w:tcPr>
          <w:p>
            <w:pPr>
              <w:jc w:val="right"/>
            </w:pPr>
            <w:r>
              <w:rPr>
                <w:rFonts w:ascii="宋体" w:eastAsia="宋体" w:hAnsi="宋体" w:cs="宋体"/>
                <w:b w:val="0"/>
                <w:i w:val="0"/>
                <w:color w:val="000000"/>
                <w:sz w:val="17"/>
              </w:rPr>
              <w:t xml:space="preserve">2.71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2.71</w:t>
            </w:r>
          </w:p>
        </w:tc>
        <w:tc>
          <w:tcPr>
            <w:tcW w:w="1440" w:type="dxa"/>
            <w:tcBorders/>
            <w:vAlign w:val="center"/>
          </w:tcPr>
          <w:p>
            <w:pPr>
              <w:jc w:val="right"/>
            </w:pPr>
            <w:r>
              <w:rPr>
                <w:rFonts w:ascii="宋体" w:eastAsia="宋体" w:hAnsi="宋体" w:cs="宋体"/>
                <w:b w:val="0"/>
                <w:i w:val="0"/>
                <w:color w:val="000000"/>
                <w:sz w:val="17"/>
              </w:rPr>
              <w:t xml:space="preserve">2.71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2.71</w:t>
            </w:r>
          </w:p>
        </w:tc>
        <w:tc>
          <w:tcPr>
            <w:tcW w:w="1440" w:type="dxa"/>
            <w:tcBorders/>
            <w:vAlign w:val="center"/>
          </w:tcPr>
          <w:p>
            <w:pPr>
              <w:jc w:val="right"/>
            </w:pPr>
            <w:r>
              <w:rPr>
                <w:rFonts w:ascii="宋体" w:eastAsia="宋体" w:hAnsi="宋体" w:cs="宋体"/>
                <w:b w:val="0"/>
                <w:i w:val="0"/>
                <w:color w:val="000000"/>
                <w:sz w:val="17"/>
              </w:rPr>
              <w:t xml:space="preserve">2.71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207.62</w:t>
            </w:r>
          </w:p>
        </w:tc>
        <w:tc>
          <w:tcPr>
            <w:tcW w:w="1440" w:type="dxa"/>
            <w:tcBorders/>
            <w:vAlign w:val="center"/>
          </w:tcPr>
          <w:p>
            <w:pPr>
              <w:jc w:val="right"/>
            </w:pPr>
            <w:r>
              <w:rPr>
                <w:rFonts w:ascii="宋体" w:eastAsia="宋体" w:hAnsi="宋体" w:cs="宋体"/>
                <w:b w:val="0"/>
                <w:i w:val="0"/>
                <w:color w:val="000000"/>
                <w:sz w:val="17"/>
              </w:rPr>
              <w:t xml:space="preserve">207.62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207.62</w:t>
            </w:r>
          </w:p>
        </w:tc>
        <w:tc>
          <w:tcPr>
            <w:tcW w:w="1440" w:type="dxa"/>
            <w:tcBorders/>
            <w:vAlign w:val="center"/>
          </w:tcPr>
          <w:p>
            <w:pPr>
              <w:jc w:val="right"/>
            </w:pPr>
            <w:r>
              <w:rPr>
                <w:rFonts w:ascii="宋体" w:eastAsia="宋体" w:hAnsi="宋体" w:cs="宋体"/>
                <w:b w:val="0"/>
                <w:i w:val="0"/>
                <w:color w:val="000000"/>
                <w:sz w:val="17"/>
              </w:rPr>
              <w:t xml:space="preserve">207.62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177.05</w:t>
            </w:r>
          </w:p>
        </w:tc>
        <w:tc>
          <w:tcPr>
            <w:tcW w:w="1440" w:type="dxa"/>
            <w:tcBorders/>
            <w:vAlign w:val="center"/>
          </w:tcPr>
          <w:p>
            <w:pPr>
              <w:jc w:val="right"/>
            </w:pPr>
            <w:r>
              <w:rPr>
                <w:rFonts w:ascii="宋体" w:eastAsia="宋体" w:hAnsi="宋体" w:cs="宋体"/>
                <w:b w:val="0"/>
                <w:i w:val="0"/>
                <w:color w:val="000000"/>
                <w:sz w:val="17"/>
              </w:rPr>
              <w:t xml:space="preserve">177.05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30.57</w:t>
            </w:r>
          </w:p>
        </w:tc>
        <w:tc>
          <w:tcPr>
            <w:tcW w:w="1440" w:type="dxa"/>
            <w:tcBorders/>
            <w:vAlign w:val="center"/>
          </w:tcPr>
          <w:p>
            <w:pPr>
              <w:jc w:val="right"/>
            </w:pPr>
            <w:r>
              <w:rPr>
                <w:rFonts w:ascii="宋体" w:eastAsia="宋体" w:hAnsi="宋体" w:cs="宋体"/>
                <w:b w:val="0"/>
                <w:i w:val="0"/>
                <w:color w:val="000000"/>
                <w:sz w:val="17"/>
              </w:rPr>
              <w:t xml:space="preserve">30.57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13.56</w:t>
            </w:r>
          </w:p>
        </w:tc>
        <w:tc>
          <w:tcPr>
            <w:tcW w:w="1440" w:type="dxa"/>
            <w:tcBorders/>
            <w:vAlign w:val="center"/>
          </w:tcPr>
          <w:p>
            <w:pPr>
              <w:jc w:val="right"/>
            </w:pPr>
            <w:r>
              <w:rPr>
                <w:rFonts w:ascii="宋体" w:eastAsia="宋体" w:hAnsi="宋体" w:cs="宋体"/>
                <w:b w:val="0"/>
                <w:i w:val="0"/>
                <w:color w:val="000000"/>
                <w:sz w:val="17"/>
              </w:rPr>
              <w:t xml:space="preserve">13.56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13.56</w:t>
            </w:r>
          </w:p>
        </w:tc>
        <w:tc>
          <w:tcPr>
            <w:tcW w:w="1440" w:type="dxa"/>
            <w:tcBorders/>
            <w:vAlign w:val="center"/>
          </w:tcPr>
          <w:p>
            <w:pPr>
              <w:jc w:val="right"/>
            </w:pPr>
            <w:r>
              <w:rPr>
                <w:rFonts w:ascii="宋体" w:eastAsia="宋体" w:hAnsi="宋体" w:cs="宋体"/>
                <w:b w:val="0"/>
                <w:i w:val="0"/>
                <w:color w:val="000000"/>
                <w:sz w:val="17"/>
              </w:rPr>
              <w:t xml:space="preserve">13.56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13.56</w:t>
            </w:r>
          </w:p>
        </w:tc>
        <w:tc>
          <w:tcPr>
            <w:tcW w:w="1440" w:type="dxa"/>
            <w:tcBorders/>
            <w:vAlign w:val="center"/>
          </w:tcPr>
          <w:p>
            <w:pPr>
              <w:jc w:val="right"/>
            </w:pPr>
            <w:r>
              <w:rPr>
                <w:rFonts w:ascii="宋体" w:eastAsia="宋体" w:hAnsi="宋体" w:cs="宋体"/>
                <w:b w:val="0"/>
                <w:i w:val="0"/>
                <w:color w:val="000000"/>
                <w:sz w:val="17"/>
              </w:rPr>
              <w:t xml:space="preserve">13.56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节能环保支出</w:t>
            </w:r>
          </w:p>
        </w:tc>
        <w:tc>
          <w:tcPr>
            <w:tcW w:w="1440" w:type="dxa"/>
            <w:tcBorders/>
            <w:vAlign w:val="center"/>
          </w:tcPr>
          <w:p>
            <w:pPr>
              <w:jc w:val="right"/>
            </w:pPr>
            <w:r>
              <w:rPr>
                <w:rFonts w:ascii="宋体" w:eastAsia="宋体" w:hAnsi="宋体" w:cs="宋体"/>
                <w:b w:val="0"/>
                <w:i w:val="0"/>
                <w:color w:val="000000"/>
                <w:sz w:val="17"/>
              </w:rPr>
              <w:t xml:space="preserve">388.86</w:t>
            </w:r>
          </w:p>
        </w:tc>
        <w:tc>
          <w:tcPr>
            <w:tcW w:w="1440" w:type="dxa"/>
            <w:tcBorders/>
            <w:vAlign w:val="center"/>
          </w:tcPr>
          <w:p>
            <w:pPr>
              <w:jc w:val="right"/>
            </w:pPr>
            <w:r>
              <w:rPr>
                <w:rFonts w:ascii="宋体" w:eastAsia="宋体" w:hAnsi="宋体" w:cs="宋体"/>
                <w:b w:val="0"/>
                <w:i w:val="0"/>
                <w:color w:val="000000"/>
                <w:sz w:val="17"/>
              </w:rPr>
              <w:t xml:space="preserve">388.86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污染防治</w:t>
            </w:r>
          </w:p>
        </w:tc>
        <w:tc>
          <w:tcPr>
            <w:tcW w:w="1440" w:type="dxa"/>
            <w:tcBorders/>
            <w:vAlign w:val="center"/>
          </w:tcPr>
          <w:p>
            <w:pPr>
              <w:jc w:val="right"/>
            </w:pPr>
            <w:r>
              <w:rPr>
                <w:rFonts w:ascii="宋体" w:eastAsia="宋体" w:hAnsi="宋体" w:cs="宋体"/>
                <w:b w:val="0"/>
                <w:i w:val="0"/>
                <w:color w:val="000000"/>
                <w:sz w:val="17"/>
              </w:rPr>
              <w:t xml:space="preserve">388.86</w:t>
            </w:r>
          </w:p>
        </w:tc>
        <w:tc>
          <w:tcPr>
            <w:tcW w:w="1440" w:type="dxa"/>
            <w:tcBorders/>
            <w:vAlign w:val="center"/>
          </w:tcPr>
          <w:p>
            <w:pPr>
              <w:jc w:val="right"/>
            </w:pPr>
            <w:r>
              <w:rPr>
                <w:rFonts w:ascii="宋体" w:eastAsia="宋体" w:hAnsi="宋体" w:cs="宋体"/>
                <w:b w:val="0"/>
                <w:i w:val="0"/>
                <w:color w:val="000000"/>
                <w:sz w:val="17"/>
              </w:rPr>
              <w:t xml:space="preserve">388.86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2110301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大气</w:t>
            </w:r>
          </w:p>
        </w:tc>
        <w:tc>
          <w:tcPr>
            <w:tcW w:w="1440" w:type="dxa"/>
            <w:tcBorders/>
            <w:vAlign w:val="center"/>
          </w:tcPr>
          <w:p>
            <w:pPr>
              <w:jc w:val="right"/>
            </w:pPr>
            <w:r>
              <w:rPr>
                <w:rFonts w:ascii="宋体" w:eastAsia="宋体" w:hAnsi="宋体" w:cs="宋体"/>
                <w:b w:val="0"/>
                <w:i w:val="0"/>
                <w:color w:val="000000"/>
                <w:sz w:val="17"/>
              </w:rPr>
              <w:t xml:space="preserve">388.86</w:t>
            </w:r>
          </w:p>
        </w:tc>
        <w:tc>
          <w:tcPr>
            <w:tcW w:w="1440" w:type="dxa"/>
            <w:tcBorders/>
            <w:vAlign w:val="center"/>
          </w:tcPr>
          <w:p>
            <w:pPr>
              <w:jc w:val="right"/>
            </w:pPr>
            <w:r>
              <w:rPr>
                <w:rFonts w:ascii="宋体" w:eastAsia="宋体" w:hAnsi="宋体" w:cs="宋体"/>
                <w:b w:val="0"/>
                <w:i w:val="0"/>
                <w:color w:val="000000"/>
                <w:sz w:val="17"/>
              </w:rPr>
              <w:t xml:space="preserve">388.86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交通运输支出</w:t>
            </w:r>
          </w:p>
        </w:tc>
        <w:tc>
          <w:tcPr>
            <w:tcW w:w="1440" w:type="dxa"/>
            <w:tcBorders/>
            <w:vAlign w:val="center"/>
          </w:tcPr>
          <w:p>
            <w:pPr>
              <w:jc w:val="right"/>
            </w:pPr>
            <w:r>
              <w:rPr>
                <w:rFonts w:ascii="宋体" w:eastAsia="宋体" w:hAnsi="宋体" w:cs="宋体"/>
                <w:b w:val="0"/>
                <w:i w:val="0"/>
                <w:color w:val="000000"/>
                <w:sz w:val="17"/>
              </w:rPr>
              <w:t xml:space="preserve">913.87</w:t>
            </w:r>
          </w:p>
        </w:tc>
        <w:tc>
          <w:tcPr>
            <w:tcW w:w="1440" w:type="dxa"/>
            <w:tcBorders/>
            <w:vAlign w:val="center"/>
          </w:tcPr>
          <w:p>
            <w:pPr>
              <w:jc w:val="right"/>
            </w:pPr>
            <w:r>
              <w:rPr>
                <w:rFonts w:ascii="宋体" w:eastAsia="宋体" w:hAnsi="宋体" w:cs="宋体"/>
                <w:b w:val="0"/>
                <w:i w:val="0"/>
                <w:color w:val="000000"/>
                <w:sz w:val="17"/>
              </w:rPr>
              <w:t xml:space="preserve">913.80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0.07</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公路水路运输</w:t>
            </w:r>
          </w:p>
        </w:tc>
        <w:tc>
          <w:tcPr>
            <w:tcW w:w="1440" w:type="dxa"/>
            <w:tcBorders/>
            <w:vAlign w:val="center"/>
          </w:tcPr>
          <w:p>
            <w:pPr>
              <w:jc w:val="right"/>
            </w:pPr>
            <w:r>
              <w:rPr>
                <w:rFonts w:ascii="宋体" w:eastAsia="宋体" w:hAnsi="宋体" w:cs="宋体"/>
                <w:b w:val="0"/>
                <w:i w:val="0"/>
                <w:color w:val="000000"/>
                <w:sz w:val="17"/>
              </w:rPr>
              <w:t xml:space="preserve">877.61</w:t>
            </w:r>
          </w:p>
        </w:tc>
        <w:tc>
          <w:tcPr>
            <w:tcW w:w="1440" w:type="dxa"/>
            <w:tcBorders/>
            <w:vAlign w:val="center"/>
          </w:tcPr>
          <w:p>
            <w:pPr>
              <w:jc w:val="right"/>
            </w:pPr>
            <w:r>
              <w:rPr>
                <w:rFonts w:ascii="宋体" w:eastAsia="宋体" w:hAnsi="宋体" w:cs="宋体"/>
                <w:b w:val="0"/>
                <w:i w:val="0"/>
                <w:color w:val="000000"/>
                <w:sz w:val="17"/>
              </w:rPr>
              <w:t xml:space="preserve">877.54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0.07</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2140106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公路养护</w:t>
            </w:r>
          </w:p>
        </w:tc>
        <w:tc>
          <w:tcPr>
            <w:tcW w:w="1440" w:type="dxa"/>
            <w:tcBorders/>
            <w:vAlign w:val="center"/>
          </w:tcPr>
          <w:p>
            <w:pPr>
              <w:jc w:val="right"/>
            </w:pPr>
            <w:r>
              <w:rPr>
                <w:rFonts w:ascii="宋体" w:eastAsia="宋体" w:hAnsi="宋体" w:cs="宋体"/>
                <w:b w:val="0"/>
                <w:i w:val="0"/>
                <w:color w:val="000000"/>
                <w:sz w:val="17"/>
              </w:rPr>
              <w:t xml:space="preserve">497.63</w:t>
            </w:r>
          </w:p>
        </w:tc>
        <w:tc>
          <w:tcPr>
            <w:tcW w:w="1440" w:type="dxa"/>
            <w:tcBorders/>
            <w:vAlign w:val="center"/>
          </w:tcPr>
          <w:p>
            <w:pPr>
              <w:jc w:val="right"/>
            </w:pPr>
            <w:r>
              <w:rPr>
                <w:rFonts w:ascii="宋体" w:eastAsia="宋体" w:hAnsi="宋体" w:cs="宋体"/>
                <w:b w:val="0"/>
                <w:i w:val="0"/>
                <w:color w:val="000000"/>
                <w:sz w:val="17"/>
              </w:rPr>
              <w:t xml:space="preserve">497.63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其他公路水路运输支出</w:t>
            </w:r>
          </w:p>
        </w:tc>
        <w:tc>
          <w:tcPr>
            <w:tcW w:w="1440" w:type="dxa"/>
            <w:tcBorders/>
            <w:vAlign w:val="center"/>
          </w:tcPr>
          <w:p>
            <w:pPr>
              <w:jc w:val="right"/>
            </w:pPr>
            <w:r>
              <w:rPr>
                <w:rFonts w:ascii="宋体" w:eastAsia="宋体" w:hAnsi="宋体" w:cs="宋体"/>
                <w:b w:val="0"/>
                <w:i w:val="0"/>
                <w:color w:val="000000"/>
                <w:sz w:val="17"/>
              </w:rPr>
              <w:t xml:space="preserve">379.98</w:t>
            </w:r>
          </w:p>
        </w:tc>
        <w:tc>
          <w:tcPr>
            <w:tcW w:w="1440" w:type="dxa"/>
            <w:tcBorders/>
            <w:vAlign w:val="center"/>
          </w:tcPr>
          <w:p>
            <w:pPr>
              <w:jc w:val="right"/>
            </w:pPr>
            <w:r>
              <w:rPr>
                <w:rFonts w:ascii="宋体" w:eastAsia="宋体" w:hAnsi="宋体" w:cs="宋体"/>
                <w:b w:val="0"/>
                <w:i w:val="0"/>
                <w:color w:val="000000"/>
                <w:sz w:val="17"/>
              </w:rPr>
              <w:t xml:space="preserve">379.91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0.07</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其他交通运输支出</w:t>
            </w:r>
          </w:p>
        </w:tc>
        <w:tc>
          <w:tcPr>
            <w:tcW w:w="1440" w:type="dxa"/>
            <w:tcBorders/>
            <w:vAlign w:val="center"/>
          </w:tcPr>
          <w:p>
            <w:pPr>
              <w:jc w:val="right"/>
            </w:pPr>
            <w:r>
              <w:rPr>
                <w:rFonts w:ascii="宋体" w:eastAsia="宋体" w:hAnsi="宋体" w:cs="宋体"/>
                <w:b w:val="0"/>
                <w:i w:val="0"/>
                <w:color w:val="000000"/>
                <w:sz w:val="17"/>
              </w:rPr>
              <w:t xml:space="preserve">36.25</w:t>
            </w:r>
          </w:p>
        </w:tc>
        <w:tc>
          <w:tcPr>
            <w:tcW w:w="1440" w:type="dxa"/>
            <w:tcBorders/>
            <w:vAlign w:val="center"/>
          </w:tcPr>
          <w:p>
            <w:pPr>
              <w:jc w:val="right"/>
            </w:pPr>
            <w:r>
              <w:rPr>
                <w:rFonts w:ascii="宋体" w:eastAsia="宋体" w:hAnsi="宋体" w:cs="宋体"/>
                <w:b w:val="0"/>
                <w:i w:val="0"/>
                <w:color w:val="000000"/>
                <w:sz w:val="17"/>
              </w:rPr>
              <w:t xml:space="preserve">36.25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其他交通运输支出</w:t>
            </w:r>
          </w:p>
        </w:tc>
        <w:tc>
          <w:tcPr>
            <w:tcW w:w="1440" w:type="dxa"/>
            <w:tcBorders/>
            <w:vAlign w:val="center"/>
          </w:tcPr>
          <w:p>
            <w:pPr>
              <w:jc w:val="right"/>
            </w:pPr>
            <w:r>
              <w:rPr>
                <w:rFonts w:ascii="宋体" w:eastAsia="宋体" w:hAnsi="宋体" w:cs="宋体"/>
                <w:b w:val="0"/>
                <w:i w:val="0"/>
                <w:color w:val="000000"/>
                <w:sz w:val="17"/>
              </w:rPr>
              <w:t xml:space="preserve">36.25</w:t>
            </w:r>
          </w:p>
        </w:tc>
        <w:tc>
          <w:tcPr>
            <w:tcW w:w="1440" w:type="dxa"/>
            <w:tcBorders/>
            <w:vAlign w:val="center"/>
          </w:tcPr>
          <w:p>
            <w:pPr>
              <w:jc w:val="right"/>
            </w:pPr>
            <w:r>
              <w:rPr>
                <w:rFonts w:ascii="宋体" w:eastAsia="宋体" w:hAnsi="宋体" w:cs="宋体"/>
                <w:b w:val="0"/>
                <w:i w:val="0"/>
                <w:color w:val="000000"/>
                <w:sz w:val="17"/>
              </w:rPr>
              <w:t xml:space="preserve">36.25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27.73</w:t>
            </w:r>
          </w:p>
        </w:tc>
        <w:tc>
          <w:tcPr>
            <w:tcW w:w="1440" w:type="dxa"/>
            <w:tcBorders/>
            <w:vAlign w:val="center"/>
          </w:tcPr>
          <w:p>
            <w:pPr>
              <w:jc w:val="right"/>
            </w:pPr>
            <w:r>
              <w:rPr>
                <w:rFonts w:ascii="宋体" w:eastAsia="宋体" w:hAnsi="宋体" w:cs="宋体"/>
                <w:b w:val="0"/>
                <w:i w:val="0"/>
                <w:color w:val="000000"/>
                <w:sz w:val="17"/>
              </w:rPr>
              <w:t xml:space="preserve">27.73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27.73</w:t>
            </w:r>
          </w:p>
        </w:tc>
        <w:tc>
          <w:tcPr>
            <w:tcW w:w="1440" w:type="dxa"/>
            <w:tcBorders/>
            <w:vAlign w:val="center"/>
          </w:tcPr>
          <w:p>
            <w:pPr>
              <w:jc w:val="right"/>
            </w:pPr>
            <w:r>
              <w:rPr>
                <w:rFonts w:ascii="宋体" w:eastAsia="宋体" w:hAnsi="宋体" w:cs="宋体"/>
                <w:b w:val="0"/>
                <w:i w:val="0"/>
                <w:color w:val="000000"/>
                <w:sz w:val="17"/>
              </w:rPr>
              <w:t xml:space="preserve">27.73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27.73</w:t>
            </w:r>
          </w:p>
        </w:tc>
        <w:tc>
          <w:tcPr>
            <w:tcW w:w="1440" w:type="dxa"/>
            <w:tcBorders/>
            <w:vAlign w:val="center"/>
          </w:tcPr>
          <w:p>
            <w:pPr>
              <w:jc w:val="right"/>
            </w:pPr>
            <w:r>
              <w:rPr>
                <w:rFonts w:ascii="宋体" w:eastAsia="宋体" w:hAnsi="宋体" w:cs="宋体"/>
                <w:b w:val="0"/>
                <w:i w:val="0"/>
                <w:color w:val="000000"/>
                <w:sz w:val="17"/>
              </w:rPr>
              <w:t xml:space="preserve">27.73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单位：许昌市公路养护中心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1,647.98</w:t>
            </w:r>
          </w:p>
        </w:tc>
        <w:tc>
          <w:tcPr>
            <w:tcW w:w="1600" w:type="dxa"/>
            <w:tcBorders/>
            <w:vAlign w:val="center"/>
          </w:tcPr>
          <w:p>
            <w:pPr>
              <w:jc w:val="right"/>
            </w:pPr>
            <w:r>
              <w:rPr>
                <w:rFonts w:ascii="宋体" w:eastAsia="宋体" w:hAnsi="宋体" w:cs="宋体"/>
                <w:b/>
                <w:i w:val="0"/>
                <w:color w:val="000000"/>
                <w:sz w:val="19"/>
              </w:rPr>
              <w:t xml:space="preserve">667.79</w:t>
            </w:r>
          </w:p>
        </w:tc>
        <w:tc>
          <w:tcPr>
            <w:tcW w:w="1600" w:type="dxa"/>
            <w:tcBorders/>
            <w:vAlign w:val="center"/>
          </w:tcPr>
          <w:p>
            <w:pPr>
              <w:jc w:val="right"/>
            </w:pPr>
            <w:r>
              <w:rPr>
                <w:rFonts w:ascii="宋体" w:eastAsia="宋体" w:hAnsi="宋体" w:cs="宋体"/>
                <w:b/>
                <w:i w:val="0"/>
                <w:color w:val="000000"/>
                <w:sz w:val="19"/>
              </w:rPr>
              <w:t xml:space="preserve">980.19</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2.71</w:t>
            </w:r>
          </w:p>
        </w:tc>
        <w:tc>
          <w:tcPr>
            <w:tcW w:w="1600" w:type="dxa"/>
            <w:tcBorders/>
            <w:vAlign w:val="center"/>
          </w:tcPr>
          <w:p>
            <w:pPr>
              <w:jc w:val="right"/>
            </w:pPr>
            <w:r>
              <w:rPr>
                <w:rFonts w:ascii="宋体" w:eastAsia="宋体" w:hAnsi="宋体" w:cs="宋体"/>
                <w:b w:val="0"/>
                <w:i w:val="0"/>
                <w:color w:val="000000"/>
                <w:sz w:val="19"/>
              </w:rPr>
              <w:t xml:space="preserve">2.71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2.71</w:t>
            </w:r>
          </w:p>
        </w:tc>
        <w:tc>
          <w:tcPr>
            <w:tcW w:w="1600" w:type="dxa"/>
            <w:tcBorders/>
            <w:vAlign w:val="center"/>
          </w:tcPr>
          <w:p>
            <w:pPr>
              <w:jc w:val="right"/>
            </w:pPr>
            <w:r>
              <w:rPr>
                <w:rFonts w:ascii="宋体" w:eastAsia="宋体" w:hAnsi="宋体" w:cs="宋体"/>
                <w:b w:val="0"/>
                <w:i w:val="0"/>
                <w:color w:val="000000"/>
                <w:sz w:val="19"/>
              </w:rPr>
              <w:t xml:space="preserve">2.71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2.71</w:t>
            </w:r>
          </w:p>
        </w:tc>
        <w:tc>
          <w:tcPr>
            <w:tcW w:w="1600" w:type="dxa"/>
            <w:tcBorders/>
            <w:vAlign w:val="center"/>
          </w:tcPr>
          <w:p>
            <w:pPr>
              <w:jc w:val="right"/>
            </w:pPr>
            <w:r>
              <w:rPr>
                <w:rFonts w:ascii="宋体" w:eastAsia="宋体" w:hAnsi="宋体" w:cs="宋体"/>
                <w:b w:val="0"/>
                <w:i w:val="0"/>
                <w:color w:val="000000"/>
                <w:sz w:val="19"/>
              </w:rPr>
              <w:t xml:space="preserve">2.71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207.62</w:t>
            </w:r>
          </w:p>
        </w:tc>
        <w:tc>
          <w:tcPr>
            <w:tcW w:w="1600" w:type="dxa"/>
            <w:tcBorders/>
            <w:vAlign w:val="center"/>
          </w:tcPr>
          <w:p>
            <w:pPr>
              <w:jc w:val="right"/>
            </w:pPr>
            <w:r>
              <w:rPr>
                <w:rFonts w:ascii="宋体" w:eastAsia="宋体" w:hAnsi="宋体" w:cs="宋体"/>
                <w:b w:val="0"/>
                <w:i w:val="0"/>
                <w:color w:val="000000"/>
                <w:sz w:val="19"/>
              </w:rPr>
              <w:t xml:space="preserve">207.62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207.62</w:t>
            </w:r>
          </w:p>
        </w:tc>
        <w:tc>
          <w:tcPr>
            <w:tcW w:w="1600" w:type="dxa"/>
            <w:tcBorders/>
            <w:vAlign w:val="center"/>
          </w:tcPr>
          <w:p>
            <w:pPr>
              <w:jc w:val="right"/>
            </w:pPr>
            <w:r>
              <w:rPr>
                <w:rFonts w:ascii="宋体" w:eastAsia="宋体" w:hAnsi="宋体" w:cs="宋体"/>
                <w:b w:val="0"/>
                <w:i w:val="0"/>
                <w:color w:val="000000"/>
                <w:sz w:val="19"/>
              </w:rPr>
              <w:t xml:space="preserve">207.62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177.05</w:t>
            </w:r>
          </w:p>
        </w:tc>
        <w:tc>
          <w:tcPr>
            <w:tcW w:w="1600" w:type="dxa"/>
            <w:tcBorders/>
            <w:vAlign w:val="center"/>
          </w:tcPr>
          <w:p>
            <w:pPr>
              <w:jc w:val="right"/>
            </w:pPr>
            <w:r>
              <w:rPr>
                <w:rFonts w:ascii="宋体" w:eastAsia="宋体" w:hAnsi="宋体" w:cs="宋体"/>
                <w:b w:val="0"/>
                <w:i w:val="0"/>
                <w:color w:val="000000"/>
                <w:sz w:val="19"/>
              </w:rPr>
              <w:t xml:space="preserve">177.05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30.57</w:t>
            </w:r>
          </w:p>
        </w:tc>
        <w:tc>
          <w:tcPr>
            <w:tcW w:w="1600" w:type="dxa"/>
            <w:tcBorders/>
            <w:vAlign w:val="center"/>
          </w:tcPr>
          <w:p>
            <w:pPr>
              <w:jc w:val="right"/>
            </w:pPr>
            <w:r>
              <w:rPr>
                <w:rFonts w:ascii="宋体" w:eastAsia="宋体" w:hAnsi="宋体" w:cs="宋体"/>
                <w:b w:val="0"/>
                <w:i w:val="0"/>
                <w:color w:val="000000"/>
                <w:sz w:val="19"/>
              </w:rPr>
              <w:t xml:space="preserve">30.57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13.56</w:t>
            </w:r>
          </w:p>
        </w:tc>
        <w:tc>
          <w:tcPr>
            <w:tcW w:w="1600" w:type="dxa"/>
            <w:tcBorders/>
            <w:vAlign w:val="center"/>
          </w:tcPr>
          <w:p>
            <w:pPr>
              <w:jc w:val="right"/>
            </w:pPr>
            <w:r>
              <w:rPr>
                <w:rFonts w:ascii="宋体" w:eastAsia="宋体" w:hAnsi="宋体" w:cs="宋体"/>
                <w:b w:val="0"/>
                <w:i w:val="0"/>
                <w:color w:val="000000"/>
                <w:sz w:val="19"/>
              </w:rPr>
              <w:t xml:space="preserve">13.56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13.56</w:t>
            </w:r>
          </w:p>
        </w:tc>
        <w:tc>
          <w:tcPr>
            <w:tcW w:w="1600" w:type="dxa"/>
            <w:tcBorders/>
            <w:vAlign w:val="center"/>
          </w:tcPr>
          <w:p>
            <w:pPr>
              <w:jc w:val="right"/>
            </w:pPr>
            <w:r>
              <w:rPr>
                <w:rFonts w:ascii="宋体" w:eastAsia="宋体" w:hAnsi="宋体" w:cs="宋体"/>
                <w:b w:val="0"/>
                <w:i w:val="0"/>
                <w:color w:val="000000"/>
                <w:sz w:val="19"/>
              </w:rPr>
              <w:t xml:space="preserve">13.56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13.56</w:t>
            </w:r>
          </w:p>
        </w:tc>
        <w:tc>
          <w:tcPr>
            <w:tcW w:w="1600" w:type="dxa"/>
            <w:tcBorders/>
            <w:vAlign w:val="center"/>
          </w:tcPr>
          <w:p>
            <w:pPr>
              <w:jc w:val="right"/>
            </w:pPr>
            <w:r>
              <w:rPr>
                <w:rFonts w:ascii="宋体" w:eastAsia="宋体" w:hAnsi="宋体" w:cs="宋体"/>
                <w:b w:val="0"/>
                <w:i w:val="0"/>
                <w:color w:val="000000"/>
                <w:sz w:val="19"/>
              </w:rPr>
              <w:t xml:space="preserve">13.56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节能环保支出</w:t>
            </w:r>
          </w:p>
        </w:tc>
        <w:tc>
          <w:tcPr>
            <w:tcW w:w="1600" w:type="dxa"/>
            <w:tcBorders/>
            <w:vAlign w:val="center"/>
          </w:tcPr>
          <w:p>
            <w:pPr>
              <w:jc w:val="right"/>
            </w:pPr>
            <w:r>
              <w:rPr>
                <w:rFonts w:ascii="宋体" w:eastAsia="宋体" w:hAnsi="宋体" w:cs="宋体"/>
                <w:b w:val="0"/>
                <w:i w:val="0"/>
                <w:color w:val="000000"/>
                <w:sz w:val="19"/>
              </w:rPr>
              <w:t xml:space="preserve">482.56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482.56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污染防治</w:t>
            </w:r>
          </w:p>
        </w:tc>
        <w:tc>
          <w:tcPr>
            <w:tcW w:w="1600" w:type="dxa"/>
            <w:tcBorders/>
            <w:vAlign w:val="center"/>
          </w:tcPr>
          <w:p>
            <w:pPr>
              <w:jc w:val="right"/>
            </w:pPr>
            <w:r>
              <w:rPr>
                <w:rFonts w:ascii="宋体" w:eastAsia="宋体" w:hAnsi="宋体" w:cs="宋体"/>
                <w:b w:val="0"/>
                <w:i w:val="0"/>
                <w:color w:val="000000"/>
                <w:sz w:val="19"/>
              </w:rPr>
              <w:t xml:space="preserve">482.56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482.56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2110301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大气</w:t>
            </w:r>
          </w:p>
        </w:tc>
        <w:tc>
          <w:tcPr>
            <w:tcW w:w="1600" w:type="dxa"/>
            <w:tcBorders/>
            <w:vAlign w:val="center"/>
          </w:tcPr>
          <w:p>
            <w:pPr>
              <w:jc w:val="right"/>
            </w:pPr>
            <w:r>
              <w:rPr>
                <w:rFonts w:ascii="宋体" w:eastAsia="宋体" w:hAnsi="宋体" w:cs="宋体"/>
                <w:b w:val="0"/>
                <w:i w:val="0"/>
                <w:color w:val="000000"/>
                <w:sz w:val="19"/>
              </w:rPr>
              <w:t xml:space="preserve">482.56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482.56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交通运输支出</w:t>
            </w:r>
          </w:p>
        </w:tc>
        <w:tc>
          <w:tcPr>
            <w:tcW w:w="1600" w:type="dxa"/>
            <w:tcBorders/>
            <w:vAlign w:val="center"/>
          </w:tcPr>
          <w:p>
            <w:pPr>
              <w:jc w:val="right"/>
            </w:pPr>
            <w:r>
              <w:rPr>
                <w:rFonts w:ascii="宋体" w:eastAsia="宋体" w:hAnsi="宋体" w:cs="宋体"/>
                <w:b w:val="0"/>
                <w:i w:val="0"/>
                <w:color w:val="000000"/>
                <w:sz w:val="19"/>
              </w:rPr>
              <w:t xml:space="preserve">913.80</w:t>
            </w:r>
          </w:p>
        </w:tc>
        <w:tc>
          <w:tcPr>
            <w:tcW w:w="1600" w:type="dxa"/>
            <w:tcBorders/>
            <w:vAlign w:val="center"/>
          </w:tcPr>
          <w:p>
            <w:pPr>
              <w:jc w:val="right"/>
            </w:pPr>
            <w:r>
              <w:rPr>
                <w:rFonts w:ascii="宋体" w:eastAsia="宋体" w:hAnsi="宋体" w:cs="宋体"/>
                <w:b w:val="0"/>
                <w:i w:val="0"/>
                <w:color w:val="000000"/>
                <w:sz w:val="19"/>
              </w:rPr>
              <w:t xml:space="preserve">416.17</w:t>
            </w:r>
          </w:p>
        </w:tc>
        <w:tc>
          <w:tcPr>
            <w:tcW w:w="1600" w:type="dxa"/>
            <w:tcBorders/>
            <w:vAlign w:val="center"/>
          </w:tcPr>
          <w:p>
            <w:pPr>
              <w:jc w:val="right"/>
            </w:pPr>
            <w:r>
              <w:rPr>
                <w:rFonts w:ascii="宋体" w:eastAsia="宋体" w:hAnsi="宋体" w:cs="宋体"/>
                <w:b w:val="0"/>
                <w:i w:val="0"/>
                <w:color w:val="000000"/>
                <w:sz w:val="19"/>
              </w:rPr>
              <w:t xml:space="preserve">497.63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公路水路运输</w:t>
            </w:r>
          </w:p>
        </w:tc>
        <w:tc>
          <w:tcPr>
            <w:tcW w:w="1600" w:type="dxa"/>
            <w:tcBorders/>
            <w:vAlign w:val="center"/>
          </w:tcPr>
          <w:p>
            <w:pPr>
              <w:jc w:val="right"/>
            </w:pPr>
            <w:r>
              <w:rPr>
                <w:rFonts w:ascii="宋体" w:eastAsia="宋体" w:hAnsi="宋体" w:cs="宋体"/>
                <w:b w:val="0"/>
                <w:i w:val="0"/>
                <w:color w:val="000000"/>
                <w:sz w:val="19"/>
              </w:rPr>
              <w:t xml:space="preserve">877.54</w:t>
            </w:r>
          </w:p>
        </w:tc>
        <w:tc>
          <w:tcPr>
            <w:tcW w:w="1600" w:type="dxa"/>
            <w:tcBorders/>
            <w:vAlign w:val="center"/>
          </w:tcPr>
          <w:p>
            <w:pPr>
              <w:jc w:val="right"/>
            </w:pPr>
            <w:r>
              <w:rPr>
                <w:rFonts w:ascii="宋体" w:eastAsia="宋体" w:hAnsi="宋体" w:cs="宋体"/>
                <w:b w:val="0"/>
                <w:i w:val="0"/>
                <w:color w:val="000000"/>
                <w:sz w:val="19"/>
              </w:rPr>
              <w:t xml:space="preserve">379.91</w:t>
            </w:r>
          </w:p>
        </w:tc>
        <w:tc>
          <w:tcPr>
            <w:tcW w:w="1600" w:type="dxa"/>
            <w:tcBorders/>
            <w:vAlign w:val="center"/>
          </w:tcPr>
          <w:p>
            <w:pPr>
              <w:jc w:val="right"/>
            </w:pPr>
            <w:r>
              <w:rPr>
                <w:rFonts w:ascii="宋体" w:eastAsia="宋体" w:hAnsi="宋体" w:cs="宋体"/>
                <w:b w:val="0"/>
                <w:i w:val="0"/>
                <w:color w:val="000000"/>
                <w:sz w:val="19"/>
              </w:rPr>
              <w:t xml:space="preserve">497.63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2140106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公路养护</w:t>
            </w:r>
          </w:p>
        </w:tc>
        <w:tc>
          <w:tcPr>
            <w:tcW w:w="1600" w:type="dxa"/>
            <w:tcBorders/>
            <w:vAlign w:val="center"/>
          </w:tcPr>
          <w:p>
            <w:pPr>
              <w:jc w:val="right"/>
            </w:pPr>
            <w:r>
              <w:rPr>
                <w:rFonts w:ascii="宋体" w:eastAsia="宋体" w:hAnsi="宋体" w:cs="宋体"/>
                <w:b w:val="0"/>
                <w:i w:val="0"/>
                <w:color w:val="000000"/>
                <w:sz w:val="19"/>
              </w:rPr>
              <w:t xml:space="preserve">497.63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497.63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其他公路水路运输支出</w:t>
            </w:r>
          </w:p>
        </w:tc>
        <w:tc>
          <w:tcPr>
            <w:tcW w:w="1600" w:type="dxa"/>
            <w:tcBorders/>
            <w:vAlign w:val="center"/>
          </w:tcPr>
          <w:p>
            <w:pPr>
              <w:jc w:val="right"/>
            </w:pPr>
            <w:r>
              <w:rPr>
                <w:rFonts w:ascii="宋体" w:eastAsia="宋体" w:hAnsi="宋体" w:cs="宋体"/>
                <w:b w:val="0"/>
                <w:i w:val="0"/>
                <w:color w:val="000000"/>
                <w:sz w:val="19"/>
              </w:rPr>
              <w:t xml:space="preserve">379.91</w:t>
            </w:r>
          </w:p>
        </w:tc>
        <w:tc>
          <w:tcPr>
            <w:tcW w:w="1600" w:type="dxa"/>
            <w:tcBorders/>
            <w:vAlign w:val="center"/>
          </w:tcPr>
          <w:p>
            <w:pPr>
              <w:jc w:val="right"/>
            </w:pPr>
            <w:r>
              <w:rPr>
                <w:rFonts w:ascii="宋体" w:eastAsia="宋体" w:hAnsi="宋体" w:cs="宋体"/>
                <w:b w:val="0"/>
                <w:i w:val="0"/>
                <w:color w:val="000000"/>
                <w:sz w:val="19"/>
              </w:rPr>
              <w:t xml:space="preserve">379.91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其他交通运输支出</w:t>
            </w:r>
          </w:p>
        </w:tc>
        <w:tc>
          <w:tcPr>
            <w:tcW w:w="1600" w:type="dxa"/>
            <w:tcBorders/>
            <w:vAlign w:val="center"/>
          </w:tcPr>
          <w:p>
            <w:pPr>
              <w:jc w:val="right"/>
            </w:pPr>
            <w:r>
              <w:rPr>
                <w:rFonts w:ascii="宋体" w:eastAsia="宋体" w:hAnsi="宋体" w:cs="宋体"/>
                <w:b w:val="0"/>
                <w:i w:val="0"/>
                <w:color w:val="000000"/>
                <w:sz w:val="19"/>
              </w:rPr>
              <w:t xml:space="preserve">36.25</w:t>
            </w:r>
          </w:p>
        </w:tc>
        <w:tc>
          <w:tcPr>
            <w:tcW w:w="1600" w:type="dxa"/>
            <w:tcBorders/>
            <w:vAlign w:val="center"/>
          </w:tcPr>
          <w:p>
            <w:pPr>
              <w:jc w:val="right"/>
            </w:pPr>
            <w:r>
              <w:rPr>
                <w:rFonts w:ascii="宋体" w:eastAsia="宋体" w:hAnsi="宋体" w:cs="宋体"/>
                <w:b w:val="0"/>
                <w:i w:val="0"/>
                <w:color w:val="000000"/>
                <w:sz w:val="19"/>
              </w:rPr>
              <w:t xml:space="preserve">36.25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其他交通运输支出</w:t>
            </w:r>
          </w:p>
        </w:tc>
        <w:tc>
          <w:tcPr>
            <w:tcW w:w="1600" w:type="dxa"/>
            <w:tcBorders/>
            <w:vAlign w:val="center"/>
          </w:tcPr>
          <w:p>
            <w:pPr>
              <w:jc w:val="right"/>
            </w:pPr>
            <w:r>
              <w:rPr>
                <w:rFonts w:ascii="宋体" w:eastAsia="宋体" w:hAnsi="宋体" w:cs="宋体"/>
                <w:b w:val="0"/>
                <w:i w:val="0"/>
                <w:color w:val="000000"/>
                <w:sz w:val="19"/>
              </w:rPr>
              <w:t xml:space="preserve">36.25</w:t>
            </w:r>
          </w:p>
        </w:tc>
        <w:tc>
          <w:tcPr>
            <w:tcW w:w="1600" w:type="dxa"/>
            <w:tcBorders/>
            <w:vAlign w:val="center"/>
          </w:tcPr>
          <w:p>
            <w:pPr>
              <w:jc w:val="right"/>
            </w:pPr>
            <w:r>
              <w:rPr>
                <w:rFonts w:ascii="宋体" w:eastAsia="宋体" w:hAnsi="宋体" w:cs="宋体"/>
                <w:b w:val="0"/>
                <w:i w:val="0"/>
                <w:color w:val="000000"/>
                <w:sz w:val="19"/>
              </w:rPr>
              <w:t xml:space="preserve">36.25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27.73</w:t>
            </w:r>
          </w:p>
        </w:tc>
        <w:tc>
          <w:tcPr>
            <w:tcW w:w="1600" w:type="dxa"/>
            <w:tcBorders/>
            <w:vAlign w:val="center"/>
          </w:tcPr>
          <w:p>
            <w:pPr>
              <w:jc w:val="right"/>
            </w:pPr>
            <w:r>
              <w:rPr>
                <w:rFonts w:ascii="宋体" w:eastAsia="宋体" w:hAnsi="宋体" w:cs="宋体"/>
                <w:b w:val="0"/>
                <w:i w:val="0"/>
                <w:color w:val="000000"/>
                <w:sz w:val="19"/>
              </w:rPr>
              <w:t xml:space="preserve">27.73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27.73</w:t>
            </w:r>
          </w:p>
        </w:tc>
        <w:tc>
          <w:tcPr>
            <w:tcW w:w="1600" w:type="dxa"/>
            <w:tcBorders/>
            <w:vAlign w:val="center"/>
          </w:tcPr>
          <w:p>
            <w:pPr>
              <w:jc w:val="right"/>
            </w:pPr>
            <w:r>
              <w:rPr>
                <w:rFonts w:ascii="宋体" w:eastAsia="宋体" w:hAnsi="宋体" w:cs="宋体"/>
                <w:b w:val="0"/>
                <w:i w:val="0"/>
                <w:color w:val="000000"/>
                <w:sz w:val="19"/>
              </w:rPr>
              <w:t xml:space="preserve">27.73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27.73</w:t>
            </w:r>
          </w:p>
        </w:tc>
        <w:tc>
          <w:tcPr>
            <w:tcW w:w="1600" w:type="dxa"/>
            <w:tcBorders/>
            <w:vAlign w:val="center"/>
          </w:tcPr>
          <w:p>
            <w:pPr>
              <w:jc w:val="right"/>
            </w:pPr>
            <w:r>
              <w:rPr>
                <w:rFonts w:ascii="宋体" w:eastAsia="宋体" w:hAnsi="宋体" w:cs="宋体"/>
                <w:b w:val="0"/>
                <w:i w:val="0"/>
                <w:color w:val="000000"/>
                <w:sz w:val="19"/>
              </w:rPr>
              <w:t xml:space="preserve">27.73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单位：许昌市公路养护中心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1,554.28</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2.71</w:t>
            </w:r>
          </w:p>
        </w:tc>
        <w:tc>
          <w:tcPr>
            <w:tcW w:w="1420" w:type="dxa"/>
            <w:tcBorders/>
            <w:vAlign w:val="center"/>
          </w:tcPr>
          <w:p>
            <w:pPr>
              <w:jc w:val="right"/>
            </w:pPr>
            <w:r>
              <w:rPr>
                <w:rFonts w:ascii="宋体" w:eastAsia="宋体" w:hAnsi="宋体" w:cs="宋体"/>
                <w:b w:val="0"/>
                <w:i w:val="0"/>
                <w:color w:val="000000"/>
                <w:sz w:val="18"/>
              </w:rPr>
              <w:t xml:space="preserve">2.71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207.62</w:t>
            </w:r>
          </w:p>
        </w:tc>
        <w:tc>
          <w:tcPr>
            <w:tcW w:w="1420" w:type="dxa"/>
            <w:tcBorders/>
            <w:vAlign w:val="center"/>
          </w:tcPr>
          <w:p>
            <w:pPr>
              <w:jc w:val="right"/>
            </w:pPr>
            <w:r>
              <w:rPr>
                <w:rFonts w:ascii="宋体" w:eastAsia="宋体" w:hAnsi="宋体" w:cs="宋体"/>
                <w:b w:val="0"/>
                <w:i w:val="0"/>
                <w:color w:val="000000"/>
                <w:sz w:val="18"/>
              </w:rPr>
              <w:t xml:space="preserve">207.62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13.56</w:t>
            </w:r>
          </w:p>
        </w:tc>
        <w:tc>
          <w:tcPr>
            <w:tcW w:w="1420" w:type="dxa"/>
            <w:tcBorders/>
            <w:vAlign w:val="center"/>
          </w:tcPr>
          <w:p>
            <w:pPr>
              <w:jc w:val="right"/>
            </w:pPr>
            <w:r>
              <w:rPr>
                <w:rFonts w:ascii="宋体" w:eastAsia="宋体" w:hAnsi="宋体" w:cs="宋体"/>
                <w:b w:val="0"/>
                <w:i w:val="0"/>
                <w:color w:val="000000"/>
                <w:sz w:val="18"/>
              </w:rPr>
              <w:t xml:space="preserve">13.56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482.56</w:t>
            </w:r>
          </w:p>
        </w:tc>
        <w:tc>
          <w:tcPr>
            <w:tcW w:w="1420" w:type="dxa"/>
            <w:tcBorders/>
            <w:vAlign w:val="center"/>
          </w:tcPr>
          <w:p>
            <w:pPr>
              <w:jc w:val="right"/>
            </w:pPr>
            <w:r>
              <w:rPr>
                <w:rFonts w:ascii="宋体" w:eastAsia="宋体" w:hAnsi="宋体" w:cs="宋体"/>
                <w:b w:val="0"/>
                <w:i w:val="0"/>
                <w:color w:val="000000"/>
                <w:sz w:val="18"/>
              </w:rPr>
              <w:t xml:space="preserve">482.56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913.80</w:t>
            </w:r>
          </w:p>
        </w:tc>
        <w:tc>
          <w:tcPr>
            <w:tcW w:w="1420" w:type="dxa"/>
            <w:tcBorders/>
            <w:vAlign w:val="center"/>
          </w:tcPr>
          <w:p>
            <w:pPr>
              <w:jc w:val="right"/>
            </w:pPr>
            <w:r>
              <w:rPr>
                <w:rFonts w:ascii="宋体" w:eastAsia="宋体" w:hAnsi="宋体" w:cs="宋体"/>
                <w:b w:val="0"/>
                <w:i w:val="0"/>
                <w:color w:val="000000"/>
                <w:sz w:val="18"/>
              </w:rPr>
              <w:t xml:space="preserve">913.80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27.73</w:t>
            </w:r>
          </w:p>
        </w:tc>
        <w:tc>
          <w:tcPr>
            <w:tcW w:w="1420" w:type="dxa"/>
            <w:tcBorders/>
            <w:vAlign w:val="center"/>
          </w:tcPr>
          <w:p>
            <w:pPr>
              <w:jc w:val="right"/>
            </w:pPr>
            <w:r>
              <w:rPr>
                <w:rFonts w:ascii="宋体" w:eastAsia="宋体" w:hAnsi="宋体" w:cs="宋体"/>
                <w:b w:val="0"/>
                <w:i w:val="0"/>
                <w:color w:val="000000"/>
                <w:sz w:val="18"/>
              </w:rPr>
              <w:t xml:space="preserve">27.73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1,554.28</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1,647.98</w:t>
            </w:r>
          </w:p>
        </w:tc>
        <w:tc>
          <w:tcPr>
            <w:tcW w:w="1420" w:type="dxa"/>
            <w:tcBorders/>
            <w:vAlign w:val="center"/>
          </w:tcPr>
          <w:p>
            <w:pPr>
              <w:jc w:val="right"/>
            </w:pPr>
            <w:r>
              <w:rPr>
                <w:rFonts w:ascii="宋体" w:eastAsia="宋体" w:hAnsi="宋体" w:cs="宋体"/>
                <w:b w:val="0"/>
                <w:i w:val="0"/>
                <w:color w:val="000000"/>
                <w:sz w:val="18"/>
              </w:rPr>
              <w:t xml:space="preserve">1,647.98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93.70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93.70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1,647.98</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1,647.98</w:t>
            </w:r>
          </w:p>
        </w:tc>
        <w:tc>
          <w:tcPr>
            <w:tcW w:w="1420" w:type="dxa"/>
            <w:tcBorders/>
            <w:vAlign w:val="center"/>
          </w:tcPr>
          <w:p>
            <w:pPr>
              <w:jc w:val="right"/>
            </w:pPr>
            <w:r>
              <w:rPr>
                <w:rFonts w:ascii="宋体" w:eastAsia="宋体" w:hAnsi="宋体" w:cs="宋体"/>
                <w:b w:val="0"/>
                <w:i w:val="0"/>
                <w:color w:val="000000"/>
                <w:sz w:val="18"/>
              </w:rPr>
              <w:t xml:space="preserve">1,647.98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单位：许昌市公路养护中心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1,647.98</w:t>
            </w:r>
          </w:p>
        </w:tc>
        <w:tc>
          <w:tcPr>
            <w:tcW w:w="2700" w:type="dxa"/>
            <w:tcBorders/>
            <w:vAlign w:val="center"/>
          </w:tcPr>
          <w:p>
            <w:pPr>
              <w:jc w:val="right"/>
            </w:pPr>
            <w:r>
              <w:rPr>
                <w:rFonts w:ascii="宋体" w:eastAsia="宋体" w:hAnsi="宋体" w:cs="宋体"/>
                <w:b/>
                <w:i w:val="0"/>
                <w:color w:val="000000"/>
                <w:sz w:val="25"/>
              </w:rPr>
              <w:t xml:space="preserve">667.79</w:t>
            </w:r>
          </w:p>
        </w:tc>
        <w:tc>
          <w:tcPr>
            <w:tcW w:w="2658" w:type="dxa"/>
            <w:tcBorders/>
            <w:vAlign w:val="center"/>
          </w:tcPr>
          <w:p>
            <w:pPr>
              <w:jc w:val="right"/>
            </w:pPr>
            <w:r>
              <w:rPr>
                <w:rFonts w:ascii="宋体" w:eastAsia="宋体" w:hAnsi="宋体" w:cs="宋体"/>
                <w:b/>
                <w:i w:val="0"/>
                <w:color w:val="000000"/>
                <w:sz w:val="25"/>
              </w:rPr>
              <w:t xml:space="preserve">980.19</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2.71</w:t>
            </w:r>
          </w:p>
        </w:tc>
        <w:tc>
          <w:tcPr>
            <w:tcW w:w="2700" w:type="dxa"/>
            <w:tcBorders/>
            <w:vAlign w:val="center"/>
          </w:tcPr>
          <w:p>
            <w:pPr>
              <w:jc w:val="right"/>
            </w:pPr>
            <w:r>
              <w:rPr>
                <w:rFonts w:ascii="宋体" w:eastAsia="宋体" w:hAnsi="宋体" w:cs="宋体"/>
                <w:b w:val="0"/>
                <w:i w:val="0"/>
                <w:color w:val="000000"/>
                <w:sz w:val="25"/>
              </w:rPr>
              <w:t xml:space="preserve">2.71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2.71</w:t>
            </w:r>
          </w:p>
        </w:tc>
        <w:tc>
          <w:tcPr>
            <w:tcW w:w="2700" w:type="dxa"/>
            <w:tcBorders/>
            <w:vAlign w:val="center"/>
          </w:tcPr>
          <w:p>
            <w:pPr>
              <w:jc w:val="right"/>
            </w:pPr>
            <w:r>
              <w:rPr>
                <w:rFonts w:ascii="宋体" w:eastAsia="宋体" w:hAnsi="宋体" w:cs="宋体"/>
                <w:b w:val="0"/>
                <w:i w:val="0"/>
                <w:color w:val="000000"/>
                <w:sz w:val="25"/>
              </w:rPr>
              <w:t xml:space="preserve">2.71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2.71</w:t>
            </w:r>
          </w:p>
        </w:tc>
        <w:tc>
          <w:tcPr>
            <w:tcW w:w="2700" w:type="dxa"/>
            <w:tcBorders/>
            <w:vAlign w:val="center"/>
          </w:tcPr>
          <w:p>
            <w:pPr>
              <w:jc w:val="right"/>
            </w:pPr>
            <w:r>
              <w:rPr>
                <w:rFonts w:ascii="宋体" w:eastAsia="宋体" w:hAnsi="宋体" w:cs="宋体"/>
                <w:b w:val="0"/>
                <w:i w:val="0"/>
                <w:color w:val="000000"/>
                <w:sz w:val="25"/>
              </w:rPr>
              <w:t xml:space="preserve">2.71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207.62</w:t>
            </w:r>
          </w:p>
        </w:tc>
        <w:tc>
          <w:tcPr>
            <w:tcW w:w="2700" w:type="dxa"/>
            <w:tcBorders/>
            <w:vAlign w:val="center"/>
          </w:tcPr>
          <w:p>
            <w:pPr>
              <w:jc w:val="right"/>
            </w:pPr>
            <w:r>
              <w:rPr>
                <w:rFonts w:ascii="宋体" w:eastAsia="宋体" w:hAnsi="宋体" w:cs="宋体"/>
                <w:b w:val="0"/>
                <w:i w:val="0"/>
                <w:color w:val="000000"/>
                <w:sz w:val="25"/>
              </w:rPr>
              <w:t xml:space="preserve">207.62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207.62</w:t>
            </w:r>
          </w:p>
        </w:tc>
        <w:tc>
          <w:tcPr>
            <w:tcW w:w="2700" w:type="dxa"/>
            <w:tcBorders/>
            <w:vAlign w:val="center"/>
          </w:tcPr>
          <w:p>
            <w:pPr>
              <w:jc w:val="right"/>
            </w:pPr>
            <w:r>
              <w:rPr>
                <w:rFonts w:ascii="宋体" w:eastAsia="宋体" w:hAnsi="宋体" w:cs="宋体"/>
                <w:b w:val="0"/>
                <w:i w:val="0"/>
                <w:color w:val="000000"/>
                <w:sz w:val="25"/>
              </w:rPr>
              <w:t xml:space="preserve">207.62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177.05</w:t>
            </w:r>
          </w:p>
        </w:tc>
        <w:tc>
          <w:tcPr>
            <w:tcW w:w="2700" w:type="dxa"/>
            <w:tcBorders/>
            <w:vAlign w:val="center"/>
          </w:tcPr>
          <w:p>
            <w:pPr>
              <w:jc w:val="right"/>
            </w:pPr>
            <w:r>
              <w:rPr>
                <w:rFonts w:ascii="宋体" w:eastAsia="宋体" w:hAnsi="宋体" w:cs="宋体"/>
                <w:b w:val="0"/>
                <w:i w:val="0"/>
                <w:color w:val="000000"/>
                <w:sz w:val="25"/>
              </w:rPr>
              <w:t xml:space="preserve">177.05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30.57</w:t>
            </w:r>
          </w:p>
        </w:tc>
        <w:tc>
          <w:tcPr>
            <w:tcW w:w="2700" w:type="dxa"/>
            <w:tcBorders/>
            <w:vAlign w:val="center"/>
          </w:tcPr>
          <w:p>
            <w:pPr>
              <w:jc w:val="right"/>
            </w:pPr>
            <w:r>
              <w:rPr>
                <w:rFonts w:ascii="宋体" w:eastAsia="宋体" w:hAnsi="宋体" w:cs="宋体"/>
                <w:b w:val="0"/>
                <w:i w:val="0"/>
                <w:color w:val="000000"/>
                <w:sz w:val="25"/>
              </w:rPr>
              <w:t xml:space="preserve">30.57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13.56</w:t>
            </w:r>
          </w:p>
        </w:tc>
        <w:tc>
          <w:tcPr>
            <w:tcW w:w="2700" w:type="dxa"/>
            <w:tcBorders/>
            <w:vAlign w:val="center"/>
          </w:tcPr>
          <w:p>
            <w:pPr>
              <w:jc w:val="right"/>
            </w:pPr>
            <w:r>
              <w:rPr>
                <w:rFonts w:ascii="宋体" w:eastAsia="宋体" w:hAnsi="宋体" w:cs="宋体"/>
                <w:b w:val="0"/>
                <w:i w:val="0"/>
                <w:color w:val="000000"/>
                <w:sz w:val="25"/>
              </w:rPr>
              <w:t xml:space="preserve">13.56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13.56</w:t>
            </w:r>
          </w:p>
        </w:tc>
        <w:tc>
          <w:tcPr>
            <w:tcW w:w="2700" w:type="dxa"/>
            <w:tcBorders/>
            <w:vAlign w:val="center"/>
          </w:tcPr>
          <w:p>
            <w:pPr>
              <w:jc w:val="right"/>
            </w:pPr>
            <w:r>
              <w:rPr>
                <w:rFonts w:ascii="宋体" w:eastAsia="宋体" w:hAnsi="宋体" w:cs="宋体"/>
                <w:b w:val="0"/>
                <w:i w:val="0"/>
                <w:color w:val="000000"/>
                <w:sz w:val="25"/>
              </w:rPr>
              <w:t xml:space="preserve">13.56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13.56</w:t>
            </w:r>
          </w:p>
        </w:tc>
        <w:tc>
          <w:tcPr>
            <w:tcW w:w="2700" w:type="dxa"/>
            <w:tcBorders/>
            <w:vAlign w:val="center"/>
          </w:tcPr>
          <w:p>
            <w:pPr>
              <w:jc w:val="right"/>
            </w:pPr>
            <w:r>
              <w:rPr>
                <w:rFonts w:ascii="宋体" w:eastAsia="宋体" w:hAnsi="宋体" w:cs="宋体"/>
                <w:b w:val="0"/>
                <w:i w:val="0"/>
                <w:color w:val="000000"/>
                <w:sz w:val="25"/>
              </w:rPr>
              <w:t xml:space="preserve">13.56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节能环保支出</w:t>
            </w:r>
          </w:p>
        </w:tc>
        <w:tc>
          <w:tcPr>
            <w:tcW w:w="2700" w:type="dxa"/>
            <w:tcBorders/>
            <w:vAlign w:val="center"/>
          </w:tcPr>
          <w:p>
            <w:pPr>
              <w:jc w:val="right"/>
            </w:pPr>
            <w:r>
              <w:rPr>
                <w:rFonts w:ascii="宋体" w:eastAsia="宋体" w:hAnsi="宋体" w:cs="宋体"/>
                <w:b w:val="0"/>
                <w:i w:val="0"/>
                <w:color w:val="000000"/>
                <w:sz w:val="25"/>
              </w:rPr>
              <w:t xml:space="preserve">482.56</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482.56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污染防治</w:t>
            </w:r>
          </w:p>
        </w:tc>
        <w:tc>
          <w:tcPr>
            <w:tcW w:w="2700" w:type="dxa"/>
            <w:tcBorders/>
            <w:vAlign w:val="center"/>
          </w:tcPr>
          <w:p>
            <w:pPr>
              <w:jc w:val="right"/>
            </w:pPr>
            <w:r>
              <w:rPr>
                <w:rFonts w:ascii="宋体" w:eastAsia="宋体" w:hAnsi="宋体" w:cs="宋体"/>
                <w:b w:val="0"/>
                <w:i w:val="0"/>
                <w:color w:val="000000"/>
                <w:sz w:val="25"/>
              </w:rPr>
              <w:t xml:space="preserve">482.56</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482.56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2110301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大气</w:t>
            </w:r>
          </w:p>
        </w:tc>
        <w:tc>
          <w:tcPr>
            <w:tcW w:w="2700" w:type="dxa"/>
            <w:tcBorders/>
            <w:vAlign w:val="center"/>
          </w:tcPr>
          <w:p>
            <w:pPr>
              <w:jc w:val="right"/>
            </w:pPr>
            <w:r>
              <w:rPr>
                <w:rFonts w:ascii="宋体" w:eastAsia="宋体" w:hAnsi="宋体" w:cs="宋体"/>
                <w:b w:val="0"/>
                <w:i w:val="0"/>
                <w:color w:val="000000"/>
                <w:sz w:val="25"/>
              </w:rPr>
              <w:t xml:space="preserve">482.56</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482.56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交通运输支出</w:t>
            </w:r>
          </w:p>
        </w:tc>
        <w:tc>
          <w:tcPr>
            <w:tcW w:w="2700" w:type="dxa"/>
            <w:tcBorders/>
            <w:vAlign w:val="center"/>
          </w:tcPr>
          <w:p>
            <w:pPr>
              <w:jc w:val="right"/>
            </w:pPr>
            <w:r>
              <w:rPr>
                <w:rFonts w:ascii="宋体" w:eastAsia="宋体" w:hAnsi="宋体" w:cs="宋体"/>
                <w:b w:val="0"/>
                <w:i w:val="0"/>
                <w:color w:val="000000"/>
                <w:sz w:val="25"/>
              </w:rPr>
              <w:t xml:space="preserve">913.80</w:t>
            </w:r>
          </w:p>
        </w:tc>
        <w:tc>
          <w:tcPr>
            <w:tcW w:w="2700" w:type="dxa"/>
            <w:tcBorders/>
            <w:vAlign w:val="center"/>
          </w:tcPr>
          <w:p>
            <w:pPr>
              <w:jc w:val="right"/>
            </w:pPr>
            <w:r>
              <w:rPr>
                <w:rFonts w:ascii="宋体" w:eastAsia="宋体" w:hAnsi="宋体" w:cs="宋体"/>
                <w:b w:val="0"/>
                <w:i w:val="0"/>
                <w:color w:val="000000"/>
                <w:sz w:val="25"/>
              </w:rPr>
              <w:t xml:space="preserve">416.17</w:t>
            </w:r>
          </w:p>
        </w:tc>
        <w:tc>
          <w:tcPr>
            <w:tcW w:w="2658" w:type="dxa"/>
            <w:tcBorders/>
            <w:vAlign w:val="center"/>
          </w:tcPr>
          <w:p>
            <w:pPr>
              <w:jc w:val="right"/>
            </w:pPr>
            <w:r>
              <w:rPr>
                <w:rFonts w:ascii="宋体" w:eastAsia="宋体" w:hAnsi="宋体" w:cs="宋体"/>
                <w:b w:val="0"/>
                <w:i w:val="0"/>
                <w:color w:val="000000"/>
                <w:sz w:val="25"/>
              </w:rPr>
              <w:t xml:space="preserve">497.63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公路水路运输</w:t>
            </w:r>
          </w:p>
        </w:tc>
        <w:tc>
          <w:tcPr>
            <w:tcW w:w="2700" w:type="dxa"/>
            <w:tcBorders/>
            <w:vAlign w:val="center"/>
          </w:tcPr>
          <w:p>
            <w:pPr>
              <w:jc w:val="right"/>
            </w:pPr>
            <w:r>
              <w:rPr>
                <w:rFonts w:ascii="宋体" w:eastAsia="宋体" w:hAnsi="宋体" w:cs="宋体"/>
                <w:b w:val="0"/>
                <w:i w:val="0"/>
                <w:color w:val="000000"/>
                <w:sz w:val="25"/>
              </w:rPr>
              <w:t xml:space="preserve">877.54</w:t>
            </w:r>
          </w:p>
        </w:tc>
        <w:tc>
          <w:tcPr>
            <w:tcW w:w="2700" w:type="dxa"/>
            <w:tcBorders/>
            <w:vAlign w:val="center"/>
          </w:tcPr>
          <w:p>
            <w:pPr>
              <w:jc w:val="right"/>
            </w:pPr>
            <w:r>
              <w:rPr>
                <w:rFonts w:ascii="宋体" w:eastAsia="宋体" w:hAnsi="宋体" w:cs="宋体"/>
                <w:b w:val="0"/>
                <w:i w:val="0"/>
                <w:color w:val="000000"/>
                <w:sz w:val="25"/>
              </w:rPr>
              <w:t xml:space="preserve">379.91</w:t>
            </w:r>
          </w:p>
        </w:tc>
        <w:tc>
          <w:tcPr>
            <w:tcW w:w="2658" w:type="dxa"/>
            <w:tcBorders/>
            <w:vAlign w:val="center"/>
          </w:tcPr>
          <w:p>
            <w:pPr>
              <w:jc w:val="right"/>
            </w:pPr>
            <w:r>
              <w:rPr>
                <w:rFonts w:ascii="宋体" w:eastAsia="宋体" w:hAnsi="宋体" w:cs="宋体"/>
                <w:b w:val="0"/>
                <w:i w:val="0"/>
                <w:color w:val="000000"/>
                <w:sz w:val="25"/>
              </w:rPr>
              <w:t xml:space="preserve">497.63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2140106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公路养护</w:t>
            </w:r>
          </w:p>
        </w:tc>
        <w:tc>
          <w:tcPr>
            <w:tcW w:w="2700" w:type="dxa"/>
            <w:tcBorders/>
            <w:vAlign w:val="center"/>
          </w:tcPr>
          <w:p>
            <w:pPr>
              <w:jc w:val="right"/>
            </w:pPr>
            <w:r>
              <w:rPr>
                <w:rFonts w:ascii="宋体" w:eastAsia="宋体" w:hAnsi="宋体" w:cs="宋体"/>
                <w:b w:val="0"/>
                <w:i w:val="0"/>
                <w:color w:val="000000"/>
                <w:sz w:val="25"/>
              </w:rPr>
              <w:t xml:space="preserve">497.63</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497.63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其他公路水路运输支出</w:t>
            </w:r>
          </w:p>
        </w:tc>
        <w:tc>
          <w:tcPr>
            <w:tcW w:w="2700" w:type="dxa"/>
            <w:tcBorders/>
            <w:vAlign w:val="center"/>
          </w:tcPr>
          <w:p>
            <w:pPr>
              <w:jc w:val="right"/>
            </w:pPr>
            <w:r>
              <w:rPr>
                <w:rFonts w:ascii="宋体" w:eastAsia="宋体" w:hAnsi="宋体" w:cs="宋体"/>
                <w:b w:val="0"/>
                <w:i w:val="0"/>
                <w:color w:val="000000"/>
                <w:sz w:val="25"/>
              </w:rPr>
              <w:t xml:space="preserve">379.91</w:t>
            </w:r>
          </w:p>
        </w:tc>
        <w:tc>
          <w:tcPr>
            <w:tcW w:w="2700" w:type="dxa"/>
            <w:tcBorders/>
            <w:vAlign w:val="center"/>
          </w:tcPr>
          <w:p>
            <w:pPr>
              <w:jc w:val="right"/>
            </w:pPr>
            <w:r>
              <w:rPr>
                <w:rFonts w:ascii="宋体" w:eastAsia="宋体" w:hAnsi="宋体" w:cs="宋体"/>
                <w:b w:val="0"/>
                <w:i w:val="0"/>
                <w:color w:val="000000"/>
                <w:sz w:val="25"/>
              </w:rPr>
              <w:t xml:space="preserve">379.91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其他交通运输支出</w:t>
            </w:r>
          </w:p>
        </w:tc>
        <w:tc>
          <w:tcPr>
            <w:tcW w:w="2700" w:type="dxa"/>
            <w:tcBorders/>
            <w:vAlign w:val="center"/>
          </w:tcPr>
          <w:p>
            <w:pPr>
              <w:jc w:val="right"/>
            </w:pPr>
            <w:r>
              <w:rPr>
                <w:rFonts w:ascii="宋体" w:eastAsia="宋体" w:hAnsi="宋体" w:cs="宋体"/>
                <w:b w:val="0"/>
                <w:i w:val="0"/>
                <w:color w:val="000000"/>
                <w:sz w:val="25"/>
              </w:rPr>
              <w:t xml:space="preserve">36.25</w:t>
            </w:r>
          </w:p>
        </w:tc>
        <w:tc>
          <w:tcPr>
            <w:tcW w:w="2700" w:type="dxa"/>
            <w:tcBorders/>
            <w:vAlign w:val="center"/>
          </w:tcPr>
          <w:p>
            <w:pPr>
              <w:jc w:val="right"/>
            </w:pPr>
            <w:r>
              <w:rPr>
                <w:rFonts w:ascii="宋体" w:eastAsia="宋体" w:hAnsi="宋体" w:cs="宋体"/>
                <w:b w:val="0"/>
                <w:i w:val="0"/>
                <w:color w:val="000000"/>
                <w:sz w:val="25"/>
              </w:rPr>
              <w:t xml:space="preserve">36.25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其他交通运输支出</w:t>
            </w:r>
          </w:p>
        </w:tc>
        <w:tc>
          <w:tcPr>
            <w:tcW w:w="2700" w:type="dxa"/>
            <w:tcBorders/>
            <w:vAlign w:val="center"/>
          </w:tcPr>
          <w:p>
            <w:pPr>
              <w:jc w:val="right"/>
            </w:pPr>
            <w:r>
              <w:rPr>
                <w:rFonts w:ascii="宋体" w:eastAsia="宋体" w:hAnsi="宋体" w:cs="宋体"/>
                <w:b w:val="0"/>
                <w:i w:val="0"/>
                <w:color w:val="000000"/>
                <w:sz w:val="25"/>
              </w:rPr>
              <w:t xml:space="preserve">36.25</w:t>
            </w:r>
          </w:p>
        </w:tc>
        <w:tc>
          <w:tcPr>
            <w:tcW w:w="2700" w:type="dxa"/>
            <w:tcBorders/>
            <w:vAlign w:val="center"/>
          </w:tcPr>
          <w:p>
            <w:pPr>
              <w:jc w:val="right"/>
            </w:pPr>
            <w:r>
              <w:rPr>
                <w:rFonts w:ascii="宋体" w:eastAsia="宋体" w:hAnsi="宋体" w:cs="宋体"/>
                <w:b w:val="0"/>
                <w:i w:val="0"/>
                <w:color w:val="000000"/>
                <w:sz w:val="25"/>
              </w:rPr>
              <w:t xml:space="preserve">36.25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27.73</w:t>
            </w:r>
          </w:p>
        </w:tc>
        <w:tc>
          <w:tcPr>
            <w:tcW w:w="2700" w:type="dxa"/>
            <w:tcBorders/>
            <w:vAlign w:val="center"/>
          </w:tcPr>
          <w:p>
            <w:pPr>
              <w:jc w:val="right"/>
            </w:pPr>
            <w:r>
              <w:rPr>
                <w:rFonts w:ascii="宋体" w:eastAsia="宋体" w:hAnsi="宋体" w:cs="宋体"/>
                <w:b w:val="0"/>
                <w:i w:val="0"/>
                <w:color w:val="000000"/>
                <w:sz w:val="25"/>
              </w:rPr>
              <w:t xml:space="preserve">27.73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27.73</w:t>
            </w:r>
          </w:p>
        </w:tc>
        <w:tc>
          <w:tcPr>
            <w:tcW w:w="2700" w:type="dxa"/>
            <w:tcBorders/>
            <w:vAlign w:val="center"/>
          </w:tcPr>
          <w:p>
            <w:pPr>
              <w:jc w:val="right"/>
            </w:pPr>
            <w:r>
              <w:rPr>
                <w:rFonts w:ascii="宋体" w:eastAsia="宋体" w:hAnsi="宋体" w:cs="宋体"/>
                <w:b w:val="0"/>
                <w:i w:val="0"/>
                <w:color w:val="000000"/>
                <w:sz w:val="25"/>
              </w:rPr>
              <w:t xml:space="preserve">27.73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27.73</w:t>
            </w:r>
          </w:p>
        </w:tc>
        <w:tc>
          <w:tcPr>
            <w:tcW w:w="2700" w:type="dxa"/>
            <w:tcBorders/>
            <w:vAlign w:val="center"/>
          </w:tcPr>
          <w:p>
            <w:pPr>
              <w:jc w:val="right"/>
            </w:pPr>
            <w:r>
              <w:rPr>
                <w:rFonts w:ascii="宋体" w:eastAsia="宋体" w:hAnsi="宋体" w:cs="宋体"/>
                <w:b w:val="0"/>
                <w:i w:val="0"/>
                <w:color w:val="000000"/>
                <w:sz w:val="25"/>
              </w:rPr>
              <w:t xml:space="preserve">27.73</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单位：许昌市公路养护中心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465.55</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20.65</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133.49</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3.22</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17.05</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138.81</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65.29</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0.29</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30.57</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3.16</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2.52</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13.56</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1.10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2.21</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0.05</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27.73</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0.31</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36.83</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181.58</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177.05</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4.54</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2.71</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3.28</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3.91</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0.10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647.14</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20.65</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单位：许昌市公路养护中心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单位：许昌市公路养护中心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单位：许昌市公路养护中心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4.00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4.00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4.00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3.91</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3.91</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3.91</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1648.05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增加107.42万元，增长6.97%</w:t>
      </w:r>
      <w:r>
        <w:rPr>
          <w:rFonts w:ascii="仿宋" w:eastAsia="仿宋" w:hAnsi="仿宋" w:cs="仿宋" w:hint="eastAsia"/>
          <w:kern w:val="0"/>
          <w:sz w:val="32"/>
          <w:szCs w:val="32"/>
          <w:lang w:val="en-US" w:eastAsia="zh-CN"/>
        </w:rPr>
        <w:t xml:space="preserve">。主要原因是本年度我单位公路养护省补资金较大。</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1554.35</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财政拨款收入1554.28万元，占100.00%；上级补助收入0.00万元，占0.00%；事业收入0.00万元，占0.00%；经营收入0.00万元，占0.00%；附属单位上缴收入0.00万元，占0.00%；其他收入0.07万元，占0.00%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1647.98</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基本支出667.79万元，占40.52%；项目支出980.19万元，占59.48%；上缴上级支出0.00万元，占0.00%；经营支出0.00万元，占0.00%；对附属单位补助支出0.00万元，占0.00%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1647.98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增加107.35万元，增长6.97%</w:t>
      </w:r>
      <w:r>
        <w:rPr>
          <w:rFonts w:ascii="仿宋" w:eastAsia="仿宋" w:hAnsi="仿宋" w:cs="仿宋" w:hint="eastAsia"/>
          <w:kern w:val="0"/>
          <w:sz w:val="32"/>
          <w:szCs w:val="32"/>
          <w:lang w:val="en-US" w:eastAsia="zh-CN"/>
        </w:rPr>
        <w:t xml:space="preserve">。主要原因是本年度我单位公路养护省补资金较大。</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1647.98</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增加107.35万元，增长6.97%</w:t>
      </w:r>
      <w:r>
        <w:rPr>
          <w:rFonts w:ascii="仿宋" w:eastAsia="仿宋" w:hAnsi="仿宋" w:cs="仿宋" w:hint="eastAsia"/>
          <w:kern w:val="0"/>
          <w:sz w:val="32"/>
          <w:szCs w:val="32"/>
          <w:lang w:val="en-US" w:eastAsia="zh-CN"/>
        </w:rPr>
        <w:t xml:space="preserve">。主要原因是本年度我单位公路养护省补资金较大。</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1647.98</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2.71万元，占0.16%；社会保障和就业支出（类）207.62万元，占12.60%；卫生健康支出（类）13.56万元，占0.82%；节能环保支出（类）482.56万元，占29.28%；交通运输支出（类）913.80万元，占55.45%；住房保障支出（类）27.73万元，占1.69%</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674.58</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1647.98</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244.30</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年初预算数为2.71万元，决算数2.71万元,完成年初预算的100.00%，决算数与年初预算数不存在差异。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年初预算数为184.04万元，决算数177.05万元,完成年初预算的96.20%，决算数与年初预算数存在差异的主要原因是我单位1名退休人员降低养老待遇由技师调整为高级工。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年初预算数为32.00万元，决算数30.57万元,完成年初预算的95.53%，决算数与年初预算数存在差异的主要原因是本年度有在职转退休人员。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4.卫生健康支出（类）行政事业单位医疗（款）事业单位医疗（项）</w:t>
      </w:r>
      <w:r>
        <w:rPr>
          <w:rFonts w:ascii="仿宋" w:eastAsia="仿宋" w:hAnsi="仿宋" w:cs="仿宋" w:hint="default"/>
          <w:kern w:val="2"/>
          <w:sz w:val="32"/>
          <w:szCs w:val="32"/>
          <w:lang w:val="en-US" w:eastAsia="zh-CN"/>
        </w:rPr>
        <w:t xml:space="preserve">年初预算数为15.43万元，决算数13.56万元,完成年初预算的87.88%，决算数与年初预算数存在差异的主要原因是本年度有在职转退休人员。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5.节能环保支出（类）污染防治（款）大气（项）</w:t>
      </w:r>
      <w:r>
        <w:rPr>
          <w:rFonts w:ascii="仿宋" w:eastAsia="仿宋" w:hAnsi="仿宋" w:cs="仿宋" w:hint="default"/>
          <w:kern w:val="2"/>
          <w:sz w:val="32"/>
          <w:szCs w:val="32"/>
          <w:lang w:val="en-US" w:eastAsia="zh-CN"/>
        </w:rPr>
        <w:t xml:space="preserve">年初预算数为0.00万元，决算数482.56万元,决算数与年初预算数存在差异的主要原因是大气污染防治资金属市直专项资金未纳入年初预算。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6.交通运输支出（类）公路水路运输（款）公路养护（项）</w:t>
      </w:r>
      <w:r>
        <w:rPr>
          <w:rFonts w:ascii="仿宋" w:eastAsia="仿宋" w:hAnsi="仿宋" w:cs="仿宋" w:hint="default"/>
          <w:kern w:val="2"/>
          <w:sz w:val="32"/>
          <w:szCs w:val="32"/>
          <w:lang w:val="en-US" w:eastAsia="zh-CN"/>
        </w:rPr>
        <w:t xml:space="preserve">年初预算数为0.00万元，决算数497.63万元,决算数与年初预算数存在差异的主要原因是干线公路小修保养是省补资金未纳入年初预算。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7.交通运输支出（类）公路水路运输（款）其他公路水路运输支出（项）</w:t>
      </w:r>
      <w:r>
        <w:rPr>
          <w:rFonts w:ascii="仿宋" w:eastAsia="仿宋" w:hAnsi="仿宋" w:cs="仿宋" w:hint="default"/>
          <w:kern w:val="2"/>
          <w:sz w:val="32"/>
          <w:szCs w:val="32"/>
          <w:lang w:val="en-US" w:eastAsia="zh-CN"/>
        </w:rPr>
        <w:t xml:space="preserve">年初预算数为412.34万元，决算数379.91万元,完成年初预算的92.14%，决算数与年初预算数存在差异的主要原因是上级单位调整公用经费。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8.交通运输支出（类）其他交通运输支出（款）其他交通运输支出（项）</w:t>
      </w:r>
      <w:r>
        <w:rPr>
          <w:rFonts w:ascii="仿宋" w:eastAsia="仿宋" w:hAnsi="仿宋" w:cs="仿宋" w:hint="default"/>
          <w:kern w:val="2"/>
          <w:sz w:val="32"/>
          <w:szCs w:val="32"/>
          <w:lang w:val="en-US" w:eastAsia="zh-CN"/>
        </w:rPr>
        <w:t xml:space="preserve">年初预算数为0.00万元，决算数36.25万元,决算数与年初预算数存在差异的主要原因是2021年未休年假、2022年未休年假和2022平安单位奖未纳入年初预算。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9.住房保障支出（类）住房改革支出（款）住房公积金（项）</w:t>
      </w:r>
      <w:r>
        <w:rPr>
          <w:rFonts w:ascii="仿宋" w:eastAsia="仿宋" w:hAnsi="仿宋" w:cs="仿宋" w:hint="default"/>
          <w:kern w:val="2"/>
          <w:sz w:val="32"/>
          <w:szCs w:val="32"/>
          <w:lang w:val="en-US" w:eastAsia="zh-CN"/>
        </w:rPr>
        <w:t xml:space="preserve">年初预算数为28.06万元，决算数27.73万元,完成年初预算的98.82%，决算数与年初预算数存在差异的主要原因是本年度有在职转退休人员。</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667.79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其中：人员经费647.14万元，主要包括：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公用经费20.65万元，主要包括：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、水费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、物业管理费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4.00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3.91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，完成预算的97.75%</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2023年度“三公”经费支出决算数与预算数存在差异的主要原因是落实关于进一步勤俭节约坚持过紧日子的通知精神，“三公”经费压减10%。</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3.91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,完成预算的97.75%</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4.00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3.91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，完成预算的97.75%</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决算数与预算数存在差异的主要原因是落实关于进一步勤俭节约坚持过紧日子的通知精神，“三公”经费压减10%。</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3.91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主要用于主要用于公务车辆的油修及保险费用。</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4</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4</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4</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1647.98</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99.5</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从单位整体自评情况来看，我单位绩效目标明确、决策依据充分，在主管部门和单位领导下各业务部门职工很好的履行了工作职责，各项任务有序完成，实现了既定的年度履职目标，全面实施了绩效自评</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bookmarkStart w:id="0" w:name="_GoBack"/>
      <w:bookmarkEnd w:id="0"/>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基于项目预期目标的实现程度，我单位对2023年度单位预算项目支出（含单位参与分配的转移支付项目）开展绩效自评，涉及项目6个，项目金额929.29万元。其中：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大气污染防治（特定专项工作经费）项目，绩效自评得分97分，评价等级为“优”、预算执行率81.28%，资金482.56万元，目标完成情况为较好地完成了环城公路大气污染防治工作，存在问题为项目资金支付过程中未能及时支付，下一步将按照工作量及时申请资金支付，及时支付项目资金。</w:t>
        <w:br/>
        <w:t xml:space="preserve">    （2）2023年干线公路日常养护（原小修保养经费）省补资金项目，绩效自评得分90.5分，评价等级为“优”、预算执行率65.1%，资金408.82万元，目标完成情况为较好的完成了干线公路日常养护工作，存在问题为项目资金支付过程中未能及时支付，下一步将按照工作量及时申请资金支付，及时支付项目资金。</w:t>
        <w:br/>
        <w:t xml:space="preserve">    （3）2023年交调站点维护项目项目，绩效自评得分100分，评价等级为“优”、预算执行率100.00%，资金1.5万元，目标完成情况为较好地完成了交调站点的维护工作，下一步做好项目的资金用途开展绩效评价和绩效监控,确保项目绩效目标顺利完成。</w:t>
        <w:br/>
        <w:t xml:space="preserve">    （4）出租房产维修维护项目金额，绩效自评得分99.7分，评价等级为：“优”、预算执行率为99.46%，资金3.69万元，目标完成情况为较好的完成了出租房产的维修工作，下一步做好项目的资金用途开展绩效评价和绩效监控,确保项目绩效目标顺利完成。</w:t>
        <w:br/>
        <w:t xml:space="preserve">    （5）2022年第五批普通干线公路建设养护省补助资金（结转上级资金），绩效自评得分98.62分，评价等级为：“优”、预算执行率为96.2%，资金9.62万元，目标完成情况为较好的完成了干线公路水毁路段的抢修工作，下一步将按照工作量及时申请资金支付，及时支付项目资金。</w:t>
        <w:br/>
        <w:t xml:space="preserve">    （6）2021-2022年度公路路产损坏赔（补）偿，绩效自评得分100分，评价等级为：“优”、预算执行率为100%，资金23.1万元，目标完成情况为较好地完成了损坏路产的修复工作，下一步做好项目的资金用途开展绩效评价和绩效监控,确保项目绩效目标顺利完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我单位对项目支出绩效目标进行了自评，在年度项目总体完成较好，预算执行、绩效指标实现、费用在预算范围内等各项指标完成度较高。下一步结合单位工作实际，持续改进，推动项目绩效迈向新高度。</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_8eae3a81-184f-47a1-8532-4e36ce7f0c3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396"/>
        <w:gridCol w:w="396"/>
        <w:gridCol w:w="936"/>
        <w:gridCol w:w="1185"/>
        <w:gridCol w:w="756"/>
        <w:gridCol w:w="1238"/>
        <w:gridCol w:w="1116"/>
        <w:gridCol w:w="577"/>
        <w:gridCol w:w="1117"/>
        <w:gridCol w:w="798"/>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tcBorders>
              <w:top w:val="nil"/>
              <w:left w:val="nil"/>
              <w:bottom w:val="nil"/>
              <w:right w:val="nil"/>
            </w:tcBorders>
            <w:shd w:val="clear" w:color="auto" w:fill="auto"/>
            <w:noWrap w:val="1"/>
            <w:vAlign w:val="bottom"/>
          </w:tcPr>
          <w:p>
            <w:pPr>
              <w:pStyle w:val="Normal_30ba20cc-16fb-4240-9584-a8cdece24ed4"/>
              <w:rPr>
                <w:rFonts w:ascii="黑体" w:eastAsia="黑体" w:hAnsi="宋体" w:cs="黑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bottom"/>
          </w:tcPr>
          <w:p>
            <w:pPr>
              <w:pStyle w:val="Normal_30ba20cc-16fb-4240-9584-a8cdece24ed4"/>
              <w:rPr>
                <w:rFonts w:ascii="黑体" w:eastAsia="黑体" w:hAnsi="宋体" w:cs="黑体" w:hint="eastAsia"/>
                <w:i w:val="0"/>
                <w:iCs w:val="0"/>
                <w:color w:val="000000"/>
                <w:sz w:val="22"/>
                <w:szCs w:val="22"/>
                <w:u w:val="none"/>
              </w:rPr>
            </w:pPr>
          </w:p>
        </w:tc>
        <w:tc>
          <w:tcPr>
            <w:tcW w:type="auto" w:w="0"/>
            <w:tcBorders>
              <w:top w:val="nil"/>
              <w:left w:val="nil"/>
              <w:bottom w:val="nil"/>
              <w:right w:val="nil"/>
            </w:tcBorders>
            <w:shd w:val="clear" w:color="auto" w:fill="auto"/>
            <w:noWrap w:val="1"/>
            <w:vAlign w:val="bottom"/>
          </w:tcPr>
          <w:p>
            <w:pPr>
              <w:pStyle w:val="Normal_30ba20cc-16fb-4240-9584-a8cdece24ed4"/>
              <w:rPr>
                <w:rFonts w:ascii="宋体" w:eastAsia="宋体" w:hAnsi="宋体" w:cs="宋体" w:hint="eastAsia"/>
                <w:i w:val="0"/>
                <w:iCs w:val="0"/>
                <w:color w:val="000000"/>
                <w:sz w:val="20"/>
                <w:szCs w:val="20"/>
                <w:u w:val="none"/>
              </w:rPr>
            </w:pPr>
          </w:p>
        </w:tc>
        <w:tc>
          <w:tcPr>
            <w:tcW w:type="auto" w:w="0"/>
            <w:tcBorders>
              <w:top w:val="nil"/>
              <w:left w:val="nil"/>
              <w:bottom w:val="nil"/>
              <w:right w:val="nil"/>
            </w:tcBorders>
            <w:shd w:val="clear" w:color="auto" w:fill="auto"/>
            <w:noWrap w:val="1"/>
            <w:vAlign w:val="bottom"/>
          </w:tcPr>
          <w:p>
            <w:pPr>
              <w:pStyle w:val="Normal_30ba20cc-16fb-4240-9584-a8cdece24ed4"/>
              <w:rPr>
                <w:rFonts w:ascii="宋体" w:eastAsia="宋体" w:hAnsi="宋体" w:cs="宋体" w:hint="eastAsia"/>
                <w:i w:val="0"/>
                <w:iCs w:val="0"/>
                <w:color w:val="000000"/>
                <w:sz w:val="20"/>
                <w:szCs w:val="20"/>
                <w:u w:val="none"/>
              </w:rPr>
            </w:pPr>
          </w:p>
        </w:tc>
        <w:tc>
          <w:tcPr>
            <w:tcW w:type="auto" w:w="0"/>
            <w:tcBorders>
              <w:top w:val="nil"/>
              <w:left w:val="nil"/>
              <w:bottom w:val="nil"/>
              <w:right w:val="nil"/>
            </w:tcBorders>
            <w:shd w:val="clear" w:color="auto" w:fill="auto"/>
            <w:noWrap w:val="1"/>
            <w:vAlign w:val="bottom"/>
          </w:tcPr>
          <w:p>
            <w:pPr>
              <w:pStyle w:val="Normal_30ba20cc-16fb-4240-9584-a8cdece24ed4"/>
              <w:rPr>
                <w:rFonts w:ascii="宋体" w:eastAsia="宋体" w:hAnsi="宋体" w:cs="宋体" w:hint="eastAsia"/>
                <w:i w:val="0"/>
                <w:iCs w:val="0"/>
                <w:color w:val="000000"/>
                <w:sz w:val="20"/>
                <w:szCs w:val="20"/>
                <w:u w:val="none"/>
              </w:rPr>
            </w:pPr>
          </w:p>
        </w:tc>
        <w:tc>
          <w:tcPr>
            <w:tcW w:type="auto" w:w="0"/>
            <w:tcBorders>
              <w:top w:val="nil"/>
              <w:left w:val="nil"/>
              <w:bottom w:val="nil"/>
              <w:right w:val="nil"/>
            </w:tcBorders>
            <w:shd w:val="clear" w:color="auto" w:fill="auto"/>
            <w:noWrap w:val="1"/>
            <w:vAlign w:val="bottom"/>
          </w:tcPr>
          <w:p>
            <w:pPr>
              <w:pStyle w:val="Normal_30ba20cc-16fb-4240-9584-a8cdece24ed4"/>
              <w:rPr>
                <w:rFonts w:ascii="宋体" w:eastAsia="宋体" w:hAnsi="宋体" w:cs="宋体" w:hint="eastAsia"/>
                <w:i w:val="0"/>
                <w:iCs w:val="0"/>
                <w:color w:val="000000"/>
                <w:sz w:val="20"/>
                <w:szCs w:val="20"/>
                <w:u w:val="none"/>
              </w:rPr>
            </w:pPr>
          </w:p>
        </w:tc>
        <w:tc>
          <w:tcPr>
            <w:tcW w:type="auto" w:w="0"/>
            <w:tcBorders>
              <w:top w:val="nil"/>
              <w:left w:val="nil"/>
              <w:bottom w:val="nil"/>
              <w:right w:val="nil"/>
            </w:tcBorders>
            <w:shd w:val="clear" w:color="auto" w:fill="auto"/>
            <w:noWrap w:val="1"/>
            <w:vAlign w:val="bottom"/>
          </w:tcPr>
          <w:p>
            <w:pPr>
              <w:pStyle w:val="Normal_30ba20cc-16fb-4240-9584-a8cdece24ed4"/>
              <w:rPr>
                <w:rFonts w:ascii="宋体" w:eastAsia="宋体" w:hAnsi="宋体" w:cs="宋体" w:hint="eastAsia"/>
                <w:i w:val="0"/>
                <w:iCs w:val="0"/>
                <w:color w:val="000000"/>
                <w:sz w:val="20"/>
                <w:szCs w:val="20"/>
                <w:u w:val="none"/>
              </w:rPr>
            </w:pPr>
          </w:p>
        </w:tc>
        <w:tc>
          <w:tcPr>
            <w:tcW w:type="auto" w:w="0"/>
            <w:tcBorders>
              <w:top w:val="nil"/>
              <w:left w:val="nil"/>
              <w:bottom w:val="nil"/>
              <w:right w:val="nil"/>
            </w:tcBorders>
            <w:shd w:val="clear" w:color="auto" w:fill="auto"/>
            <w:noWrap w:val="1"/>
            <w:vAlign w:val="bottom"/>
          </w:tcPr>
          <w:p>
            <w:pPr>
              <w:pStyle w:val="Normal_30ba20cc-16fb-4240-9584-a8cdece24ed4"/>
              <w:rPr>
                <w:rFonts w:ascii="宋体" w:eastAsia="宋体" w:hAnsi="宋体" w:cs="宋体" w:hint="eastAsia"/>
                <w:i w:val="0"/>
                <w:iCs w:val="0"/>
                <w:color w:val="000000"/>
                <w:sz w:val="20"/>
                <w:szCs w:val="20"/>
                <w:u w:val="none"/>
              </w:rPr>
            </w:pPr>
          </w:p>
        </w:tc>
        <w:tc>
          <w:tcPr>
            <w:tcW w:type="auto" w:w="0"/>
            <w:tcBorders>
              <w:top w:val="nil"/>
              <w:left w:val="nil"/>
              <w:bottom w:val="nil"/>
              <w:right w:val="nil"/>
            </w:tcBorders>
            <w:shd w:val="clear" w:color="auto" w:fill="auto"/>
            <w:noWrap w:val="1"/>
            <w:vAlign w:val="bottom"/>
          </w:tcPr>
          <w:p>
            <w:pPr>
              <w:pStyle w:val="Normal_30ba20cc-16fb-4240-9584-a8cdece24ed4"/>
              <w:rPr>
                <w:rFonts w:ascii="宋体" w:eastAsia="宋体" w:hAnsi="宋体" w:cs="宋体" w:hint="eastAsia"/>
                <w:i w:val="0"/>
                <w:iCs w:val="0"/>
                <w:color w:val="000000"/>
                <w:sz w:val="20"/>
                <w:szCs w:val="20"/>
                <w:u w:val="none"/>
              </w:rPr>
            </w:pPr>
          </w:p>
        </w:tc>
        <w:tc>
          <w:tcPr>
            <w:tcW w:type="auto" w:w="0"/>
            <w:tcBorders>
              <w:top w:val="nil"/>
              <w:left w:val="nil"/>
              <w:bottom w:val="nil"/>
              <w:right w:val="nil"/>
            </w:tcBorders>
            <w:shd w:val="clear" w:color="auto" w:fill="auto"/>
            <w:noWrap w:val="1"/>
            <w:vAlign w:val="bottom"/>
          </w:tcPr>
          <w:p>
            <w:pPr>
              <w:pStyle w:val="Normal_30ba20cc-16fb-4240-9584-a8cdece24ed4"/>
              <w:rPr>
                <w:rFonts w:ascii="宋体" w:eastAsia="宋体" w:hAnsi="宋体" w:cs="宋体" w:hint="eastAsia"/>
                <w:i w:val="0"/>
                <w:iCs w:val="0"/>
                <w:color w:val="000000"/>
                <w:sz w:val="20"/>
                <w:szCs w:val="20"/>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00"/>
        </w:trPr>
        <w:tc>
          <w:tcPr>
            <w:tcW w:type="auto" w:w="0"/>
            <w:gridSpan w:val="10"/>
            <w:tcBorders>
              <w:top w:val="nil"/>
              <w:left w:val="nil"/>
              <w:bottom w:val="nil"/>
              <w:right w:val="nil"/>
            </w:tcBorders>
            <w:shd w:val="clear" w:color="auto" w:fill="auto"/>
            <w:vAlign w:val="bottom"/>
          </w:tcPr>
          <w:p>
            <w:pPr>
              <w:pStyle w:val="Normal_30ba20cc-16fb-4240-9584-a8cdece24ed4"/>
              <w:keepNext w:val="0"/>
              <w:keepLines w:val="0"/>
              <w:widowControl/>
              <w:suppressLineNumbers w:val="0"/>
              <w:jc w:val="center"/>
              <w:textAlignment w:val="bottom"/>
              <w:rPr>
                <w:rFonts w:ascii="宋体" w:eastAsia="宋体" w:hAnsi="宋体" w:cs="宋体" w:hint="eastAsia"/>
                <w:b/>
                <w:bCs/>
                <w:i w:val="0"/>
                <w:iCs w:val="0"/>
                <w:color w:val="000000"/>
                <w:sz w:val="32"/>
                <w:szCs w:val="32"/>
                <w:u w:val="none"/>
              </w:rPr>
            </w:pPr>
            <w:r>
              <w:rPr>
                <w:rFonts w:ascii="宋体" w:eastAsia="宋体" w:hAnsi="宋体" w:cs="宋体" w:hint="eastAsia"/>
                <w:b/>
                <w:bCs/>
                <w:i w:val="0"/>
                <w:iCs w:val="0"/>
                <w:color w:val="000000"/>
                <w:kern w:val="0"/>
                <w:sz w:val="32"/>
                <w:szCs w:val="32"/>
                <w:u w:val="none"/>
                <w:bdr w:val="none" w:sz="0" w:space="0" w:color="auto"/>
                <w:lang w:val="en-US" w:eastAsia="zh-CN"/>
              </w:rPr>
              <w:t xml:space="preserve">部门整体自评表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0"/>
        </w:trPr>
        <w:tc>
          <w:tcPr>
            <w:tcW w:type="auto" w:w="0"/>
            <w:gridSpan w:val="10"/>
            <w:tcBorders>
              <w:top w:val="nil"/>
              <w:left w:val="nil"/>
              <w:bottom w:val="nil"/>
              <w:right w:val="nil"/>
            </w:tcBorders>
            <w:shd w:val="clear" w:color="auto" w:fill="auto"/>
            <w:vAlign w:val="bottom"/>
          </w:tcPr>
          <w:p>
            <w:pPr>
              <w:pStyle w:val="Normal_30ba20cc-16fb-4240-9584-a8cdece24ed4"/>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 2023 年度）</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nil"/>
            </w:tcBorders>
            <w:shd w:val="clear" w:color="auto" w:fill="auto"/>
            <w:vAlign w:val="bottom"/>
          </w:tcPr>
          <w:p>
            <w:pPr>
              <w:pStyle w:val="Normal_30ba20cc-16fb-4240-9584-a8cdece24ed4"/>
              <w:keepNext w:val="0"/>
              <w:keepLines w:val="0"/>
              <w:widowControl/>
              <w:suppressLineNumbers w:val="0"/>
              <w:jc w:val="left"/>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             </w:t>
            </w:r>
          </w:p>
        </w:tc>
        <w:tc>
          <w:tcPr>
            <w:tcW w:type="auto" w:w="0"/>
            <w:tcBorders>
              <w:top w:val="nil"/>
              <w:left w:val="nil"/>
              <w:bottom w:val="single" w:sz="4" w:space="0" w:color="000000"/>
              <w:right w:val="nil"/>
            </w:tcBorders>
            <w:shd w:val="clear" w:color="auto" w:fill="auto"/>
            <w:vAlign w:val="bottom"/>
          </w:tcPr>
          <w:p>
            <w:pPr>
              <w:pStyle w:val="Normal_30ba20cc-16fb-4240-9584-a8cdece24ed4"/>
              <w:rPr>
                <w:rFonts w:ascii="宋体" w:eastAsia="宋体" w:hAnsi="宋体" w:cs="宋体" w:hint="eastAsia"/>
                <w:i w:val="0"/>
                <w:iCs w:val="0"/>
                <w:color w:val="000000"/>
                <w:sz w:val="18"/>
                <w:szCs w:val="18"/>
                <w:u w:val="none"/>
              </w:rPr>
            </w:pPr>
          </w:p>
        </w:tc>
        <w:tc>
          <w:tcPr>
            <w:tcW w:type="auto" w:w="0"/>
            <w:tcBorders>
              <w:top w:val="nil"/>
              <w:left w:val="nil"/>
              <w:bottom w:val="single" w:sz="4" w:space="0" w:color="000000"/>
              <w:right w:val="nil"/>
            </w:tcBorders>
            <w:shd w:val="clear" w:color="auto" w:fill="auto"/>
            <w:vAlign w:val="bottom"/>
          </w:tcPr>
          <w:p>
            <w:pPr>
              <w:pStyle w:val="Normal_30ba20cc-16fb-4240-9584-a8cdece24ed4"/>
              <w:rPr>
                <w:rFonts w:ascii="宋体" w:eastAsia="宋体" w:hAnsi="宋体" w:cs="宋体" w:hint="eastAsia"/>
                <w:i w:val="0"/>
                <w:iCs w:val="0"/>
                <w:color w:val="000000"/>
                <w:sz w:val="18"/>
                <w:szCs w:val="18"/>
                <w:u w:val="none"/>
              </w:rPr>
            </w:pPr>
          </w:p>
        </w:tc>
        <w:tc>
          <w:tcPr>
            <w:tcW w:type="auto" w:w="0"/>
            <w:tcBorders>
              <w:top w:val="nil"/>
              <w:left w:val="nil"/>
              <w:bottom w:val="single" w:sz="4" w:space="0" w:color="000000"/>
              <w:right w:val="nil"/>
            </w:tcBorders>
            <w:shd w:val="clear" w:color="auto" w:fill="auto"/>
            <w:vAlign w:val="bottom"/>
          </w:tcPr>
          <w:p>
            <w:pPr>
              <w:pStyle w:val="Normal_30ba20cc-16fb-4240-9584-a8cdece24ed4"/>
              <w:rPr>
                <w:rFonts w:ascii="宋体" w:eastAsia="宋体" w:hAnsi="宋体" w:cs="宋体" w:hint="eastAsia"/>
                <w:i w:val="0"/>
                <w:iCs w:val="0"/>
                <w:color w:val="000000"/>
                <w:sz w:val="18"/>
                <w:szCs w:val="18"/>
                <w:u w:val="none"/>
              </w:rPr>
            </w:pPr>
          </w:p>
        </w:tc>
        <w:tc>
          <w:tcPr>
            <w:tcW w:type="auto" w:w="0"/>
            <w:tcBorders>
              <w:top w:val="nil"/>
              <w:left w:val="nil"/>
              <w:bottom w:val="single" w:sz="4" w:space="0" w:color="000000"/>
              <w:right w:val="nil"/>
            </w:tcBorders>
            <w:shd w:val="clear" w:color="auto" w:fill="auto"/>
            <w:vAlign w:val="bottom"/>
          </w:tcPr>
          <w:p>
            <w:pPr>
              <w:pStyle w:val="Normal_30ba20cc-16fb-4240-9584-a8cdece24ed4"/>
              <w:rPr>
                <w:rFonts w:ascii="宋体" w:eastAsia="宋体" w:hAnsi="宋体" w:cs="宋体" w:hint="eastAsia"/>
                <w:i w:val="0"/>
                <w:iCs w:val="0"/>
                <w:color w:val="000000"/>
                <w:sz w:val="18"/>
                <w:szCs w:val="18"/>
                <w:u w:val="none"/>
              </w:rPr>
            </w:pPr>
          </w:p>
        </w:tc>
        <w:tc>
          <w:tcPr>
            <w:tcW w:type="auto" w:w="0"/>
            <w:tcBorders>
              <w:top w:val="nil"/>
              <w:left w:val="nil"/>
              <w:bottom w:val="single" w:sz="4" w:space="0" w:color="000000"/>
              <w:right w:val="nil"/>
            </w:tcBorders>
            <w:shd w:val="clear" w:color="auto" w:fill="auto"/>
            <w:vAlign w:val="bottom"/>
          </w:tcPr>
          <w:p>
            <w:pPr>
              <w:pStyle w:val="Normal_30ba20cc-16fb-4240-9584-a8cdece24ed4"/>
              <w:rPr>
                <w:rFonts w:ascii="宋体" w:eastAsia="宋体" w:hAnsi="宋体" w:cs="宋体" w:hint="eastAsia"/>
                <w:i w:val="0"/>
                <w:iCs w:val="0"/>
                <w:color w:val="000000"/>
                <w:sz w:val="18"/>
                <w:szCs w:val="18"/>
                <w:u w:val="none"/>
              </w:rPr>
            </w:pPr>
          </w:p>
        </w:tc>
        <w:tc>
          <w:tcPr>
            <w:tcW w:type="auto" w:w="0"/>
            <w:gridSpan w:val="2"/>
            <w:tcBorders>
              <w:top w:val="nil"/>
              <w:left w:val="nil"/>
              <w:bottom w:val="single" w:sz="4" w:space="0" w:color="000000"/>
              <w:right w:val="nil"/>
            </w:tcBorders>
            <w:shd w:val="clear" w:color="auto" w:fill="auto"/>
            <w:vAlign w:val="bottom"/>
          </w:tcPr>
          <w:p>
            <w:pPr>
              <w:pStyle w:val="Normal_30ba20cc-16fb-4240-9584-a8cdece24ed4"/>
              <w:jc w:val="right"/>
              <w:rPr>
                <w:rFonts w:ascii="宋体" w:eastAsia="宋体" w:hAnsi="宋体" w:cs="宋体" w:hint="eastAsia"/>
                <w:i w:val="0"/>
                <w:iCs w:val="0"/>
                <w:color w:val="000000"/>
                <w:sz w:val="18"/>
                <w:szCs w:val="18"/>
                <w:u w:val="none"/>
              </w:rPr>
            </w:pPr>
          </w:p>
        </w:tc>
        <w:tc>
          <w:tcPr>
            <w:tcW w:type="auto" w:w="0"/>
            <w:gridSpan w:val="2"/>
            <w:tcBorders>
              <w:top w:val="nil"/>
              <w:left w:val="nil"/>
              <w:bottom w:val="single" w:sz="4" w:space="0" w:color="000000"/>
              <w:right w:val="nil"/>
            </w:tcBorders>
            <w:shd w:val="clear" w:color="auto" w:fill="auto"/>
            <w:vAlign w:val="bottom"/>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60"/>
        </w:trPr>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部门（单位）名称</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  许昌市公路养护中心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6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预算</w:t>
            </w:r>
            <w:r>
              <w:rPr/>
              <w:br/>
            </w:r>
            <w:r>
              <w:rPr>
                <w:rFonts w:ascii="宋体" w:eastAsia="宋体" w:hAnsi="宋体" w:cs="宋体" w:hint="eastAsia"/>
                <w:i w:val="0"/>
                <w:iCs w:val="0"/>
                <w:color w:val="000000"/>
                <w:kern w:val="0"/>
                <w:sz w:val="18"/>
                <w:szCs w:val="18"/>
                <w:u w:val="none"/>
                <w:bdr w:val="none" w:sz="0" w:space="0" w:color="auto"/>
                <w:lang w:val="en-US" w:eastAsia="zh-CN"/>
              </w:rPr>
              <w:t xml:space="preserve">执行</w:t>
            </w:r>
            <w:r>
              <w:rPr/>
              <w:br/>
            </w:r>
            <w:r>
              <w:rPr>
                <w:rFonts w:ascii="宋体" w:eastAsia="宋体" w:hAnsi="宋体" w:cs="宋体" w:hint="eastAsia"/>
                <w:i w:val="0"/>
                <w:iCs w:val="0"/>
                <w:color w:val="000000"/>
                <w:kern w:val="0"/>
                <w:sz w:val="18"/>
                <w:szCs w:val="18"/>
                <w:u w:val="none"/>
                <w:bdr w:val="none" w:sz="0" w:space="0" w:color="auto"/>
                <w:lang w:val="en-US" w:eastAsia="zh-CN"/>
              </w:rPr>
              <w:t xml:space="preserve">情况</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年初数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全年数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预算执行率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6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部门预算总额</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674.58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1647.98</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1647.98</w:t>
            </w:r>
          </w:p>
        </w:tc>
        <w:tc>
          <w:tcPr>
            <w:tcW w:type="auto" w:w="0"/>
            <w:vMerge w:val="restart"/>
            <w:tcBorders>
              <w:top w:val="single" w:sz="4" w:space="0" w:color="000000"/>
              <w:left w:val="single" w:sz="4" w:space="0" w:color="000000"/>
              <w:bottom w:val="nil"/>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 </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6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资金  来源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政府预算资金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674.58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1647.98</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1647.98</w:t>
            </w:r>
          </w:p>
        </w:tc>
        <w:tc>
          <w:tcPr>
            <w:vMerge/>
            <w:tcBorders>
              <w:top w:val="single" w:sz="4" w:space="0" w:color="000000"/>
              <w:left w:val="single" w:sz="4" w:space="0" w:color="000000"/>
              <w:bottom w:val="nil"/>
              <w:right w:val="single" w:sz="4" w:space="0" w:color="000000"/>
            </w:tcBorders>
            <w:shd w:val="clear" w:color="auto" w:fill="auto"/>
            <w:noWrap w:val="1"/>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6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0</w:t>
            </w:r>
          </w:p>
        </w:tc>
        <w:tc>
          <w:tcPr>
            <w:vMerge/>
            <w:tcBorders>
              <w:top w:val="single" w:sz="4" w:space="0" w:color="000000"/>
              <w:left w:val="single" w:sz="4" w:space="0" w:color="000000"/>
              <w:bottom w:val="nil"/>
              <w:right w:val="single" w:sz="4" w:space="0" w:color="000000"/>
            </w:tcBorders>
            <w:shd w:val="clear" w:color="auto" w:fill="auto"/>
            <w:noWrap w:val="1"/>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0%</w:t>
            </w: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6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0</w:t>
            </w:r>
          </w:p>
        </w:tc>
        <w:tc>
          <w:tcPr>
            <w:vMerge/>
            <w:tcBorders>
              <w:top w:val="single" w:sz="4" w:space="0" w:color="000000"/>
              <w:left w:val="single" w:sz="4" w:space="0" w:color="000000"/>
              <w:bottom w:val="nil"/>
              <w:right w:val="single" w:sz="4" w:space="0" w:color="000000"/>
            </w:tcBorders>
            <w:shd w:val="clear" w:color="auto" w:fill="auto"/>
            <w:noWrap w:val="1"/>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0%</w:t>
            </w: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60"/>
        </w:trPr>
        <w:tc>
          <w:tcPr>
            <w:tcW w:type="auto" w:w="0"/>
            <w:gridSpan w:val="2"/>
            <w:vMerge w:val="restart"/>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年度</w:t>
            </w:r>
            <w:r>
              <w:rPr/>
              <w:br/>
            </w:r>
            <w:r>
              <w:rPr>
                <w:rFonts w:ascii="宋体" w:eastAsia="宋体" w:hAnsi="宋体" w:cs="宋体" w:hint="eastAsia"/>
                <w:i w:val="0"/>
                <w:iCs w:val="0"/>
                <w:color w:val="000000"/>
                <w:kern w:val="0"/>
                <w:sz w:val="18"/>
                <w:szCs w:val="18"/>
                <w:u w:val="none"/>
                <w:bdr w:val="none" w:sz="0" w:space="0" w:color="auto"/>
                <w:lang w:val="en-US" w:eastAsia="zh-CN"/>
              </w:rPr>
              <w:t xml:space="preserve">履职</w:t>
            </w:r>
            <w:r>
              <w:rPr/>
              <w:br/>
            </w:r>
            <w:r>
              <w:rPr>
                <w:rFonts w:ascii="宋体" w:eastAsia="宋体" w:hAnsi="宋体" w:cs="宋体" w:hint="eastAsia"/>
                <w:i w:val="0"/>
                <w:iCs w:val="0"/>
                <w:color w:val="000000"/>
                <w:kern w:val="0"/>
                <w:sz w:val="18"/>
                <w:szCs w:val="18"/>
                <w:u w:val="none"/>
                <w:bdr w:val="none" w:sz="0" w:space="0" w:color="auto"/>
                <w:lang w:val="en-US" w:eastAsia="zh-CN"/>
              </w:rPr>
              <w:t xml:space="preserve">目标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预期目标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60"/>
        </w:trPr>
        <w:tc>
          <w:tcPr>
            <w:gridSpan w:val="2"/>
            <w:vMerge/>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目标   名称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主要内容 </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目标完成情况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20"/>
        </w:trPr>
        <w:tc>
          <w:tcPr>
            <w:gridSpan w:val="2"/>
            <w:vMerge/>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目标1：</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1.提升养护质量，保障干线公路安全畅通。</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完成了干线公路养护质量，保障了公路的安全畅通。</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60"/>
        </w:trPr>
        <w:tc>
          <w:tcPr>
            <w:gridSpan w:val="2"/>
            <w:vMerge/>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目标2：</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2、落实防污工作制度，确保道路无扬尘。</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完成了大气污染防治治理工作，确保道路无扬尘。</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60"/>
        </w:trPr>
        <w:tc>
          <w:tcPr>
            <w:gridSpan w:val="2"/>
            <w:vMerge/>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目标3：</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3、加强道路保护能力，打造良好路域环境。</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完成了道路保护能力，打造良好路域环境。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60"/>
        </w:trPr>
        <w:tc>
          <w:tcPr>
            <w:gridSpan w:val="2"/>
            <w:vMerge/>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目标4：</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4、强化安全监管，确保养护生产零事故。</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完成了道路安全监管，有效维护路产路权，确保养护生产零事故。</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60"/>
        </w:trPr>
        <w:tc>
          <w:tcPr>
            <w:gridSpan w:val="2"/>
            <w:vMerge/>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目标5：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5、实施精细化管理，创建绿色平安公路。</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完成了干线公路的日常养护工作，桥梁养护维护，创建绿色平安公路。</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60"/>
        </w:trPr>
        <w:tc>
          <w:tcPr>
            <w:tcW w:type="auto" w:w="0"/>
            <w:gridSpan w:val="2"/>
            <w:vMerge w:val="restart"/>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年度</w:t>
            </w:r>
            <w:r>
              <w:rPr/>
              <w:br/>
            </w:r>
            <w:r>
              <w:rPr>
                <w:rFonts w:ascii="宋体" w:eastAsia="宋体" w:hAnsi="宋体" w:cs="宋体" w:hint="eastAsia"/>
                <w:i w:val="0"/>
                <w:iCs w:val="0"/>
                <w:color w:val="000000"/>
                <w:kern w:val="0"/>
                <w:sz w:val="18"/>
                <w:szCs w:val="18"/>
                <w:u w:val="none"/>
                <w:bdr w:val="none" w:sz="0" w:space="0" w:color="auto"/>
                <w:lang w:val="en-US" w:eastAsia="zh-CN"/>
              </w:rPr>
              <w:t xml:space="preserve">主要</w:t>
            </w:r>
            <w:r>
              <w:rPr/>
              <w:br/>
            </w:r>
            <w:r>
              <w:rPr>
                <w:rFonts w:ascii="宋体" w:eastAsia="宋体" w:hAnsi="宋体" w:cs="宋体" w:hint="eastAsia"/>
                <w:i w:val="0"/>
                <w:iCs w:val="0"/>
                <w:color w:val="000000"/>
                <w:kern w:val="0"/>
                <w:sz w:val="18"/>
                <w:szCs w:val="18"/>
                <w:u w:val="none"/>
                <w:bdr w:val="none" w:sz="0" w:space="0" w:color="auto"/>
                <w:lang w:val="en-US" w:eastAsia="zh-CN"/>
              </w:rPr>
              <w:t xml:space="preserve">任务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任务  名称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主要内容 </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任务完成情况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00"/>
        </w:trPr>
        <w:tc>
          <w:tcPr>
            <w:gridSpan w:val="2"/>
            <w:vMerge/>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目标1：</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1.提升养护质量，保障干线公路安全畅通。</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管养道路的日常养护、预防性养护。</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60"/>
        </w:trPr>
        <w:tc>
          <w:tcPr>
            <w:gridSpan w:val="2"/>
            <w:vMerge/>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目标2：</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2、管养桥梁养护。</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管养道路内桥梁养护、维护。</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00"/>
        </w:trPr>
        <w:tc>
          <w:tcPr>
            <w:gridSpan w:val="2"/>
            <w:vMerge/>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目标3：</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3、大气污染防治工作。</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管养道路大气污染防治治理，主要包括洒水、清扫、维护等。</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00"/>
        </w:trPr>
        <w:tc>
          <w:tcPr>
            <w:gridSpan w:val="2"/>
            <w:vMerge/>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目标4：</w:t>
            </w:r>
          </w:p>
        </w:tc>
        <w:tc>
          <w:tcPr>
            <w:tcW w:type="auto" w:w="0"/>
            <w:tcBorders>
              <w:top w:val="single" w:sz="4" w:space="0" w:color="000000"/>
              <w:left w:val="single" w:sz="4" w:space="0" w:color="000000"/>
              <w:bottom w:val="single" w:sz="4" w:space="0" w:color="000000"/>
              <w:right w:val="nil"/>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4、路政巡查</w:t>
            </w:r>
            <w:r>
              <w:rPr>
                <w:rFonts w:ascii="宋体" w:eastAsia="宋体" w:hAnsi="宋体" w:cs="宋体" w:hint="eastAsia"/>
                <w:i w:val="0"/>
                <w:iCs w:val="0"/>
                <w:color w:val="000000"/>
                <w:kern w:val="0"/>
                <w:sz w:val="18"/>
                <w:szCs w:val="18"/>
                <w:u w:val="none"/>
                <w:bdr w:val="none" w:sz="0" w:space="0" w:color="auto"/>
                <w:lang w:val="en-US" w:eastAsia="zh-CN"/>
              </w:rPr>
              <w:t xml:space="preserve">及管理。</w:t>
            </w:r>
          </w:p>
        </w:tc>
        <w:tc>
          <w:tcPr>
            <w:tcW w:type="auto" w:w="0"/>
            <w:tcBorders>
              <w:top w:val="single" w:sz="4" w:space="0" w:color="000000"/>
              <w:left w:val="nil"/>
              <w:bottom w:val="single" w:sz="4" w:space="0" w:color="000000"/>
              <w:right w:val="nil"/>
            </w:tcBorders>
            <w:shd w:val="clear" w:color="auto" w:fill="auto"/>
            <w:vAlign w:val="center"/>
          </w:tcPr>
          <w:p>
            <w:pPr>
              <w:pStyle w:val="Normal_30ba20cc-16fb-4240-9584-a8cdece24ed4"/>
              <w:jc w:val="left"/>
              <w:rPr>
                <w:rFonts w:ascii="宋体" w:eastAsia="宋体" w:hAnsi="宋体" w:cs="宋体" w:hint="eastAsia"/>
                <w:i w:val="0"/>
                <w:iCs w:val="0"/>
                <w:color w:val="000000"/>
                <w:sz w:val="18"/>
                <w:szCs w:val="18"/>
                <w:u w:val="none"/>
              </w:rPr>
            </w:pPr>
          </w:p>
        </w:tc>
        <w:tc>
          <w:tcPr>
            <w:tcW w:type="auto" w:w="0"/>
            <w:tcBorders>
              <w:top w:val="single" w:sz="4" w:space="0" w:color="000000"/>
              <w:left w:val="nil"/>
              <w:bottom w:val="single" w:sz="4" w:space="0" w:color="000000"/>
              <w:right w:val="single" w:sz="4" w:space="0" w:color="000000"/>
            </w:tcBorders>
            <w:shd w:val="clear" w:color="auto" w:fill="auto"/>
            <w:vAlign w:val="center"/>
          </w:tcPr>
          <w:p>
            <w:pPr>
              <w:pStyle w:val="Normal_30ba20cc-16fb-4240-9584-a8cdece24ed4"/>
              <w:jc w:val="left"/>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辖区道路环境治理，有效维护路产路权。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00"/>
        </w:trPr>
        <w:tc>
          <w:tcPr>
            <w:gridSpan w:val="2"/>
            <w:vMerge/>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目标5：</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5、养护中心日常工作。</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养护中心日常创建、安全及机关正常运转等管理工作。</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tcBorders>
              <w:top w:val="nil"/>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一级指标</w:t>
            </w:r>
          </w:p>
        </w:tc>
        <w:tc>
          <w:tcPr>
            <w:tcW w:type="auto" w:w="0"/>
            <w:tcBorders>
              <w:top w:val="nil"/>
              <w:left w:val="single" w:sz="4" w:space="0" w:color="000000"/>
              <w:bottom w:val="nil"/>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二级指标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年度指标值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指标值说明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得分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投入管理指标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30分</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相关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达成预期</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达成预期</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7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达成预期</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2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完整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1.部门所有收入是否全部纳入部门预算；2.部门支出预算是否统筹各类资金来源，全部纳入部门预算管理。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达成预期</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2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专项资金细化率=（已细化到具体市县和承担单位的资金数/部门参与分配资金总数）×100%。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7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预算调整率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预算执行率=（预算完成数/预算数）×100%。预算完成数指部门实际执行的预算数；预算数指财政部门批复的本年度部门的（调整）预算数。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7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结转结余率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结转结余率=结转结余总额/预算数*100%。结转结余总额是指部门本年度的结转结余资金之和。预算数是指财政部门批复的本年度部门的（调整）预算数。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“三公经费”控制率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“三公经费”控制率=本年度“三公经费”实际支出数/“三公经费”预算数*100%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达成预期</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80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政府采购执行率=（实际政府采购金额/政府采购预算数）×100%。政府采购预算：采购机关根据事业发展计划和行政任务编制的、并经过规定程序批准的年度政府采购计划。</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2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决算真实性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真实</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反映本部门决算工作情况。决算编制数据是否账表一致，即决算报表数据与会计账簿数据是否一致。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达成预期</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达成预期</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健全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部分达成预期</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0.5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偏差原因：财务管理制度不完善，相关制度执行不到位。改进措施：完善相关制度，加强人员管理，业务提升，严格各项制度的落实。</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7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公开</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达成预期</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达成预期</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7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绩效管理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部门（单位）按要求实施绩效自评的项目数量占应实施绩效自评项目总数的比重。部门绩效自评完成率=已完成评价项目数量/部门项目总数*100%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达成预期</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100%</w:t>
            </w:r>
          </w:p>
        </w:tc>
        <w:tc>
          <w:tcPr>
            <w:tcW w:type="auto" w:w="0"/>
            <w:tcBorders>
              <w:top w:val="nil"/>
              <w:left w:val="single" w:sz="4" w:space="0" w:color="000000"/>
              <w:bottom w:val="single" w:sz="4" w:space="0" w:color="000000"/>
              <w:right w:val="single" w:sz="4" w:space="0" w:color="000000"/>
            </w:tcBorders>
            <w:shd w:val="clear" w:color="auto" w:fill="auto"/>
            <w:vAlign w:val="center"/>
          </w:tcPr>
          <w:p>
            <w:pPr>
              <w:pStyle w:val="Normal_30ba20cc-16fb-4240-9584-a8cdece24ed4"/>
              <w:rPr>
                <w:rFonts w:ascii="宋体" w:eastAsia="宋体" w:hAnsi="宋体" w:cs="宋体" w:hint="eastAsia"/>
                <w:i w:val="0"/>
                <w:iCs w:val="0"/>
                <w:color w:val="000000"/>
                <w:sz w:val="12"/>
                <w:szCs w:val="12"/>
                <w:u w:val="none"/>
              </w:rPr>
            </w:pPr>
          </w:p>
        </w:tc>
        <w:tc>
          <w:tcPr>
            <w:tcW w:type="auto" w:w="0"/>
            <w:tcBorders>
              <w:top w:val="nil"/>
              <w:left w:val="single" w:sz="4" w:space="0" w:color="000000"/>
              <w:bottom w:val="single" w:sz="4" w:space="0" w:color="000000"/>
              <w:right w:val="single" w:sz="4" w:space="0" w:color="000000"/>
            </w:tcBorders>
            <w:shd w:val="clear" w:color="auto" w:fill="auto"/>
            <w:vAlign w:val="center"/>
          </w:tcPr>
          <w:p>
            <w:pPr>
              <w:pStyle w:val="Normal_30ba20cc-16fb-4240-9584-a8cdece24ed4"/>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3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部门绩效评价完成率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部门重点绩效评价项目评价完成情况。部门绩效评价完成率=已完成评价项目数量/部门重点绩效评价项目数*100%</w:t>
            </w:r>
          </w:p>
        </w:tc>
        <w:tc>
          <w:tcPr>
            <w:tcW w:type="auto" w:w="0"/>
            <w:tcBorders>
              <w:top w:val="nil"/>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62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绩效监控、单位自评、部门绩效评价、财政重点绩效评价结果应用情况。评价结果应用率=评价提出的意见建议采纳数/提出的意见建议总数*100%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0"/>
        </w:trPr>
        <w:tc>
          <w:tcPr>
            <w:tcW w:type="auto" w:w="0"/>
            <w:vMerge w:val="restart"/>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产出指标</w:t>
            </w:r>
          </w:p>
        </w:tc>
        <w:tc>
          <w:tcPr>
            <w:tcW w:type="auto" w:w="0"/>
            <w:vMerge w:val="restart"/>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25</w:t>
            </w:r>
          </w:p>
        </w:tc>
        <w:tc>
          <w:tcPr>
            <w:tcW w:type="auto" w:w="0"/>
            <w:vMerge w:val="restart"/>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管养道路养护完成率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确保管养道路的日常养护、预防性养护。</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98%</w:t>
            </w:r>
          </w:p>
        </w:tc>
        <w:tc>
          <w:tcPr>
            <w:tcW w:type="auto" w:w="0"/>
            <w:tcBorders>
              <w:top w:val="nil"/>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3</w:t>
            </w:r>
          </w:p>
        </w:tc>
        <w:tc>
          <w:tcPr>
            <w:tcW w:type="auto" w:w="0"/>
            <w:tcBorders>
              <w:top w:val="nil"/>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0"/>
        </w:trPr>
        <w:tc>
          <w:tcPr>
            <w:vMerge/>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管养道路桥梁维护率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确保管养道路内桥梁养护、维护</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98%</w:t>
            </w:r>
          </w:p>
        </w:tc>
        <w:tc>
          <w:tcPr>
            <w:tcW w:type="auto" w:w="0"/>
            <w:tcBorders>
              <w:top w:val="nil"/>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3</w:t>
            </w:r>
          </w:p>
        </w:tc>
        <w:tc>
          <w:tcPr>
            <w:tcW w:type="auto" w:w="0"/>
            <w:tcBorders>
              <w:top w:val="nil"/>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0"/>
        </w:trPr>
        <w:tc>
          <w:tcPr>
            <w:vMerge/>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大气污染达标完成率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提升大气污染防治治理工作，确保道路无扬尘。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98%</w:t>
            </w:r>
          </w:p>
        </w:tc>
        <w:tc>
          <w:tcPr>
            <w:tcW w:type="auto" w:w="0"/>
            <w:tcBorders>
              <w:top w:val="nil"/>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3</w:t>
            </w:r>
          </w:p>
        </w:tc>
        <w:tc>
          <w:tcPr>
            <w:tcW w:type="auto" w:w="0"/>
            <w:tcBorders>
              <w:top w:val="nil"/>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0"/>
        </w:trPr>
        <w:tc>
          <w:tcPr>
            <w:vMerge/>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路政巡查完成率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确保辖区道路环境治理，有效维护路产路权。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98%</w:t>
            </w:r>
          </w:p>
        </w:tc>
        <w:tc>
          <w:tcPr>
            <w:tcW w:type="auto" w:w="0"/>
            <w:tcBorders>
              <w:top w:val="nil"/>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nil"/>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0"/>
        </w:trPr>
        <w:tc>
          <w:tcPr>
            <w:vMerge/>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管养道路实现率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确保管养道路的日常养护、预防性养护。</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98%</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0"/>
        </w:trPr>
        <w:tc>
          <w:tcPr>
            <w:vMerge/>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管养道路桥梁实现率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确保管养道路内桥梁养护、维护。</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98%</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0"/>
        </w:trPr>
        <w:tc>
          <w:tcPr>
            <w:vMerge/>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大气污染防治实现率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提升大气污染防治治理工作，确保道路无扬尘。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98%</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0"/>
        </w:trPr>
        <w:tc>
          <w:tcPr>
            <w:vMerge/>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路政巡查实现率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确保辖区道路环境治理，有效维护路产路权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98%</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0"/>
        </w:trPr>
        <w:tc>
          <w:tcPr>
            <w:vMerge/>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nil"/>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公路养护、监管实现率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rPr>
              <w:t xml:space="preserve">100%</w:t>
            </w:r>
          </w:p>
        </w:tc>
        <w:tc>
          <w:tcPr>
            <w:tcW w:type="auto" w:w="0"/>
            <w:tcBorders>
              <w:top w:val="single" w:sz="4" w:space="0" w:color="000000"/>
              <w:left w:val="single" w:sz="4" w:space="0" w:color="000000"/>
              <w:bottom w:val="nil"/>
              <w:right w:val="nil"/>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提升道路养护工作，打造良好路域环境。</w:t>
            </w:r>
          </w:p>
        </w:tc>
        <w:tc>
          <w:tcPr>
            <w:tcW w:type="auto" w:w="0"/>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98%</w:t>
            </w:r>
          </w:p>
        </w:tc>
        <w:tc>
          <w:tcPr>
            <w:tcW w:type="auto" w:w="0"/>
            <w:tcBorders>
              <w:top w:val="single" w:sz="4" w:space="0" w:color="000000"/>
              <w:left w:val="single" w:sz="4" w:space="0" w:color="000000"/>
              <w:bottom w:val="nil"/>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nil"/>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nil"/>
              <w:right w:val="single" w:sz="4" w:space="0" w:color="000000"/>
            </w:tcBorders>
            <w:shd w:val="clear" w:color="auto" w:fill="auto"/>
            <w:noWrap w:val="1"/>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20"/>
        </w:trPr>
        <w:tc>
          <w:tcPr>
            <w:tcW w:type="auto" w:w="0"/>
            <w:vMerge w:val="restart"/>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效益指标</w:t>
            </w:r>
          </w:p>
        </w:tc>
        <w:tc>
          <w:tcPr>
            <w:tcW w:type="auto" w:w="0"/>
            <w:vMerge w:val="restart"/>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35</w:t>
            </w:r>
          </w:p>
        </w:tc>
        <w:tc>
          <w:tcPr>
            <w:tcW w:type="auto" w:w="0"/>
            <w:vMerge w:val="restart"/>
            <w:tcBorders>
              <w:top w:val="single" w:sz="4" w:space="0" w:color="000000"/>
              <w:left w:val="single" w:sz="4" w:space="0" w:color="000000"/>
              <w:bottom w:val="nil"/>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履职效益</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管养道路公路基础设施技术状况水平</w:t>
            </w:r>
          </w:p>
        </w:tc>
        <w:tc>
          <w:tcPr>
            <w:tcW w:type="auto" w:w="0"/>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保持良好</w:t>
            </w:r>
          </w:p>
        </w:tc>
        <w:tc>
          <w:tcPr>
            <w:tcW w:type="auto" w:w="0"/>
            <w:tcBorders>
              <w:top w:val="single" w:sz="4" w:space="0" w:color="000000"/>
              <w:left w:val="single" w:sz="4" w:space="0" w:color="000000"/>
              <w:bottom w:val="nil"/>
              <w:right w:val="nil"/>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强化辖区道路环境治理，有效维护路产路权。</w:t>
            </w:r>
          </w:p>
        </w:tc>
        <w:tc>
          <w:tcPr>
            <w:tcW w:type="auto" w:w="0"/>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98%</w:t>
            </w:r>
          </w:p>
        </w:tc>
        <w:tc>
          <w:tcPr>
            <w:tcW w:type="auto" w:w="0"/>
            <w:tcBorders>
              <w:top w:val="single" w:sz="4" w:space="0" w:color="000000"/>
              <w:left w:val="single" w:sz="4" w:space="0" w:color="000000"/>
              <w:bottom w:val="nil"/>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15</w:t>
            </w:r>
          </w:p>
        </w:tc>
        <w:tc>
          <w:tcPr>
            <w:tcW w:type="auto" w:w="0"/>
            <w:tcBorders>
              <w:top w:val="single" w:sz="4" w:space="0" w:color="000000"/>
              <w:left w:val="single" w:sz="4" w:space="0" w:color="000000"/>
              <w:bottom w:val="nil"/>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15</w:t>
            </w:r>
          </w:p>
        </w:tc>
        <w:tc>
          <w:tcPr>
            <w:tcW w:type="auto" w:w="0"/>
            <w:tcBorders>
              <w:top w:val="single" w:sz="4" w:space="0" w:color="000000"/>
              <w:left w:val="single" w:sz="4" w:space="0" w:color="000000"/>
              <w:bottom w:val="nil"/>
              <w:right w:val="single" w:sz="4" w:space="0" w:color="000000"/>
            </w:tcBorders>
            <w:shd w:val="clear" w:color="auto" w:fill="auto"/>
            <w:noWrap w:val="1"/>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600"/>
        </w:trPr>
        <w:tc>
          <w:tcPr>
            <w:vMerge/>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noWrap w:val="1"/>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做好辖区管养道路扬尘治理,不断改善路域环境。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改善</w:t>
            </w:r>
          </w:p>
        </w:tc>
        <w:tc>
          <w:tcPr>
            <w:tcW w:type="auto" w:w="0"/>
            <w:tcBorders>
              <w:top w:val="single" w:sz="4" w:space="0" w:color="000000"/>
              <w:left w:val="single" w:sz="4" w:space="0" w:color="000000"/>
              <w:bottom w:val="single" w:sz="4" w:space="0" w:color="000000"/>
              <w:right w:val="nil"/>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以“抑尘、治脏”为重点，不断改善许昌市路域环境，改善城市道路环境，坚决打赢公路扬尘积尘污染治理攻坚战，为建设宜居宜业的美丽许昌作出贡献。</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98%</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5"/>
        </w:trPr>
        <w:tc>
          <w:tcPr>
            <w:vMerge/>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nil"/>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满意度</w:t>
            </w:r>
          </w:p>
        </w:tc>
        <w:tc>
          <w:tcPr>
            <w:tcW w:type="auto" w:w="0"/>
            <w:tcBorders>
              <w:top w:val="nil"/>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社会公众满意度</w:t>
            </w:r>
          </w:p>
        </w:tc>
        <w:tc>
          <w:tcPr>
            <w:tcW w:type="auto" w:w="0"/>
            <w:tcBorders>
              <w:top w:val="nil"/>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数据一般通过问卷调查的方式获得，用百分比衡量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96%</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0"/>
        </w:trPr>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总分（100分）</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99.5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295"/>
        </w:trPr>
        <w:tc>
          <w:tcPr>
            <w:tcW w:type="auto" w:w="0"/>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Normal_30ba20cc-16fb-4240-9584-a8cdece24ed4"/>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注：1.自评采取打分评价的形式，满分为100分，各部门（单位）可根据指标的重要程度自主确定各项三级指标的权重分值，各项指标得分加总得出该项目绩效自评的总分。原则上一级指标分值统一设置为：投入管理指标30分、产出指标25分、效益指标35分、预算执行率10分。2.偏差原因分析及改进措施：说明偏离目标、不能完成目标的原因及改进措施。3.定性指标分为好、较好、一般、较差四档，在相应档次分别按照100％-90％(含)、90％-80％、80％-60％(含)、60％-0％合理确定分值。定量指标完成指标值的，记该指标所赋全部分值；未完成的，按照完成值与指标值的比例计分。</w:t>
            </w:r>
          </w:p>
        </w:tc>
      </w:tr>
    </w:tbl>
    <w:p>
      <w:pPr>
        <w:pStyle w:val="Normal_30ba20cc-16fb-4240-9584-a8cdece24ed4"/>
        <w:sectPr>
          <w:pgSz w:w="11906" w:h="16838" w:orient="portrait"/>
          <w:pgMar w:top="1440" w:right="1800" w:bottom="1440" w:left="1800" w:header="851" w:footer="992" w:gutter="0"/>
          <w:cols w:num="1" w:space="425">
            <w:col w:w="8306" w:space="425"/>
          </w:cols>
          <w:docGrid w:type="lines" w:linePitch="312" w:charSpace="0"/>
        </w:sectPr>
      </w:pPr>
    </w:p>
    <w:tbl>
      <w:tblPr>
        <w:tblStyle w:val="NormalTable_8eae3a81-184f-47a1-8532-4e36ce7f0c3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firstRow="0" w:lastRow="0" w:firstColumn="0" w:lastColumn="0" w:noHBand="1" w:noVBand="1"/>
      </w:tblPr>
      <w:tblGrid>
        <w:gridCol w:w="393"/>
        <w:gridCol w:w="689"/>
        <w:gridCol w:w="846"/>
        <w:gridCol w:w="861"/>
        <w:gridCol w:w="633"/>
        <w:gridCol w:w="897"/>
        <w:gridCol w:w="737"/>
        <w:gridCol w:w="315"/>
        <w:gridCol w:w="42"/>
        <w:gridCol w:w="494"/>
        <w:gridCol w:w="42"/>
        <w:gridCol w:w="607"/>
        <w:gridCol w:w="440"/>
        <w:gridCol w:w="663"/>
        <w:gridCol w:w="864"/>
        <w:gridCol w:w="42"/>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1"/>
          <w:wAfter w:w="24" w:type="pct"/>
          <w:trHeight w:val="651"/>
        </w:trPr>
        <w:tc>
          <w:tcPr>
            <w:tcW w:type="auto" w:w="0"/>
            <w:gridSpan w:val="15"/>
            <w:tcBorders>
              <w:top w:val="nil"/>
              <w:left w:val="nil"/>
              <w:bottom w:val="nil"/>
              <w:right w:val="nil"/>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1"/>
          <w:wAfter w:w="24" w:type="pct"/>
          <w:trHeight w:val="327"/>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13"/>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大气污染防治（特定专项工作经费）</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1"/>
          <w:wAfter w:w="24" w:type="pct"/>
          <w:trHeight w:val="327"/>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许昌市交通运输局</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许昌市公路养护中心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1"/>
          <w:wAfter w:w="24" w:type="pct"/>
          <w:trHeight w:val="327"/>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1"/>
          <w:wAfter w:w="24" w:type="pct"/>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eastAsia="zh-CN"/>
              </w:rPr>
            </w:pPr>
            <w:r>
              <w:rPr>
                <w:rFonts w:ascii="宋体" w:hAnsi="宋体" w:cs="宋体" w:hint="eastAsia"/>
                <w:i w:val="0"/>
                <w:iCs w:val="0"/>
                <w:color w:val="000000"/>
                <w:sz w:val="18"/>
                <w:szCs w:val="18"/>
                <w:u w:val="none"/>
                <w:lang w:val="en-US" w:eastAsia="zh-CN"/>
              </w:rPr>
              <w:t xml:space="preserve">593.7</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kern w:val="0"/>
                <w:sz w:val="18"/>
                <w:szCs w:val="18"/>
                <w:u w:val="none"/>
                <w:lang w:val="en-US" w:eastAsia="zh-CN"/>
              </w:rPr>
              <w:t xml:space="preserve">482.56</w:t>
            </w:r>
          </w:p>
        </w:tc>
        <w:tc>
          <w:tcPr>
            <w:tcW w:type="auto" w:w="0"/>
            <w:tcBorders>
              <w:top w:val="nil"/>
              <w:left w:val="nil"/>
              <w:bottom w:val="nil"/>
              <w:right w:val="nil"/>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eastAsia="zh-CN"/>
              </w:rPr>
            </w:pPr>
            <w:r>
              <w:rPr>
                <w:rFonts w:ascii="宋体" w:hAnsi="宋体" w:cs="宋体" w:hint="eastAsia"/>
                <w:i w:val="0"/>
                <w:iCs w:val="0"/>
                <w:color w:val="000000"/>
                <w:sz w:val="18"/>
                <w:szCs w:val="18"/>
                <w:u w:val="none"/>
                <w:lang w:val="en-US" w:eastAsia="zh-CN"/>
              </w:rPr>
              <w:t xml:space="preserve">81.28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kern w:val="0"/>
                <w:sz w:val="18"/>
                <w:szCs w:val="18"/>
                <w:u w:val="none"/>
                <w:lang w:val="en-US" w:eastAsia="zh-CN"/>
              </w:rPr>
              <w:t xml:space="preserve">8</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1"/>
          <w:wAfter w:w="24" w:type="pct"/>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kern w:val="0"/>
                <w:sz w:val="18"/>
                <w:szCs w:val="18"/>
                <w:u w:val="none"/>
                <w:lang w:val="en-US" w:eastAsia="zh-CN"/>
              </w:rPr>
              <w:t xml:space="preserve">593.7</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kern w:val="0"/>
                <w:sz w:val="18"/>
                <w:szCs w:val="18"/>
                <w:u w:val="none"/>
                <w:lang w:val="en-US" w:eastAsia="zh-CN"/>
              </w:rPr>
              <w:t xml:space="preserve">482.56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eastAsia="zh-CN"/>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1"/>
          <w:wAfter w:w="24" w:type="pct"/>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1"/>
          <w:wAfter w:w="24" w:type="pct"/>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充分考虑项目的需求和优先级，进行全面规划</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严格遵循相关法律法规，确保流程合法、规范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0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资金使用中，坚持规范、透明原则，杜绝浪费和滥用资金现象</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建立有效的预算管理机制，提高资金的使用效果和项目的实施效果</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1"/>
          <w:wAfter w:w="24" w:type="pct"/>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9"/>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1"/>
          <w:wAfter w:w="24" w:type="pct"/>
          <w:trHeight w:val="983"/>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1、按照许昌市污染防治攻坚领导小组部署，对管养环城公路31.236公里开展大气污染防治工作，主要包括清扫、洒水抑尘</w:t>
            </w:r>
            <w:r>
              <w:rPr/>
              <w:br/>
            </w:r>
            <w:r>
              <w:rPr>
                <w:rFonts w:ascii="宋体" w:eastAsia="宋体" w:hAnsi="宋体" w:cs="宋体"/>
                <w:i w:val="0"/>
                <w:iCs w:val="0"/>
                <w:color w:val="000000"/>
                <w:kern w:val="0"/>
                <w:sz w:val="18"/>
                <w:szCs w:val="18"/>
                <w:u w:val="none"/>
                <w:lang w:val="en-US" w:eastAsia="zh-CN"/>
              </w:rPr>
              <w:t xml:space="preserve">2、做好管养路域大气污染治理，协同其他部门达到许昌市整体大气污染防治目标，确保全市环境空气质量。</w:t>
            </w:r>
          </w:p>
        </w:tc>
        <w:tc>
          <w:tcPr>
            <w:tcW w:type="auto" w:w="0"/>
            <w:gridSpan w:val="9"/>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1、完成环城公路大气污染防治工作，路面清扫、路面洒水抑尘等。                                         2、完成了大气污染防治的工作目标，确保全市空气质量。</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1"/>
          <w:wAfter w:w="24" w:type="pct"/>
          <w:trHeight w:val="54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1"/>
          <w:wAfter w:w="24" w:type="pct"/>
          <w:trHeight w:val="102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nil"/>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环城路大气污染防治费用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eastAsia="zh-CN"/>
              </w:rPr>
            </w:pPr>
            <w:r>
              <w:rPr>
                <w:rFonts w:ascii="宋体" w:hAnsi="宋体" w:cs="宋体" w:hint="eastAsia"/>
                <w:i w:val="0"/>
                <w:iCs w:val="0"/>
                <w:color w:val="000000"/>
                <w:sz w:val="18"/>
                <w:szCs w:val="18"/>
                <w:u w:val="none"/>
                <w:lang w:val="en-US" w:eastAsia="zh-CN"/>
              </w:rPr>
              <w:t xml:space="preserve">593.7万元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kern w:val="0"/>
                <w:sz w:val="18"/>
                <w:szCs w:val="18"/>
                <w:u w:val="none"/>
                <w:lang w:val="en-US" w:eastAsia="zh-CN"/>
              </w:rPr>
              <w:t xml:space="preserve">482.56万元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eastAsia="zh-CN"/>
              </w:rPr>
            </w:pPr>
            <w:r>
              <w:rPr>
                <w:rFonts w:ascii="宋体" w:hAnsi="宋体" w:cs="宋体" w:hint="eastAsia"/>
                <w:i w:val="0"/>
                <w:iCs w:val="0"/>
                <w:color w:val="000000"/>
                <w:sz w:val="18"/>
                <w:szCs w:val="18"/>
                <w:u w:val="none"/>
                <w:lang w:val="en-US" w:eastAsia="zh-CN"/>
              </w:rPr>
              <w:t xml:space="preserve">18.71%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因支付手续不齐全，未拨付到位；手续完备后</w:t>
            </w:r>
            <w:r>
              <w:rPr>
                <w:rFonts w:ascii="宋体" w:hAnsi="宋体" w:cs="宋体" w:hint="eastAsia"/>
                <w:i w:val="0"/>
                <w:iCs w:val="0"/>
                <w:color w:val="000000"/>
                <w:kern w:val="0"/>
                <w:sz w:val="18"/>
                <w:szCs w:val="18"/>
                <w:u w:val="none"/>
                <w:lang w:val="en-US" w:eastAsia="zh-CN"/>
              </w:rPr>
              <w:t xml:space="preserve">及时</w:t>
            </w:r>
            <w:r>
              <w:rPr>
                <w:rFonts w:ascii="宋体" w:eastAsia="宋体" w:hAnsi="宋体" w:cs="宋体"/>
                <w:i w:val="0"/>
                <w:iCs w:val="0"/>
                <w:color w:val="000000"/>
                <w:kern w:val="0"/>
                <w:sz w:val="18"/>
                <w:szCs w:val="18"/>
                <w:u w:val="none"/>
                <w:lang w:val="en-US" w:eastAsia="zh-CN"/>
              </w:rPr>
              <w:t xml:space="preserve">支付</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1"/>
          <w:wAfter w:w="24" w:type="pct"/>
          <w:trHeight w:val="62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1"/>
          <w:wAfter w:w="24" w:type="pct"/>
          <w:trHeight w:val="62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1"/>
          <w:wAfter w:w="24" w:type="pct"/>
          <w:trHeight w:val="48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vMerge w:val="restart"/>
            <w:tcBorders>
              <w:top w:val="nil"/>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车辆操作人员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r>
              <w:rPr>
                <w:rFonts w:ascii="宋体" w:hAnsi="宋体" w:cs="宋体" w:hint="eastAsia"/>
                <w:i w:val="0"/>
                <w:iCs w:val="0"/>
                <w:color w:val="000000"/>
                <w:kern w:val="0"/>
                <w:sz w:val="18"/>
                <w:szCs w:val="18"/>
                <w:u w:val="none"/>
                <w:lang w:val="en-US" w:eastAsia="zh-CN"/>
              </w:rPr>
              <w:t xml:space="preserve">2</w:t>
            </w:r>
            <w:r>
              <w:rPr>
                <w:rFonts w:ascii="宋体" w:eastAsia="宋体" w:hAnsi="宋体" w:cs="宋体"/>
                <w:i w:val="0"/>
                <w:iCs w:val="0"/>
                <w:color w:val="000000"/>
                <w:kern w:val="0"/>
                <w:sz w:val="18"/>
                <w:szCs w:val="18"/>
                <w:u w:val="none"/>
                <w:lang w:val="en-US" w:eastAsia="zh-CN"/>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r>
              <w:rPr>
                <w:rFonts w:ascii="宋体" w:hAnsi="宋体" w:cs="宋体" w:hint="eastAsia"/>
                <w:i w:val="0"/>
                <w:iCs w:val="0"/>
                <w:color w:val="000000"/>
                <w:kern w:val="0"/>
                <w:sz w:val="18"/>
                <w:szCs w:val="18"/>
                <w:u w:val="none"/>
                <w:lang w:val="en-US" w:eastAsia="zh-CN"/>
              </w:rPr>
              <w:t xml:space="preserve">2</w:t>
            </w:r>
            <w:r>
              <w:rPr>
                <w:rFonts w:ascii="宋体" w:eastAsia="宋体" w:hAnsi="宋体" w:cs="宋体"/>
                <w:i w:val="0"/>
                <w:iCs w:val="0"/>
                <w:color w:val="000000"/>
                <w:kern w:val="0"/>
                <w:sz w:val="18"/>
                <w:szCs w:val="18"/>
                <w:u w:val="none"/>
                <w:lang w:val="en-US" w:eastAsia="zh-CN"/>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1"/>
          <w:wAfter w:w="24" w:type="pct"/>
          <w:trHeight w:val="48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nil"/>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大气污染防治区域</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31.236公里</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31.236公里</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1"/>
          <w:wAfter w:w="24" w:type="pct"/>
          <w:trHeight w:val="48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nil"/>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大气污染防治辅助人员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r>
              <w:rPr>
                <w:rFonts w:ascii="宋体" w:hAnsi="宋体" w:cs="宋体" w:hint="eastAsia"/>
                <w:i w:val="0"/>
                <w:iCs w:val="0"/>
                <w:color w:val="000000"/>
                <w:kern w:val="0"/>
                <w:sz w:val="18"/>
                <w:szCs w:val="18"/>
                <w:u w:val="none"/>
                <w:lang w:val="en-US" w:eastAsia="zh-CN"/>
              </w:rPr>
              <w:t xml:space="preserve">4</w:t>
            </w:r>
            <w:r>
              <w:rPr>
                <w:rFonts w:ascii="宋体" w:eastAsia="宋体" w:hAnsi="宋体" w:cs="宋体"/>
                <w:i w:val="0"/>
                <w:iCs w:val="0"/>
                <w:color w:val="000000"/>
                <w:kern w:val="0"/>
                <w:sz w:val="18"/>
                <w:szCs w:val="18"/>
                <w:u w:val="none"/>
                <w:lang w:val="en-US" w:eastAsia="zh-CN"/>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r>
              <w:rPr>
                <w:rFonts w:ascii="宋体" w:hAnsi="宋体" w:cs="宋体" w:hint="eastAsia"/>
                <w:i w:val="0"/>
                <w:iCs w:val="0"/>
                <w:color w:val="000000"/>
                <w:kern w:val="0"/>
                <w:sz w:val="18"/>
                <w:szCs w:val="18"/>
                <w:u w:val="none"/>
                <w:lang w:val="en-US" w:eastAsia="zh-CN"/>
              </w:rPr>
              <w:t xml:space="preserve">4</w:t>
            </w:r>
            <w:r>
              <w:rPr>
                <w:rFonts w:ascii="宋体" w:eastAsia="宋体" w:hAnsi="宋体" w:cs="宋体"/>
                <w:i w:val="0"/>
                <w:iCs w:val="0"/>
                <w:color w:val="000000"/>
                <w:kern w:val="0"/>
                <w:sz w:val="18"/>
                <w:szCs w:val="18"/>
                <w:u w:val="none"/>
                <w:lang w:val="en-US" w:eastAsia="zh-CN"/>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1"/>
          <w:wAfter w:w="24" w:type="pct"/>
          <w:trHeight w:val="48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nil"/>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vMerge w:val="restart"/>
            <w:tcBorders>
              <w:top w:val="nil"/>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城管案件结案率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1"/>
          <w:wAfter w:w="24" w:type="pct"/>
          <w:trHeight w:val="48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nil"/>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nil"/>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管养路域清洁度维持率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1"/>
          <w:wAfter w:w="24" w:type="pct"/>
          <w:trHeight w:val="48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nil"/>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nil"/>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国省干道机械化清扫率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1"/>
          <w:wAfter w:w="24" w:type="pct"/>
          <w:trHeight w:val="48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nil"/>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vMerge w:val="restart"/>
            <w:tcBorders>
              <w:top w:val="nil"/>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公路设施保洁及时性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≤24小时</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24小时</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1"/>
          <w:wAfter w:w="24" w:type="pct"/>
          <w:trHeight w:val="48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nil"/>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nil"/>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大气污染实施周期</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365天</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365天</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1"/>
          <w:wAfter w:w="24" w:type="pct"/>
          <w:trHeight w:val="48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nil"/>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nil"/>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路域洒水抑尘作业及时性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≤20分钟</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20分钟</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1"/>
          <w:wAfter w:w="24" w:type="pct"/>
          <w:trHeight w:val="48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改善外环路域环境、提高道路安全性，同时为社会增加就业岗位</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r>
              <w:rPr>
                <w:rFonts w:ascii="宋体" w:hAnsi="宋体" w:cs="宋体" w:hint="eastAsia"/>
                <w:i w:val="0"/>
                <w:iCs w:val="0"/>
                <w:color w:val="000000"/>
                <w:kern w:val="0"/>
                <w:sz w:val="18"/>
                <w:szCs w:val="18"/>
                <w:u w:val="none"/>
                <w:lang w:val="en-US" w:eastAsia="zh-CN"/>
              </w:rPr>
              <w:t xml:space="preserve">2</w:t>
            </w:r>
            <w:r>
              <w:rPr>
                <w:rFonts w:ascii="宋体" w:eastAsia="宋体" w:hAnsi="宋体" w:cs="宋体"/>
                <w:i w:val="0"/>
                <w:iCs w:val="0"/>
                <w:color w:val="000000"/>
                <w:kern w:val="0"/>
                <w:sz w:val="18"/>
                <w:szCs w:val="18"/>
                <w:u w:val="none"/>
                <w:lang w:val="en-US" w:eastAsia="zh-CN"/>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r>
              <w:rPr>
                <w:rFonts w:ascii="宋体" w:hAnsi="宋体" w:cs="宋体" w:hint="eastAsia"/>
                <w:i w:val="0"/>
                <w:iCs w:val="0"/>
                <w:color w:val="000000"/>
                <w:kern w:val="0"/>
                <w:sz w:val="18"/>
                <w:szCs w:val="18"/>
                <w:u w:val="none"/>
                <w:lang w:val="en-US" w:eastAsia="zh-CN"/>
              </w:rPr>
              <w:t xml:space="preserve">2</w:t>
            </w:r>
            <w:r>
              <w:rPr>
                <w:rFonts w:ascii="宋体" w:eastAsia="宋体" w:hAnsi="宋体" w:cs="宋体"/>
                <w:i w:val="0"/>
                <w:iCs w:val="0"/>
                <w:color w:val="000000"/>
                <w:kern w:val="0"/>
                <w:sz w:val="18"/>
                <w:szCs w:val="18"/>
                <w:u w:val="none"/>
                <w:lang w:val="en-US" w:eastAsia="zh-CN"/>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1"/>
          <w:wAfter w:w="24" w:type="pct"/>
          <w:trHeight w:val="48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创造安全良好的外环路域环境、保障车辆安全通行</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保障</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保障</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1"/>
          <w:wAfter w:w="24" w:type="pct"/>
          <w:trHeight w:val="48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促进许昌市PM10、PM2.5限值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下降</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下降</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1"/>
          <w:wAfter w:w="24" w:type="pct"/>
          <w:trHeight w:val="48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许昌市外环路域环境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改善</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改善</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1"/>
          <w:wAfter w:w="24" w:type="pct"/>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营造良好的路域环境、许昌市民满意度大于等于95%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gridAfter w:val="1"/>
          <w:wAfter w:w="24" w:type="pct"/>
          <w:trHeight w:val="42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i w:val="0"/>
                <w:iCs w:val="0"/>
                <w:color w:val="000000"/>
                <w:kern w:val="0"/>
                <w:sz w:val="18"/>
                <w:szCs w:val="18"/>
                <w:u w:val="none"/>
                <w:lang w:val="en-US" w:eastAsia="zh-CN"/>
              </w:rPr>
              <w:t xml:space="preserve">9</w:t>
            </w:r>
            <w:r>
              <w:rPr>
                <w:rFonts w:ascii="宋体" w:hAnsi="宋体" w:cs="宋体" w:hint="eastAsia"/>
                <w:i w:val="0"/>
                <w:iCs w:val="0"/>
                <w:color w:val="000000"/>
                <w:kern w:val="0"/>
                <w:sz w:val="18"/>
                <w:szCs w:val="18"/>
                <w:u w:val="none"/>
                <w:lang w:val="en-US" w:eastAsia="zh-CN"/>
              </w:rPr>
              <w:t xml:space="preserve">7</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30ba20cc-16fb-4240-9584-a8cdece24ed4"/>
              <w:jc w:val="center"/>
              <w:rPr>
                <w:rFonts w:ascii="宋体" w:eastAsia="宋体" w:hAnsi="宋体" w:cs="宋体" w:hint="eastAsia"/>
                <w:i w:val="0"/>
                <w:iCs w:val="0"/>
                <w:color w:val="000000"/>
                <w:sz w:val="18"/>
                <w:szCs w:val="18"/>
                <w:u w:val="none"/>
              </w:rPr>
            </w:pPr>
          </w:p>
        </w:tc>
      </w:tr>
    </w:tbl>
    <w:p>
      <w:pPr>
        <w:pStyle w:val="Normal_30ba20cc-16fb-4240-9584-a8cdece24ed4"/>
      </w:pPr>
    </w:p>
    <w:p>
      <w:pPr>
        <w:pStyle w:val="Normal_30ba20cc-16fb-4240-9584-a8cdece24ed4"/>
      </w:pPr>
    </w:p>
    <w:p>
      <w:pPr>
        <w:pStyle w:val="Normal_30ba20cc-16fb-4240-9584-a8cdece24ed4"/>
      </w:pPr>
    </w:p>
    <w:tbl>
      <w:tblPr>
        <w:tblStyle w:val="NormalTable_8eae3a81-184f-47a1-8532-4e36ce7f0c3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579"/>
        <w:gridCol w:w="583"/>
        <w:gridCol w:w="579"/>
        <w:gridCol w:w="583"/>
        <w:gridCol w:w="579"/>
        <w:gridCol w:w="847"/>
        <w:gridCol w:w="581"/>
        <w:gridCol w:w="581"/>
        <w:gridCol w:w="579"/>
        <w:gridCol w:w="668"/>
        <w:gridCol w:w="580"/>
        <w:gridCol w:w="669"/>
        <w:gridCol w:w="1114"/>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2023年干线公路日常养护（原小修保养经费）省补资金</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许昌市交通运输局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许昌市公路养护中心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628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408.82</w:t>
            </w:r>
          </w:p>
        </w:tc>
        <w:tc>
          <w:tcPr>
            <w:tcW w:type="auto" w:w="0"/>
            <w:tcBorders>
              <w:top w:val="nil"/>
              <w:left w:val="nil"/>
              <w:bottom w:val="nil"/>
              <w:right w:val="nil"/>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i w:val="0"/>
                <w:iCs w:val="0"/>
                <w:color w:val="000000"/>
                <w:kern w:val="0"/>
                <w:sz w:val="18"/>
                <w:szCs w:val="18"/>
                <w:u w:val="none"/>
                <w:lang w:val="en-US" w:eastAsia="zh-CN"/>
              </w:rPr>
              <w:t xml:space="preserve">65.1</w:t>
            </w:r>
            <w:r>
              <w:rPr>
                <w:rFonts w:ascii="宋体" w:hAnsi="宋体" w:cs="宋体" w:hint="eastAsia"/>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628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408.82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i w:val="0"/>
                <w:iCs w:val="0"/>
                <w:color w:val="000000"/>
                <w:kern w:val="0"/>
                <w:sz w:val="18"/>
                <w:szCs w:val="18"/>
                <w:u w:val="none"/>
                <w:lang w:val="en-US" w:eastAsia="zh-CN"/>
              </w:rPr>
              <w:t xml:space="preserve">65.1</w:t>
            </w:r>
            <w:r>
              <w:rPr>
                <w:rFonts w:ascii="宋体" w:hAnsi="宋体" w:cs="宋体" w:hint="eastAsia"/>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我单位日常养护正常开展，期间有监理保障施工质量，打造了畅洁绿美安的道路通行环境，实现了项目绩效目标。预算案流程年中下达，我单位及时申请，财政批复后及时支付。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预算下达后，组织业务科室提供完整、规范的票据，及时向财政提出资金支付申请，申请批复后及时支付。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按照项目资金用途合理使用。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资金下达有目标，日常有监控，年中有评价，有问题及时发现及时解决。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支持公路基础设施良好技术状况水平</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通过日常养护保障公路基础设施良好，打造畅、洁、绿、美、安的道路通行环境。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道路日常养护费用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591万元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384</w:t>
            </w:r>
            <w:r>
              <w:rPr>
                <w:rFonts w:ascii="宋体" w:hAnsi="宋体" w:cs="宋体" w:hint="eastAsia"/>
                <w:i w:val="0"/>
                <w:iCs w:val="0"/>
                <w:color w:val="000000"/>
                <w:kern w:val="0"/>
                <w:sz w:val="18"/>
                <w:szCs w:val="18"/>
                <w:u w:val="none"/>
                <w:lang w:val="en-US" w:eastAsia="zh-CN"/>
              </w:rPr>
              <w:t xml:space="preserve">.82</w:t>
            </w:r>
            <w:r>
              <w:rPr>
                <w:rFonts w:ascii="宋体" w:eastAsia="宋体" w:hAnsi="宋体" w:cs="宋体"/>
                <w:i w:val="0"/>
                <w:iCs w:val="0"/>
                <w:color w:val="000000"/>
                <w:kern w:val="0"/>
                <w:sz w:val="18"/>
                <w:szCs w:val="18"/>
                <w:u w:val="none"/>
                <w:lang w:val="en-US" w:eastAsia="zh-CN"/>
              </w:rPr>
              <w:t xml:space="preserve">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hAnsi="宋体" w:cs="宋体" w:hint="eastAsia"/>
                <w:i w:val="0"/>
                <w:iCs w:val="0"/>
                <w:color w:val="000000"/>
                <w:kern w:val="0"/>
                <w:sz w:val="18"/>
                <w:szCs w:val="18"/>
                <w:u w:val="none"/>
                <w:lang w:val="en-US" w:eastAsia="zh-CN"/>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hAnsi="宋体" w:cs="宋体" w:hint="eastAsia"/>
                <w:i w:val="0"/>
                <w:iCs w:val="0"/>
                <w:color w:val="000000"/>
                <w:kern w:val="0"/>
                <w:sz w:val="18"/>
                <w:szCs w:val="18"/>
                <w:u w:val="none"/>
                <w:lang w:val="en-US" w:eastAsia="zh-CN"/>
              </w:rPr>
              <w:t xml:space="preserve">34.88</w:t>
            </w: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因支付手续不齐全，未拨付到位；手续完备后</w:t>
            </w:r>
            <w:r>
              <w:rPr>
                <w:rFonts w:ascii="宋体" w:eastAsia="宋体" w:hAnsi="宋体" w:cs="宋体" w:hint="eastAsia"/>
                <w:i w:val="0"/>
                <w:iCs w:val="0"/>
                <w:color w:val="000000"/>
                <w:kern w:val="0"/>
                <w:sz w:val="18"/>
                <w:szCs w:val="18"/>
                <w:u w:val="none"/>
                <w:lang w:val="en-US" w:eastAsia="zh-CN"/>
              </w:rPr>
              <w:t xml:space="preserve">及时</w:t>
            </w:r>
            <w:r>
              <w:rPr>
                <w:rFonts w:ascii="宋体" w:eastAsia="宋体" w:hAnsi="宋体" w:cs="宋体"/>
                <w:i w:val="0"/>
                <w:iCs w:val="0"/>
                <w:color w:val="000000"/>
                <w:kern w:val="0"/>
                <w:sz w:val="18"/>
                <w:szCs w:val="18"/>
                <w:u w:val="none"/>
                <w:lang w:val="en-US" w:eastAsia="zh-CN"/>
              </w:rPr>
              <w:t xml:space="preserve">支付</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桥梁日常养护及检查费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13万元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kern w:val="0"/>
                <w:sz w:val="18"/>
                <w:szCs w:val="18"/>
                <w:u w:val="none"/>
                <w:lang w:val="en-US" w:eastAsia="zh-CN"/>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-35.00%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按桥梁实际情况完成了日常养护及检查，存在资金支付申请未批复的情况。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公跨铁桥梁日常养护及检查费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17万元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11万元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-35.29%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按公跨桥梁实际情况完成了日常养护及检查，存在资金支付已申请未批复。</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普通国省道小修保养管养里程</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31.3公里</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31.3公里</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普通过审定稿公路技术状况</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≥80MQI</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85MQI</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小修保养工作完成时间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2023年底前</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公路基础设施技术状况水平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保持良好</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kern w:val="0"/>
                <w:sz w:val="18"/>
                <w:szCs w:val="18"/>
                <w:u w:val="none"/>
                <w:lang w:val="en-US" w:eastAsia="zh-CN"/>
              </w:rPr>
              <w:t xml:space="preserve">90.5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bl>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tbl>
      <w:tblPr>
        <w:tblStyle w:val="NormalTable_8eae3a81-184f-47a1-8532-4e36ce7f0c3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602"/>
        <w:gridCol w:w="605"/>
        <w:gridCol w:w="602"/>
        <w:gridCol w:w="605"/>
        <w:gridCol w:w="602"/>
        <w:gridCol w:w="666"/>
        <w:gridCol w:w="603"/>
        <w:gridCol w:w="603"/>
        <w:gridCol w:w="603"/>
        <w:gridCol w:w="606"/>
        <w:gridCol w:w="603"/>
        <w:gridCol w:w="604"/>
        <w:gridCol w:w="1218"/>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type="auto" w:w="0"/>
            <w:gridSpan w:val="13"/>
            <w:tcBorders>
              <w:top w:val="nil"/>
              <w:left w:val="nil"/>
              <w:bottom w:val="nil"/>
              <w:right w:val="nil"/>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2023年交调站点维护项目</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许昌市交通运输局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许昌市公路养护中心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nil"/>
              <w:left w:val="nil"/>
              <w:bottom w:val="nil"/>
              <w:right w:val="nil"/>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对预算项目进行细致分析，确保项目支出有充分的资金且不超预算</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资金拨付高效、安全，规范，按照财政资金支付流程，确保资金准时保量拨付到位</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资金使用严格按照相关财务管理规定，严格审核 ，从预算用途，采购合规，严格审核等方面语法依规使用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制订项目绩效目标，严格参照单位职能，资金用途制订项目预算绩效指标。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维护交调站点1处</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经过维护，保障设备正常运转，降低公路突发事件经济损失。</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维护交调站点成本</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1.5万元/个</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1.5万元/个</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维护站点数量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1处</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站点正常运行率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按期完工率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2023年底前</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对降低公路突发事件经济损失影响</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降低</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提升全省交通基础设施数字化率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明显</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受益群众满意度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bl>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tbl>
      <w:tblPr>
        <w:tblStyle w:val="NormalTable_8eae3a81-184f-47a1-8532-4e36ce7f0c3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596"/>
        <w:gridCol w:w="599"/>
        <w:gridCol w:w="596"/>
        <w:gridCol w:w="600"/>
        <w:gridCol w:w="597"/>
        <w:gridCol w:w="666"/>
        <w:gridCol w:w="598"/>
        <w:gridCol w:w="598"/>
        <w:gridCol w:w="597"/>
        <w:gridCol w:w="600"/>
        <w:gridCol w:w="597"/>
        <w:gridCol w:w="666"/>
        <w:gridCol w:w="1212"/>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出租房产维修维护</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许昌市交通运输局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许昌市公路养护中心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3.71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3.69</w:t>
            </w:r>
          </w:p>
        </w:tc>
        <w:tc>
          <w:tcPr>
            <w:tcW w:type="auto" w:w="0"/>
            <w:tcBorders>
              <w:top w:val="nil"/>
              <w:left w:val="nil"/>
              <w:bottom w:val="nil"/>
              <w:right w:val="nil"/>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99.46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9.95</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3.71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3.69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99.46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我单位针对维修项目经财政审批后，开展维修单位询价，确定维修单位签订施工合同，开展维修。此项目资金指标下达及时，维修验收后根据合同申请资金支付，财政申请批复后支付。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按照合同维修完成验收后，申请资金支付，支付合规。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按资金下达预算范围使用，未超额。</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项目实施前定有绩效目标，施工中有监督，施工后有验收，经过维修，实现了绩效目标。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通过对出租房产下水管道更换、门前台阶维修及化粪池维护清污，使房产达到正常使用状态，避免房产进一步恶化。</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经过对出租房产的维修，房产达到了正常使用状态，避免房产进一步恶化，实现了项目绩效目标，</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出租房产维修维护成本</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37072元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36872元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r>
              <w:rPr>
                <w:rFonts w:ascii="宋体" w:hAnsi="宋体" w:cs="宋体" w:hint="eastAsia"/>
                <w:i w:val="0"/>
                <w:iCs w:val="0"/>
                <w:color w:val="000000"/>
                <w:kern w:val="0"/>
                <w:sz w:val="18"/>
                <w:szCs w:val="18"/>
                <w:u w:val="none"/>
                <w:lang w:val="en-US" w:eastAsia="zh-CN"/>
              </w:rPr>
              <w:t xml:space="preserve">51</w:t>
            </w: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both"/>
              <w:rPr>
                <w:rFonts w:ascii="宋体" w:eastAsia="宋体" w:hAnsi="宋体" w:cs="宋体" w:hint="eastAsia"/>
                <w:i w:val="0"/>
                <w:iCs w:val="0"/>
                <w:color w:val="000000"/>
                <w:sz w:val="18"/>
                <w:szCs w:val="18"/>
                <w:u w:val="none"/>
                <w:lang w:eastAsia="zh-CN"/>
              </w:rPr>
            </w:pPr>
            <w:r>
              <w:rPr>
                <w:rFonts w:ascii="宋体" w:hAnsi="宋体" w:cs="宋体" w:hint="eastAsia"/>
                <w:i w:val="0"/>
                <w:iCs w:val="0"/>
                <w:color w:val="000000"/>
                <w:sz w:val="18"/>
                <w:szCs w:val="18"/>
                <w:u w:val="none"/>
                <w:lang w:eastAsia="zh-CN"/>
              </w:rPr>
              <w:t xml:space="preserve">按照工作量支付资金，节约成本。</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下水管道更换</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6根</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门面房前 台阶破损修复面积</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110平</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110平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排水沟清污长度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153米</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153米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化粪池清污车数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20车</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19车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4.75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项目开展前预计20车，实际情况为19车。</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出租房产维修维护合格率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出租房产维修维护完成时间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≤20天</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15天</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保障房产能正常使用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保障</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恢复作业符合生态环境要求</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符合</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客户满意度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99.7</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bl>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tbl>
      <w:tblPr>
        <w:tblStyle w:val="NormalTable_8eae3a81-184f-47a1-8532-4e36ce7f0c3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583"/>
        <w:gridCol w:w="585"/>
        <w:gridCol w:w="583"/>
        <w:gridCol w:w="586"/>
        <w:gridCol w:w="583"/>
        <w:gridCol w:w="758"/>
        <w:gridCol w:w="644"/>
        <w:gridCol w:w="586"/>
        <w:gridCol w:w="583"/>
        <w:gridCol w:w="666"/>
        <w:gridCol w:w="583"/>
        <w:gridCol w:w="585"/>
        <w:gridCol w:w="1197"/>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type="auto" w:w="0"/>
            <w:gridSpan w:val="13"/>
            <w:tcBorders>
              <w:top w:val="nil"/>
              <w:left w:val="nil"/>
              <w:bottom w:val="nil"/>
              <w:right w:val="nil"/>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2022年第五批普通干线公路建设养护省补助资金（结转上级资金）</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许昌市交通运输局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许昌市公路养护中心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9.62</w:t>
            </w:r>
          </w:p>
        </w:tc>
        <w:tc>
          <w:tcPr>
            <w:tcW w:type="auto" w:w="0"/>
            <w:tcBorders>
              <w:top w:val="nil"/>
              <w:left w:val="nil"/>
              <w:bottom w:val="nil"/>
              <w:right w:val="nil"/>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96.2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9.62</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9.62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96.2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按照下达2022年第五批普通干线公路建设养护省补助资金支出预算要求，及时抢通我单位管理干线公路水毁路段，到达改善出行条件的目标。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及时根据完善的手续及时向财政申请，批复后及时支付。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6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项目资金做到了专款专用，及时支付。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2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资金下达制定项目绩效目标，施工有监理，做到及时保质保量完成抢通任务，资金支付手续完整有效，支付申请及时。</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支持抢通全市干线公路水毁发生路段，改善出行条件</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我单位在日常养护过程中，及时保质保量地抢通水毁路段，保障了道路出行安全。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水毁维修费用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100000元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auto"/>
                <w:sz w:val="18"/>
                <w:szCs w:val="18"/>
                <w:u w:val="none"/>
              </w:rPr>
            </w:pPr>
            <w:r>
              <w:rPr>
                <w:rFonts w:ascii="宋体" w:eastAsia="宋体" w:hAnsi="宋体" w:cs="宋体"/>
                <w:i w:val="0"/>
                <w:iCs w:val="0"/>
                <w:color w:val="000000"/>
                <w:kern w:val="0"/>
                <w:sz w:val="18"/>
                <w:szCs w:val="18"/>
                <w:u w:val="none"/>
                <w:lang w:val="en-US" w:eastAsia="zh-CN"/>
              </w:rPr>
              <w:t xml:space="preserve">96202.24元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eastAsia"/>
                <w:i w:val="0"/>
                <w:iCs w:val="0"/>
                <w:color w:val="000000"/>
                <w:sz w:val="18"/>
                <w:szCs w:val="18"/>
                <w:u w:val="none"/>
                <w:lang w:val="en-US" w:eastAsia="zh-CN"/>
              </w:rPr>
            </w:pPr>
            <w:r>
              <w:rPr>
                <w:rFonts w:ascii="宋体" w:hAnsi="宋体" w:cs="宋体" w:hint="eastAsia"/>
                <w:i w:val="0"/>
                <w:iCs w:val="0"/>
                <w:color w:val="000000"/>
                <w:sz w:val="18"/>
                <w:szCs w:val="18"/>
                <w:u w:val="none"/>
                <w:lang w:val="en-US" w:eastAsia="zh-CN"/>
              </w:rPr>
              <w:t xml:space="preserve">9</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r>
              <w:rPr>
                <w:rFonts w:ascii="宋体" w:hAnsi="宋体" w:cs="宋体" w:hint="eastAsia"/>
                <w:i w:val="0"/>
                <w:iCs w:val="0"/>
                <w:color w:val="000000"/>
                <w:kern w:val="0"/>
                <w:sz w:val="18"/>
                <w:szCs w:val="18"/>
                <w:u w:val="none"/>
                <w:lang w:val="en-US" w:eastAsia="zh-CN"/>
              </w:rPr>
              <w:t xml:space="preserve">38</w:t>
            </w:r>
            <w:r>
              <w:rPr>
                <w:rFonts w:ascii="宋体" w:eastAsia="宋体" w:hAnsi="宋体" w:cs="宋体"/>
                <w:i w:val="0"/>
                <w:iCs w:val="0"/>
                <w:color w:val="000000"/>
                <w:kern w:val="0"/>
                <w:sz w:val="18"/>
                <w:szCs w:val="18"/>
                <w:u w:val="none"/>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因支付手续不齐全，未拨付到位；手续完备后</w:t>
            </w:r>
            <w:r>
              <w:rPr>
                <w:rFonts w:ascii="宋体" w:eastAsia="宋体" w:hAnsi="宋体" w:cs="宋体" w:hint="eastAsia"/>
                <w:i w:val="0"/>
                <w:iCs w:val="0"/>
                <w:color w:val="000000"/>
                <w:kern w:val="0"/>
                <w:sz w:val="18"/>
                <w:szCs w:val="18"/>
                <w:u w:val="none"/>
                <w:lang w:val="en-US" w:eastAsia="zh-CN"/>
              </w:rPr>
              <w:t xml:space="preserve">及时</w:t>
            </w:r>
            <w:r>
              <w:rPr>
                <w:rFonts w:ascii="宋体" w:eastAsia="宋体" w:hAnsi="宋体" w:cs="宋体"/>
                <w:i w:val="0"/>
                <w:iCs w:val="0"/>
                <w:color w:val="000000"/>
                <w:kern w:val="0"/>
                <w:sz w:val="18"/>
                <w:szCs w:val="18"/>
                <w:u w:val="none"/>
                <w:lang w:val="en-US" w:eastAsia="zh-CN"/>
              </w:rPr>
              <w:t xml:space="preserve">支付</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指标1：支持干线公路抢修面积（平方米）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715平方米</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800平方米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指标1：普通干线公路抢修工程质量检测合格率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指标2：干线公路完工项目验收合格率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指标1：普通干线公路阻断路段按时抢通率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指标2：按期完成目标任务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2023年底前</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指标1：路网畅通程度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改善</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指标2：对经济发展的作用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促进</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指标1：普通公路路网运行保障程度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指标2：农村公路出行条件</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改善</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指标1：群众满意度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hint="default"/>
                <w:i w:val="0"/>
                <w:iCs w:val="0"/>
                <w:color w:val="auto"/>
                <w:sz w:val="18"/>
                <w:szCs w:val="18"/>
                <w:u w:val="none"/>
                <w:lang w:val="en-US" w:eastAsia="zh-CN"/>
              </w:rPr>
            </w:pPr>
            <w:r>
              <w:rPr>
                <w:rFonts w:ascii="宋体" w:hAnsi="宋体" w:cs="宋体" w:hint="eastAsia"/>
                <w:i w:val="0"/>
                <w:iCs w:val="0"/>
                <w:color w:val="auto"/>
                <w:sz w:val="18"/>
                <w:szCs w:val="18"/>
                <w:u w:val="none"/>
                <w:lang w:val="en-US" w:eastAsia="zh-CN"/>
              </w:rPr>
              <w:t xml:space="preserve">98.62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FF"/>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bl>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tbl>
      <w:tblPr>
        <w:tblStyle w:val="NormalTable_8eae3a81-184f-47a1-8532-4e36ce7f0c3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594"/>
        <w:gridCol w:w="598"/>
        <w:gridCol w:w="595"/>
        <w:gridCol w:w="598"/>
        <w:gridCol w:w="595"/>
        <w:gridCol w:w="756"/>
        <w:gridCol w:w="596"/>
        <w:gridCol w:w="596"/>
        <w:gridCol w:w="595"/>
        <w:gridCol w:w="598"/>
        <w:gridCol w:w="595"/>
        <w:gridCol w:w="596"/>
        <w:gridCol w:w="1210"/>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type="auto" w:w="0"/>
            <w:gridSpan w:val="13"/>
            <w:tcBorders>
              <w:top w:val="nil"/>
              <w:left w:val="nil"/>
              <w:bottom w:val="nil"/>
              <w:right w:val="nil"/>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2021-2022年度公路路产损坏赔（补）偿</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许昌市交通运输局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许昌市公路养护中心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23.1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23.1</w:t>
            </w:r>
          </w:p>
        </w:tc>
        <w:tc>
          <w:tcPr>
            <w:tcW w:type="auto" w:w="0"/>
            <w:tcBorders>
              <w:top w:val="nil"/>
              <w:left w:val="nil"/>
              <w:bottom w:val="nil"/>
              <w:right w:val="nil"/>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23.1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23.1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按照下达2021-2022年度公路路产损坏赔（补）偿资金支出预算要求，及时对损坏路产进行修复，保障市民及车辆安全出行。</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及时根据完善的手续，及时向财政申请，批复后及时支付。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项目资金做到了预算范围使用，及时支付。</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20"/>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资金下达制定项目绩效目标，做到及时保质保量完成损坏路产修复任务。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及时恢复干线公路交通设施，保障市民及车辆安全出行，维护城市形象，综合效益更显著。</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完成了损坏路产修复工作，确保了道路的安全和畅通。</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路产损坏修复费用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230958元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230958元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hAnsi="宋体" w:cs="宋体" w:hint="eastAsia"/>
                <w:i w:val="0"/>
                <w:iCs w:val="0"/>
                <w:color w:val="000000"/>
                <w:kern w:val="0"/>
                <w:sz w:val="18"/>
                <w:szCs w:val="18"/>
                <w:u w:val="none"/>
                <w:bdr w:val="none" w:sz="0" w:space="0" w:color="auto"/>
                <w:lang w:val="en-US" w:eastAsia="zh-CN"/>
              </w:rPr>
              <w:t xml:space="preserve">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hAnsi="宋体" w:cs="宋体" w:hint="eastAsia"/>
                <w:i w:val="0"/>
                <w:iCs w:val="0"/>
                <w:color w:val="000000"/>
                <w:kern w:val="0"/>
                <w:sz w:val="18"/>
                <w:szCs w:val="18"/>
                <w:u w:val="none"/>
                <w:bdr w:val="none" w:sz="0" w:space="0" w:color="auto"/>
                <w:lang w:val="en-US" w:eastAsia="zh-CN"/>
              </w:rPr>
              <w:t xml:space="preserve">7</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指标1：道路通行中断时间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left"/>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指标1：路产损坏修复次数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≥39次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指标1：修复达标率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指标1：修复响应时间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≤24小时</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24小时</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指标1：环城路畅通</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保障</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指标1：恢复作业合生态环境要求</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符合</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指标1：群众满意度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0ba20cc-16fb-4240-9584-a8cdece24ed4"/>
              <w:jc w:val="center"/>
              <w:rPr>
                <w:rFonts w:ascii="宋体" w:eastAsia="宋体" w:hAnsi="宋体" w:cs="宋体" w:hint="eastAsia"/>
                <w:i w:val="0"/>
                <w:iCs w:val="0"/>
                <w:color w:val="000000"/>
                <w:sz w:val="18"/>
                <w:szCs w:val="18"/>
                <w:u w:val="none"/>
              </w:rPr>
            </w:pPr>
          </w:p>
        </w:tc>
      </w:tr>
    </w:tbl>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pPr>
    </w:p>
    <w:p>
      <w:pPr>
        <w:pStyle w:val="Normal_30ba20cc-16fb-4240-9584-a8cdece24ed4"/>
        <w:sectPr>
          <w:pgSz w:w="11906" w:h="16838" w:orient="portrait"/>
          <w:pgMar w:top="1440" w:right="1800" w:bottom="1440" w:left="1800" w:header="851" w:footer="992" w:gutter="0"/>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93"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370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30ba20cc-16fb-4240-9584-a8cdece24ed4">
    <w:name w:val="Normal_30ba20cc-16fb-4240-9584-a8cdece24ed4"/>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table" w:styleId="NormalTable_8eae3a81-184f-47a1-8532-4e36ce7f0c3d">
    <w:name w:val="Normal Table_8eae3a81-184f-47a1-8532-4e36ce7f0c3d"/>
    <w:semiHidden/>
    <w:qFormat/>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14</TotalTime>
  <Pages>44</Pages>
  <Words>6695</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