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许昌市公务接待服务中心部门决算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许昌市公务接待服务中心概况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许昌市公务接待服务中心概况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（一）负责接待来许的国家和省委、省人大、省政府、省政协机关现职副厅级以上领导同志；兄弟市（地）现职副市（地）级以上同志；市委、市人大、市政府、市政协安排的其他重要宾客。</w:t>
      </w:r>
      <w:r>
        <w:rPr>
          <w:rFonts w:hint="eastAsia" w:ascii="仿宋_GB2312" w:hAnsi="宋体" w:eastAsia="仿宋_GB2312" w:cs="仿宋_GB2312"/>
          <w:color w:val="000000"/>
          <w:kern w:val="0"/>
          <w:sz w:val="32"/>
          <w:szCs w:val="32"/>
          <w:lang w:val="en-US" w:eastAsia="zh-CN" w:bidi="ar"/>
        </w:rPr>
        <w:br w:type="textWrapping"/>
      </w:r>
      <w:r>
        <w:rPr>
          <w:rFonts w:hint="eastAsia" w:ascii="仿宋_GB2312" w:hAnsi="宋体" w:eastAsia="仿宋_GB2312" w:cs="仿宋_GB2312"/>
          <w:color w:val="000000"/>
          <w:kern w:val="0"/>
          <w:sz w:val="32"/>
          <w:szCs w:val="32"/>
          <w:lang w:val="en-US" w:eastAsia="zh-CN" w:bidi="ar"/>
        </w:rPr>
        <w:t xml:space="preserve">    （二）负责接待来许的省直部门正厅级领导同志。</w:t>
      </w:r>
      <w:r>
        <w:rPr>
          <w:rFonts w:hint="eastAsia" w:ascii="仿宋_GB2312" w:hAnsi="宋体" w:eastAsia="仿宋_GB2312" w:cs="仿宋_GB2312"/>
          <w:color w:val="000000"/>
          <w:kern w:val="0"/>
          <w:sz w:val="32"/>
          <w:szCs w:val="32"/>
          <w:lang w:val="en-US" w:eastAsia="zh-CN" w:bidi="ar"/>
        </w:rPr>
        <w:br w:type="textWrapping"/>
      </w:r>
      <w:r>
        <w:rPr>
          <w:rFonts w:hint="eastAsia" w:ascii="仿宋_GB2312" w:hAnsi="宋体" w:eastAsia="仿宋_GB2312" w:cs="仿宋_GB2312"/>
          <w:color w:val="000000"/>
          <w:kern w:val="0"/>
          <w:sz w:val="32"/>
          <w:szCs w:val="32"/>
          <w:lang w:val="en-US" w:eastAsia="zh-CN" w:bidi="ar"/>
        </w:rPr>
        <w:t xml:space="preserve">    （三）负责接待国家和省委、省人大、省政府、省政协来许的工作组、调研组、检查组。</w:t>
      </w:r>
      <w:r>
        <w:rPr>
          <w:rFonts w:hint="eastAsia" w:ascii="仿宋_GB2312" w:hAnsi="宋体" w:eastAsia="仿宋_GB2312" w:cs="仿宋_GB2312"/>
          <w:color w:val="000000"/>
          <w:kern w:val="0"/>
          <w:sz w:val="32"/>
          <w:szCs w:val="32"/>
          <w:lang w:val="en-US" w:eastAsia="zh-CN" w:bidi="ar"/>
        </w:rPr>
        <w:br w:type="textWrapping"/>
      </w:r>
      <w:r>
        <w:rPr>
          <w:rFonts w:hint="eastAsia" w:ascii="仿宋_GB2312" w:hAnsi="宋体" w:eastAsia="仿宋_GB2312" w:cs="仿宋_GB2312"/>
          <w:color w:val="000000"/>
          <w:kern w:val="0"/>
          <w:sz w:val="32"/>
          <w:szCs w:val="32"/>
          <w:lang w:val="en-US" w:eastAsia="zh-CN" w:bidi="ar"/>
        </w:rPr>
        <w:t xml:space="preserve">    （四）协助安排市有关部门组织的大型视察团（组）。</w:t>
      </w:r>
      <w:r>
        <w:rPr>
          <w:rFonts w:hint="eastAsia" w:ascii="仿宋_GB2312" w:hAnsi="宋体" w:eastAsia="仿宋_GB2312" w:cs="仿宋_GB2312"/>
          <w:color w:val="000000"/>
          <w:kern w:val="0"/>
          <w:sz w:val="32"/>
          <w:szCs w:val="32"/>
          <w:lang w:val="en-US" w:eastAsia="zh-CN" w:bidi="ar"/>
        </w:rPr>
        <w:br w:type="textWrapping"/>
      </w:r>
      <w:r>
        <w:rPr>
          <w:rFonts w:hint="eastAsia" w:ascii="仿宋_GB2312" w:hAnsi="宋体" w:eastAsia="仿宋_GB2312" w:cs="仿宋_GB2312"/>
          <w:color w:val="000000"/>
          <w:kern w:val="0"/>
          <w:sz w:val="32"/>
          <w:szCs w:val="32"/>
          <w:lang w:val="en-US" w:eastAsia="zh-CN" w:bidi="ar"/>
        </w:rPr>
        <w:t xml:space="preserve">    （五）协助做好国家、省在许召开的重要会议和重大节庆活动的接待服务工作。</w:t>
      </w:r>
      <w:r>
        <w:rPr>
          <w:rFonts w:hint="eastAsia" w:ascii="仿宋_GB2312" w:hAnsi="宋体" w:eastAsia="仿宋_GB2312" w:cs="仿宋_GB2312"/>
          <w:color w:val="000000"/>
          <w:kern w:val="0"/>
          <w:sz w:val="32"/>
          <w:szCs w:val="32"/>
          <w:lang w:val="en-US" w:eastAsia="zh-CN" w:bidi="ar"/>
        </w:rPr>
        <w:br w:type="textWrapping"/>
      </w:r>
      <w:r>
        <w:rPr>
          <w:rFonts w:hint="eastAsia" w:ascii="仿宋_GB2312" w:hAnsi="宋体" w:eastAsia="仿宋_GB2312" w:cs="仿宋_GB2312"/>
          <w:color w:val="000000"/>
          <w:kern w:val="0"/>
          <w:sz w:val="32"/>
          <w:szCs w:val="32"/>
          <w:lang w:val="en-US" w:eastAsia="zh-CN" w:bidi="ar"/>
        </w:rPr>
        <w:t xml:space="preserve">    （六）为赴外地的重要公务活动提供联络、服务保障工作。</w:t>
      </w:r>
      <w:r>
        <w:rPr>
          <w:rFonts w:hint="eastAsia" w:ascii="仿宋_GB2312" w:hAnsi="宋体" w:eastAsia="仿宋_GB2312" w:cs="仿宋_GB2312"/>
          <w:color w:val="000000"/>
          <w:kern w:val="0"/>
          <w:sz w:val="32"/>
          <w:szCs w:val="32"/>
          <w:lang w:val="en-US" w:eastAsia="zh-CN" w:bidi="ar"/>
        </w:rPr>
        <w:br w:type="textWrapping"/>
      </w:r>
      <w:r>
        <w:rPr>
          <w:rFonts w:hint="eastAsia" w:ascii="仿宋_GB2312" w:hAnsi="宋体" w:eastAsia="仿宋_GB2312" w:cs="仿宋_GB2312"/>
          <w:color w:val="000000"/>
          <w:kern w:val="0"/>
          <w:sz w:val="32"/>
          <w:szCs w:val="32"/>
          <w:lang w:val="en-US" w:eastAsia="zh-CN" w:bidi="ar"/>
        </w:rPr>
        <w:t xml:space="preserve">    （七）负责接待应市委、市政府邀请前来考察、访问的国内外重要宾客。</w:t>
      </w:r>
      <w:r>
        <w:rPr>
          <w:rFonts w:hint="eastAsia" w:ascii="仿宋_GB2312" w:hAnsi="宋体" w:eastAsia="仿宋_GB2312" w:cs="仿宋_GB2312"/>
          <w:color w:val="000000"/>
          <w:kern w:val="0"/>
          <w:sz w:val="32"/>
          <w:szCs w:val="32"/>
          <w:lang w:val="en-US" w:eastAsia="zh-CN" w:bidi="ar"/>
        </w:rPr>
        <w:br w:type="textWrapping"/>
      </w:r>
      <w:r>
        <w:rPr>
          <w:rFonts w:hint="eastAsia" w:ascii="仿宋_GB2312" w:hAnsi="宋体" w:eastAsia="仿宋_GB2312" w:cs="仿宋_GB2312"/>
          <w:color w:val="000000"/>
          <w:kern w:val="0"/>
          <w:sz w:val="32"/>
          <w:szCs w:val="32"/>
          <w:lang w:val="en-US" w:eastAsia="zh-CN" w:bidi="ar"/>
        </w:rPr>
        <w:t xml:space="preserve">    （八）配合外事部门做好重要来宾的接待工作。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许昌市公务接待服务中心内设机构3个,包括：接待一科、接待二科、综合科。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从决算单位构成看，许昌市公务接待服务中心部门决算包括：本级决算（1个）。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纳入本部门2023年度部门决算编制范围的单位共1个，具体是：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许昌市公务接待服务中心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部门：许昌市公务接待服务中心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730.33</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677.23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20.18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17.18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15.74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730.33</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730.33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730.33</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730.33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部门：许昌市公务接待服务中心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730.33</w:t>
            </w:r>
          </w:p>
        </w:tc>
        <w:tc>
          <w:tcPr>
            <w:tcW w:w="1440" w:type="dxa"/>
            <w:vAlign w:val="center"/>
          </w:tcPr>
          <w:p>
            <w:pPr>
              <w:jc w:val="right"/>
            </w:pPr>
            <w:r>
              <w:rPr>
                <w:rFonts w:ascii="宋体" w:hAnsi="宋体" w:eastAsia="宋体" w:cs="宋体"/>
                <w:b/>
                <w:i w:val="0"/>
                <w:color w:val="000000"/>
                <w:sz w:val="17"/>
              </w:rPr>
              <w:t>730.33</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677.24</w:t>
            </w:r>
          </w:p>
        </w:tc>
        <w:tc>
          <w:tcPr>
            <w:tcW w:w="1440" w:type="dxa"/>
            <w:vAlign w:val="center"/>
          </w:tcPr>
          <w:p>
            <w:pPr>
              <w:jc w:val="right"/>
            </w:pPr>
            <w:r>
              <w:rPr>
                <w:rFonts w:ascii="宋体" w:hAnsi="宋体" w:eastAsia="宋体" w:cs="宋体"/>
                <w:b w:val="0"/>
                <w:i w:val="0"/>
                <w:color w:val="000000"/>
                <w:sz w:val="17"/>
              </w:rPr>
              <w:t>677.24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w:t>
            </w:r>
          </w:p>
        </w:tc>
        <w:tc>
          <w:tcPr>
            <w:tcW w:w="3140" w:type="dxa"/>
            <w:vAlign w:val="center"/>
          </w:tcPr>
          <w:p>
            <w:pPr>
              <w:jc w:val="left"/>
            </w:pPr>
            <w:r>
              <w:rPr>
                <w:rFonts w:ascii="宋体" w:hAnsi="宋体" w:eastAsia="宋体" w:cs="宋体"/>
                <w:b w:val="0"/>
                <w:i w:val="0"/>
                <w:color w:val="000000"/>
                <w:sz w:val="17"/>
              </w:rPr>
              <w:t>政府办公厅（室）及相关机构事务</w:t>
            </w:r>
          </w:p>
        </w:tc>
        <w:tc>
          <w:tcPr>
            <w:tcW w:w="1440" w:type="dxa"/>
            <w:vAlign w:val="center"/>
          </w:tcPr>
          <w:p>
            <w:pPr>
              <w:jc w:val="right"/>
            </w:pPr>
            <w:r>
              <w:rPr>
                <w:rFonts w:ascii="宋体" w:hAnsi="宋体" w:eastAsia="宋体" w:cs="宋体"/>
                <w:b w:val="0"/>
                <w:i w:val="0"/>
                <w:color w:val="000000"/>
                <w:sz w:val="17"/>
              </w:rPr>
              <w:t>653.50</w:t>
            </w:r>
          </w:p>
        </w:tc>
        <w:tc>
          <w:tcPr>
            <w:tcW w:w="1440" w:type="dxa"/>
            <w:vAlign w:val="center"/>
          </w:tcPr>
          <w:p>
            <w:pPr>
              <w:jc w:val="right"/>
            </w:pPr>
            <w:r>
              <w:rPr>
                <w:rFonts w:ascii="宋体" w:hAnsi="宋体" w:eastAsia="宋体" w:cs="宋体"/>
                <w:b w:val="0"/>
                <w:i w:val="0"/>
                <w:color w:val="000000"/>
                <w:sz w:val="17"/>
              </w:rPr>
              <w:t>653.50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267.12</w:t>
            </w:r>
          </w:p>
        </w:tc>
        <w:tc>
          <w:tcPr>
            <w:tcW w:w="1440" w:type="dxa"/>
            <w:vAlign w:val="center"/>
          </w:tcPr>
          <w:p>
            <w:pPr>
              <w:jc w:val="right"/>
            </w:pPr>
            <w:r>
              <w:rPr>
                <w:rFonts w:ascii="宋体" w:hAnsi="宋体" w:eastAsia="宋体" w:cs="宋体"/>
                <w:b w:val="0"/>
                <w:i w:val="0"/>
                <w:color w:val="000000"/>
                <w:sz w:val="17"/>
              </w:rPr>
              <w:t>267.12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386.38</w:t>
            </w:r>
          </w:p>
        </w:tc>
        <w:tc>
          <w:tcPr>
            <w:tcW w:w="1440" w:type="dxa"/>
            <w:vAlign w:val="center"/>
          </w:tcPr>
          <w:p>
            <w:pPr>
              <w:jc w:val="right"/>
            </w:pPr>
            <w:r>
              <w:rPr>
                <w:rFonts w:ascii="宋体" w:hAnsi="宋体" w:eastAsia="宋体" w:cs="宋体"/>
                <w:b w:val="0"/>
                <w:i w:val="0"/>
                <w:color w:val="000000"/>
                <w:sz w:val="17"/>
              </w:rPr>
              <w:t>386.38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1.48</w:t>
            </w:r>
          </w:p>
        </w:tc>
        <w:tc>
          <w:tcPr>
            <w:tcW w:w="1440" w:type="dxa"/>
            <w:vAlign w:val="center"/>
          </w:tcPr>
          <w:p>
            <w:pPr>
              <w:jc w:val="right"/>
            </w:pPr>
            <w:r>
              <w:rPr>
                <w:rFonts w:ascii="宋体" w:hAnsi="宋体" w:eastAsia="宋体" w:cs="宋体"/>
                <w:b w:val="0"/>
                <w:i w:val="0"/>
                <w:color w:val="000000"/>
                <w:sz w:val="17"/>
              </w:rPr>
              <w:t>1.48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1.48</w:t>
            </w:r>
          </w:p>
        </w:tc>
        <w:tc>
          <w:tcPr>
            <w:tcW w:w="1440" w:type="dxa"/>
            <w:vAlign w:val="center"/>
          </w:tcPr>
          <w:p>
            <w:pPr>
              <w:jc w:val="right"/>
            </w:pPr>
            <w:r>
              <w:rPr>
                <w:rFonts w:ascii="宋体" w:hAnsi="宋体" w:eastAsia="宋体" w:cs="宋体"/>
                <w:b w:val="0"/>
                <w:i w:val="0"/>
                <w:color w:val="000000"/>
                <w:sz w:val="17"/>
              </w:rPr>
              <w:t>1.48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22.26</w:t>
            </w:r>
          </w:p>
        </w:tc>
        <w:tc>
          <w:tcPr>
            <w:tcW w:w="1440" w:type="dxa"/>
            <w:vAlign w:val="center"/>
          </w:tcPr>
          <w:p>
            <w:pPr>
              <w:jc w:val="right"/>
            </w:pPr>
            <w:r>
              <w:rPr>
                <w:rFonts w:ascii="宋体" w:hAnsi="宋体" w:eastAsia="宋体" w:cs="宋体"/>
                <w:b w:val="0"/>
                <w:i w:val="0"/>
                <w:color w:val="000000"/>
                <w:sz w:val="17"/>
              </w:rPr>
              <w:t>22.26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22.26</w:t>
            </w:r>
          </w:p>
        </w:tc>
        <w:tc>
          <w:tcPr>
            <w:tcW w:w="1440" w:type="dxa"/>
            <w:vAlign w:val="center"/>
          </w:tcPr>
          <w:p>
            <w:pPr>
              <w:jc w:val="right"/>
            </w:pPr>
            <w:r>
              <w:rPr>
                <w:rFonts w:ascii="宋体" w:hAnsi="宋体" w:eastAsia="宋体" w:cs="宋体"/>
                <w:b w:val="0"/>
                <w:i w:val="0"/>
                <w:color w:val="000000"/>
                <w:sz w:val="17"/>
              </w:rPr>
              <w:t>22.26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20.18</w:t>
            </w:r>
          </w:p>
        </w:tc>
        <w:tc>
          <w:tcPr>
            <w:tcW w:w="1440" w:type="dxa"/>
            <w:vAlign w:val="center"/>
          </w:tcPr>
          <w:p>
            <w:pPr>
              <w:jc w:val="right"/>
            </w:pPr>
            <w:r>
              <w:rPr>
                <w:rFonts w:ascii="宋体" w:hAnsi="宋体" w:eastAsia="宋体" w:cs="宋体"/>
                <w:b w:val="0"/>
                <w:i w:val="0"/>
                <w:color w:val="000000"/>
                <w:sz w:val="17"/>
              </w:rPr>
              <w:t>20.18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20.18</w:t>
            </w:r>
          </w:p>
        </w:tc>
        <w:tc>
          <w:tcPr>
            <w:tcW w:w="1440" w:type="dxa"/>
            <w:vAlign w:val="center"/>
          </w:tcPr>
          <w:p>
            <w:pPr>
              <w:jc w:val="right"/>
            </w:pPr>
            <w:r>
              <w:rPr>
                <w:rFonts w:ascii="宋体" w:hAnsi="宋体" w:eastAsia="宋体" w:cs="宋体"/>
                <w:b w:val="0"/>
                <w:i w:val="0"/>
                <w:color w:val="000000"/>
                <w:sz w:val="17"/>
              </w:rPr>
              <w:t>20.18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3.55</w:t>
            </w:r>
          </w:p>
        </w:tc>
        <w:tc>
          <w:tcPr>
            <w:tcW w:w="1440" w:type="dxa"/>
            <w:vAlign w:val="center"/>
          </w:tcPr>
          <w:p>
            <w:pPr>
              <w:jc w:val="right"/>
            </w:pPr>
            <w:r>
              <w:rPr>
                <w:rFonts w:ascii="宋体" w:hAnsi="宋体" w:eastAsia="宋体" w:cs="宋体"/>
                <w:b w:val="0"/>
                <w:i w:val="0"/>
                <w:color w:val="000000"/>
                <w:sz w:val="17"/>
              </w:rPr>
              <w:t>3.55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16.63</w:t>
            </w:r>
          </w:p>
        </w:tc>
        <w:tc>
          <w:tcPr>
            <w:tcW w:w="1440" w:type="dxa"/>
            <w:vAlign w:val="center"/>
          </w:tcPr>
          <w:p>
            <w:pPr>
              <w:jc w:val="right"/>
            </w:pPr>
            <w:r>
              <w:rPr>
                <w:rFonts w:ascii="宋体" w:hAnsi="宋体" w:eastAsia="宋体" w:cs="宋体"/>
                <w:b w:val="0"/>
                <w:i w:val="0"/>
                <w:color w:val="000000"/>
                <w:sz w:val="17"/>
              </w:rPr>
              <w:t>16.63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17.18</w:t>
            </w:r>
          </w:p>
        </w:tc>
        <w:tc>
          <w:tcPr>
            <w:tcW w:w="1440" w:type="dxa"/>
            <w:vAlign w:val="center"/>
          </w:tcPr>
          <w:p>
            <w:pPr>
              <w:jc w:val="right"/>
            </w:pPr>
            <w:r>
              <w:rPr>
                <w:rFonts w:ascii="宋体" w:hAnsi="宋体" w:eastAsia="宋体" w:cs="宋体"/>
                <w:b w:val="0"/>
                <w:i w:val="0"/>
                <w:color w:val="000000"/>
                <w:sz w:val="17"/>
              </w:rPr>
              <w:t>17.18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17.18</w:t>
            </w:r>
          </w:p>
        </w:tc>
        <w:tc>
          <w:tcPr>
            <w:tcW w:w="1440" w:type="dxa"/>
            <w:vAlign w:val="center"/>
          </w:tcPr>
          <w:p>
            <w:pPr>
              <w:jc w:val="right"/>
            </w:pPr>
            <w:r>
              <w:rPr>
                <w:rFonts w:ascii="宋体" w:hAnsi="宋体" w:eastAsia="宋体" w:cs="宋体"/>
                <w:b w:val="0"/>
                <w:i w:val="0"/>
                <w:color w:val="000000"/>
                <w:sz w:val="17"/>
              </w:rPr>
              <w:t>17.18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8.42</w:t>
            </w:r>
          </w:p>
        </w:tc>
        <w:tc>
          <w:tcPr>
            <w:tcW w:w="1440" w:type="dxa"/>
            <w:vAlign w:val="center"/>
          </w:tcPr>
          <w:p>
            <w:pPr>
              <w:jc w:val="right"/>
            </w:pPr>
            <w:r>
              <w:rPr>
                <w:rFonts w:ascii="宋体" w:hAnsi="宋体" w:eastAsia="宋体" w:cs="宋体"/>
                <w:b w:val="0"/>
                <w:i w:val="0"/>
                <w:color w:val="000000"/>
                <w:sz w:val="17"/>
              </w:rPr>
              <w:t>8.42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8.76</w:t>
            </w:r>
          </w:p>
        </w:tc>
        <w:tc>
          <w:tcPr>
            <w:tcW w:w="1440" w:type="dxa"/>
            <w:vAlign w:val="center"/>
          </w:tcPr>
          <w:p>
            <w:pPr>
              <w:jc w:val="right"/>
            </w:pPr>
            <w:r>
              <w:rPr>
                <w:rFonts w:ascii="宋体" w:hAnsi="宋体" w:eastAsia="宋体" w:cs="宋体"/>
                <w:b w:val="0"/>
                <w:i w:val="0"/>
                <w:color w:val="000000"/>
                <w:sz w:val="17"/>
              </w:rPr>
              <w:t>8.76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15.74</w:t>
            </w:r>
          </w:p>
        </w:tc>
        <w:tc>
          <w:tcPr>
            <w:tcW w:w="1440" w:type="dxa"/>
            <w:vAlign w:val="center"/>
          </w:tcPr>
          <w:p>
            <w:pPr>
              <w:jc w:val="right"/>
            </w:pPr>
            <w:r>
              <w:rPr>
                <w:rFonts w:ascii="宋体" w:hAnsi="宋体" w:eastAsia="宋体" w:cs="宋体"/>
                <w:b w:val="0"/>
                <w:i w:val="0"/>
                <w:color w:val="000000"/>
                <w:sz w:val="17"/>
              </w:rPr>
              <w:t>15.74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15.74</w:t>
            </w:r>
          </w:p>
        </w:tc>
        <w:tc>
          <w:tcPr>
            <w:tcW w:w="1440" w:type="dxa"/>
            <w:vAlign w:val="center"/>
          </w:tcPr>
          <w:p>
            <w:pPr>
              <w:jc w:val="right"/>
            </w:pPr>
            <w:r>
              <w:rPr>
                <w:rFonts w:ascii="宋体" w:hAnsi="宋体" w:eastAsia="宋体" w:cs="宋体"/>
                <w:b w:val="0"/>
                <w:i w:val="0"/>
                <w:color w:val="000000"/>
                <w:sz w:val="17"/>
              </w:rPr>
              <w:t>15.74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15.74</w:t>
            </w:r>
          </w:p>
        </w:tc>
        <w:tc>
          <w:tcPr>
            <w:tcW w:w="1440" w:type="dxa"/>
            <w:vAlign w:val="center"/>
          </w:tcPr>
          <w:p>
            <w:pPr>
              <w:jc w:val="right"/>
            </w:pPr>
            <w:r>
              <w:rPr>
                <w:rFonts w:ascii="宋体" w:hAnsi="宋体" w:eastAsia="宋体" w:cs="宋体"/>
                <w:b w:val="0"/>
                <w:i w:val="0"/>
                <w:color w:val="000000"/>
                <w:sz w:val="17"/>
              </w:rPr>
              <w:t>15.74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部门：许昌市公务接待服务中心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730.33</w:t>
            </w:r>
          </w:p>
        </w:tc>
        <w:tc>
          <w:tcPr>
            <w:tcW w:w="1600" w:type="dxa"/>
            <w:vAlign w:val="center"/>
          </w:tcPr>
          <w:p>
            <w:pPr>
              <w:jc w:val="right"/>
            </w:pPr>
            <w:r>
              <w:rPr>
                <w:rFonts w:ascii="宋体" w:hAnsi="宋体" w:eastAsia="宋体" w:cs="宋体"/>
                <w:b/>
                <w:i w:val="0"/>
                <w:color w:val="000000"/>
                <w:sz w:val="19"/>
              </w:rPr>
              <w:t>343.95</w:t>
            </w:r>
          </w:p>
        </w:tc>
        <w:tc>
          <w:tcPr>
            <w:tcW w:w="1600" w:type="dxa"/>
            <w:vAlign w:val="center"/>
          </w:tcPr>
          <w:p>
            <w:pPr>
              <w:jc w:val="right"/>
            </w:pPr>
            <w:r>
              <w:rPr>
                <w:rFonts w:ascii="宋体" w:hAnsi="宋体" w:eastAsia="宋体" w:cs="宋体"/>
                <w:b/>
                <w:i w:val="0"/>
                <w:color w:val="000000"/>
                <w:sz w:val="19"/>
              </w:rPr>
              <w:t>386.38</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677.24</w:t>
            </w:r>
          </w:p>
        </w:tc>
        <w:tc>
          <w:tcPr>
            <w:tcW w:w="1600" w:type="dxa"/>
            <w:vAlign w:val="center"/>
          </w:tcPr>
          <w:p>
            <w:pPr>
              <w:jc w:val="right"/>
            </w:pPr>
            <w:r>
              <w:rPr>
                <w:rFonts w:ascii="宋体" w:hAnsi="宋体" w:eastAsia="宋体" w:cs="宋体"/>
                <w:b w:val="0"/>
                <w:i w:val="0"/>
                <w:color w:val="000000"/>
                <w:sz w:val="19"/>
              </w:rPr>
              <w:t>290.86</w:t>
            </w:r>
          </w:p>
        </w:tc>
        <w:tc>
          <w:tcPr>
            <w:tcW w:w="1600" w:type="dxa"/>
            <w:vAlign w:val="center"/>
          </w:tcPr>
          <w:p>
            <w:pPr>
              <w:jc w:val="right"/>
            </w:pPr>
            <w:r>
              <w:rPr>
                <w:rFonts w:ascii="宋体" w:hAnsi="宋体" w:eastAsia="宋体" w:cs="宋体"/>
                <w:b w:val="0"/>
                <w:i w:val="0"/>
                <w:color w:val="000000"/>
                <w:sz w:val="19"/>
              </w:rPr>
              <w:t>386.38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w:t>
            </w:r>
          </w:p>
        </w:tc>
        <w:tc>
          <w:tcPr>
            <w:tcW w:w="3480" w:type="dxa"/>
            <w:vAlign w:val="center"/>
          </w:tcPr>
          <w:p>
            <w:pPr>
              <w:jc w:val="left"/>
            </w:pPr>
            <w:r>
              <w:rPr>
                <w:rFonts w:ascii="宋体" w:hAnsi="宋体" w:eastAsia="宋体" w:cs="宋体"/>
                <w:b w:val="0"/>
                <w:i w:val="0"/>
                <w:color w:val="000000"/>
                <w:sz w:val="19"/>
              </w:rPr>
              <w:t>政府办公厅（室）及相关机构事务</w:t>
            </w:r>
          </w:p>
        </w:tc>
        <w:tc>
          <w:tcPr>
            <w:tcW w:w="1600" w:type="dxa"/>
            <w:vAlign w:val="center"/>
          </w:tcPr>
          <w:p>
            <w:pPr>
              <w:jc w:val="right"/>
            </w:pPr>
            <w:r>
              <w:rPr>
                <w:rFonts w:ascii="宋体" w:hAnsi="宋体" w:eastAsia="宋体" w:cs="宋体"/>
                <w:b w:val="0"/>
                <w:i w:val="0"/>
                <w:color w:val="000000"/>
                <w:sz w:val="19"/>
              </w:rPr>
              <w:t>653.50</w:t>
            </w:r>
          </w:p>
        </w:tc>
        <w:tc>
          <w:tcPr>
            <w:tcW w:w="1600" w:type="dxa"/>
            <w:vAlign w:val="center"/>
          </w:tcPr>
          <w:p>
            <w:pPr>
              <w:jc w:val="right"/>
            </w:pPr>
            <w:r>
              <w:rPr>
                <w:rFonts w:ascii="宋体" w:hAnsi="宋体" w:eastAsia="宋体" w:cs="宋体"/>
                <w:b w:val="0"/>
                <w:i w:val="0"/>
                <w:color w:val="000000"/>
                <w:sz w:val="19"/>
              </w:rPr>
              <w:t>267.12</w:t>
            </w:r>
          </w:p>
        </w:tc>
        <w:tc>
          <w:tcPr>
            <w:tcW w:w="1600" w:type="dxa"/>
            <w:vAlign w:val="center"/>
          </w:tcPr>
          <w:p>
            <w:pPr>
              <w:jc w:val="right"/>
            </w:pPr>
            <w:r>
              <w:rPr>
                <w:rFonts w:ascii="宋体" w:hAnsi="宋体" w:eastAsia="宋体" w:cs="宋体"/>
                <w:b w:val="0"/>
                <w:i w:val="0"/>
                <w:color w:val="000000"/>
                <w:sz w:val="19"/>
              </w:rPr>
              <w:t>386.38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267.12</w:t>
            </w:r>
          </w:p>
        </w:tc>
        <w:tc>
          <w:tcPr>
            <w:tcW w:w="1600" w:type="dxa"/>
            <w:vAlign w:val="center"/>
          </w:tcPr>
          <w:p>
            <w:pPr>
              <w:jc w:val="right"/>
            </w:pPr>
            <w:r>
              <w:rPr>
                <w:rFonts w:ascii="宋体" w:hAnsi="宋体" w:eastAsia="宋体" w:cs="宋体"/>
                <w:b w:val="0"/>
                <w:i w:val="0"/>
                <w:color w:val="000000"/>
                <w:sz w:val="19"/>
              </w:rPr>
              <w:t>267.12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386.38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386.38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1.48</w:t>
            </w:r>
          </w:p>
        </w:tc>
        <w:tc>
          <w:tcPr>
            <w:tcW w:w="1600" w:type="dxa"/>
            <w:vAlign w:val="center"/>
          </w:tcPr>
          <w:p>
            <w:pPr>
              <w:jc w:val="right"/>
            </w:pPr>
            <w:r>
              <w:rPr>
                <w:rFonts w:ascii="宋体" w:hAnsi="宋体" w:eastAsia="宋体" w:cs="宋体"/>
                <w:b w:val="0"/>
                <w:i w:val="0"/>
                <w:color w:val="000000"/>
                <w:sz w:val="19"/>
              </w:rPr>
              <w:t>1.48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1.48</w:t>
            </w:r>
          </w:p>
        </w:tc>
        <w:tc>
          <w:tcPr>
            <w:tcW w:w="1600" w:type="dxa"/>
            <w:vAlign w:val="center"/>
          </w:tcPr>
          <w:p>
            <w:pPr>
              <w:jc w:val="right"/>
            </w:pPr>
            <w:r>
              <w:rPr>
                <w:rFonts w:ascii="宋体" w:hAnsi="宋体" w:eastAsia="宋体" w:cs="宋体"/>
                <w:b w:val="0"/>
                <w:i w:val="0"/>
                <w:color w:val="000000"/>
                <w:sz w:val="19"/>
              </w:rPr>
              <w:t>1.48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22.26</w:t>
            </w:r>
          </w:p>
        </w:tc>
        <w:tc>
          <w:tcPr>
            <w:tcW w:w="1600" w:type="dxa"/>
            <w:vAlign w:val="center"/>
          </w:tcPr>
          <w:p>
            <w:pPr>
              <w:jc w:val="right"/>
            </w:pPr>
            <w:r>
              <w:rPr>
                <w:rFonts w:ascii="宋体" w:hAnsi="宋体" w:eastAsia="宋体" w:cs="宋体"/>
                <w:b w:val="0"/>
                <w:i w:val="0"/>
                <w:color w:val="000000"/>
                <w:sz w:val="19"/>
              </w:rPr>
              <w:t>22.26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22.26</w:t>
            </w:r>
          </w:p>
        </w:tc>
        <w:tc>
          <w:tcPr>
            <w:tcW w:w="1600" w:type="dxa"/>
            <w:vAlign w:val="center"/>
          </w:tcPr>
          <w:p>
            <w:pPr>
              <w:jc w:val="right"/>
            </w:pPr>
            <w:r>
              <w:rPr>
                <w:rFonts w:ascii="宋体" w:hAnsi="宋体" w:eastAsia="宋体" w:cs="宋体"/>
                <w:b w:val="0"/>
                <w:i w:val="0"/>
                <w:color w:val="000000"/>
                <w:sz w:val="19"/>
              </w:rPr>
              <w:t>22.26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20.18</w:t>
            </w:r>
          </w:p>
        </w:tc>
        <w:tc>
          <w:tcPr>
            <w:tcW w:w="1600" w:type="dxa"/>
            <w:vAlign w:val="center"/>
          </w:tcPr>
          <w:p>
            <w:pPr>
              <w:jc w:val="right"/>
            </w:pPr>
            <w:r>
              <w:rPr>
                <w:rFonts w:ascii="宋体" w:hAnsi="宋体" w:eastAsia="宋体" w:cs="宋体"/>
                <w:b w:val="0"/>
                <w:i w:val="0"/>
                <w:color w:val="000000"/>
                <w:sz w:val="19"/>
              </w:rPr>
              <w:t>20.18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20.18</w:t>
            </w:r>
          </w:p>
        </w:tc>
        <w:tc>
          <w:tcPr>
            <w:tcW w:w="1600" w:type="dxa"/>
            <w:vAlign w:val="center"/>
          </w:tcPr>
          <w:p>
            <w:pPr>
              <w:jc w:val="right"/>
            </w:pPr>
            <w:r>
              <w:rPr>
                <w:rFonts w:ascii="宋体" w:hAnsi="宋体" w:eastAsia="宋体" w:cs="宋体"/>
                <w:b w:val="0"/>
                <w:i w:val="0"/>
                <w:color w:val="000000"/>
                <w:sz w:val="19"/>
              </w:rPr>
              <w:t>20.18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3.55</w:t>
            </w:r>
          </w:p>
        </w:tc>
        <w:tc>
          <w:tcPr>
            <w:tcW w:w="1600" w:type="dxa"/>
            <w:vAlign w:val="center"/>
          </w:tcPr>
          <w:p>
            <w:pPr>
              <w:jc w:val="right"/>
            </w:pPr>
            <w:r>
              <w:rPr>
                <w:rFonts w:ascii="宋体" w:hAnsi="宋体" w:eastAsia="宋体" w:cs="宋体"/>
                <w:b w:val="0"/>
                <w:i w:val="0"/>
                <w:color w:val="000000"/>
                <w:sz w:val="19"/>
              </w:rPr>
              <w:t>3.55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16.63</w:t>
            </w:r>
          </w:p>
        </w:tc>
        <w:tc>
          <w:tcPr>
            <w:tcW w:w="1600" w:type="dxa"/>
            <w:vAlign w:val="center"/>
          </w:tcPr>
          <w:p>
            <w:pPr>
              <w:jc w:val="right"/>
            </w:pPr>
            <w:r>
              <w:rPr>
                <w:rFonts w:ascii="宋体" w:hAnsi="宋体" w:eastAsia="宋体" w:cs="宋体"/>
                <w:b w:val="0"/>
                <w:i w:val="0"/>
                <w:color w:val="000000"/>
                <w:sz w:val="19"/>
              </w:rPr>
              <w:t>16.63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17.18</w:t>
            </w:r>
          </w:p>
        </w:tc>
        <w:tc>
          <w:tcPr>
            <w:tcW w:w="1600" w:type="dxa"/>
            <w:vAlign w:val="center"/>
          </w:tcPr>
          <w:p>
            <w:pPr>
              <w:jc w:val="right"/>
            </w:pPr>
            <w:r>
              <w:rPr>
                <w:rFonts w:ascii="宋体" w:hAnsi="宋体" w:eastAsia="宋体" w:cs="宋体"/>
                <w:b w:val="0"/>
                <w:i w:val="0"/>
                <w:color w:val="000000"/>
                <w:sz w:val="19"/>
              </w:rPr>
              <w:t>17.18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17.18</w:t>
            </w:r>
          </w:p>
        </w:tc>
        <w:tc>
          <w:tcPr>
            <w:tcW w:w="1600" w:type="dxa"/>
            <w:vAlign w:val="center"/>
          </w:tcPr>
          <w:p>
            <w:pPr>
              <w:jc w:val="right"/>
            </w:pPr>
            <w:r>
              <w:rPr>
                <w:rFonts w:ascii="宋体" w:hAnsi="宋体" w:eastAsia="宋体" w:cs="宋体"/>
                <w:b w:val="0"/>
                <w:i w:val="0"/>
                <w:color w:val="000000"/>
                <w:sz w:val="19"/>
              </w:rPr>
              <w:t>17.18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8.42</w:t>
            </w:r>
          </w:p>
        </w:tc>
        <w:tc>
          <w:tcPr>
            <w:tcW w:w="1600" w:type="dxa"/>
            <w:vAlign w:val="center"/>
          </w:tcPr>
          <w:p>
            <w:pPr>
              <w:jc w:val="right"/>
            </w:pPr>
            <w:r>
              <w:rPr>
                <w:rFonts w:ascii="宋体" w:hAnsi="宋体" w:eastAsia="宋体" w:cs="宋体"/>
                <w:b w:val="0"/>
                <w:i w:val="0"/>
                <w:color w:val="000000"/>
                <w:sz w:val="19"/>
              </w:rPr>
              <w:t>8.42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8.76</w:t>
            </w:r>
          </w:p>
        </w:tc>
        <w:tc>
          <w:tcPr>
            <w:tcW w:w="1600" w:type="dxa"/>
            <w:vAlign w:val="center"/>
          </w:tcPr>
          <w:p>
            <w:pPr>
              <w:jc w:val="right"/>
            </w:pPr>
            <w:r>
              <w:rPr>
                <w:rFonts w:ascii="宋体" w:hAnsi="宋体" w:eastAsia="宋体" w:cs="宋体"/>
                <w:b w:val="0"/>
                <w:i w:val="0"/>
                <w:color w:val="000000"/>
                <w:sz w:val="19"/>
              </w:rPr>
              <w:t>8.76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15.74</w:t>
            </w:r>
          </w:p>
        </w:tc>
        <w:tc>
          <w:tcPr>
            <w:tcW w:w="1600" w:type="dxa"/>
            <w:vAlign w:val="center"/>
          </w:tcPr>
          <w:p>
            <w:pPr>
              <w:jc w:val="right"/>
            </w:pPr>
            <w:r>
              <w:rPr>
                <w:rFonts w:ascii="宋体" w:hAnsi="宋体" w:eastAsia="宋体" w:cs="宋体"/>
                <w:b w:val="0"/>
                <w:i w:val="0"/>
                <w:color w:val="000000"/>
                <w:sz w:val="19"/>
              </w:rPr>
              <w:t>15.74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15.74</w:t>
            </w:r>
          </w:p>
        </w:tc>
        <w:tc>
          <w:tcPr>
            <w:tcW w:w="1600" w:type="dxa"/>
            <w:vAlign w:val="center"/>
          </w:tcPr>
          <w:p>
            <w:pPr>
              <w:jc w:val="right"/>
            </w:pPr>
            <w:r>
              <w:rPr>
                <w:rFonts w:ascii="宋体" w:hAnsi="宋体" w:eastAsia="宋体" w:cs="宋体"/>
                <w:b w:val="0"/>
                <w:i w:val="0"/>
                <w:color w:val="000000"/>
                <w:sz w:val="19"/>
              </w:rPr>
              <w:t>15.74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15.74</w:t>
            </w:r>
          </w:p>
        </w:tc>
        <w:tc>
          <w:tcPr>
            <w:tcW w:w="1600" w:type="dxa"/>
            <w:vAlign w:val="center"/>
          </w:tcPr>
          <w:p>
            <w:pPr>
              <w:jc w:val="right"/>
            </w:pPr>
            <w:r>
              <w:rPr>
                <w:rFonts w:ascii="宋体" w:hAnsi="宋体" w:eastAsia="宋体" w:cs="宋体"/>
                <w:b w:val="0"/>
                <w:i w:val="0"/>
                <w:color w:val="000000"/>
                <w:sz w:val="19"/>
              </w:rPr>
              <w:t>15.74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部门：许昌市公务接待服务中心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730.33</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677.23</w:t>
            </w:r>
          </w:p>
        </w:tc>
        <w:tc>
          <w:tcPr>
            <w:tcW w:w="1420" w:type="dxa"/>
            <w:vAlign w:val="center"/>
          </w:tcPr>
          <w:p>
            <w:pPr>
              <w:jc w:val="right"/>
            </w:pPr>
            <w:r>
              <w:rPr>
                <w:rFonts w:ascii="宋体" w:hAnsi="宋体" w:eastAsia="宋体" w:cs="宋体"/>
                <w:b w:val="0"/>
                <w:i w:val="0"/>
                <w:color w:val="000000"/>
                <w:sz w:val="18"/>
              </w:rPr>
              <w:t>677.23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20.18</w:t>
            </w:r>
          </w:p>
        </w:tc>
        <w:tc>
          <w:tcPr>
            <w:tcW w:w="1420" w:type="dxa"/>
            <w:vAlign w:val="center"/>
          </w:tcPr>
          <w:p>
            <w:pPr>
              <w:jc w:val="right"/>
            </w:pPr>
            <w:r>
              <w:rPr>
                <w:rFonts w:ascii="宋体" w:hAnsi="宋体" w:eastAsia="宋体" w:cs="宋体"/>
                <w:b w:val="0"/>
                <w:i w:val="0"/>
                <w:color w:val="000000"/>
                <w:sz w:val="18"/>
              </w:rPr>
              <w:t>20.18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17.18</w:t>
            </w:r>
          </w:p>
        </w:tc>
        <w:tc>
          <w:tcPr>
            <w:tcW w:w="1420" w:type="dxa"/>
            <w:vAlign w:val="center"/>
          </w:tcPr>
          <w:p>
            <w:pPr>
              <w:jc w:val="right"/>
            </w:pPr>
            <w:r>
              <w:rPr>
                <w:rFonts w:ascii="宋体" w:hAnsi="宋体" w:eastAsia="宋体" w:cs="宋体"/>
                <w:b w:val="0"/>
                <w:i w:val="0"/>
                <w:color w:val="000000"/>
                <w:sz w:val="18"/>
              </w:rPr>
              <w:t>17.18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15.74</w:t>
            </w:r>
          </w:p>
        </w:tc>
        <w:tc>
          <w:tcPr>
            <w:tcW w:w="1420" w:type="dxa"/>
            <w:vAlign w:val="center"/>
          </w:tcPr>
          <w:p>
            <w:pPr>
              <w:jc w:val="right"/>
            </w:pPr>
            <w:r>
              <w:rPr>
                <w:rFonts w:ascii="宋体" w:hAnsi="宋体" w:eastAsia="宋体" w:cs="宋体"/>
                <w:b w:val="0"/>
                <w:i w:val="0"/>
                <w:color w:val="000000"/>
                <w:sz w:val="18"/>
              </w:rPr>
              <w:t>15.74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730.33</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730.33</w:t>
            </w:r>
          </w:p>
        </w:tc>
        <w:tc>
          <w:tcPr>
            <w:tcW w:w="1420" w:type="dxa"/>
            <w:vAlign w:val="center"/>
          </w:tcPr>
          <w:p>
            <w:pPr>
              <w:jc w:val="right"/>
            </w:pPr>
            <w:r>
              <w:rPr>
                <w:rFonts w:ascii="宋体" w:hAnsi="宋体" w:eastAsia="宋体" w:cs="宋体"/>
                <w:b w:val="0"/>
                <w:i w:val="0"/>
                <w:color w:val="000000"/>
                <w:sz w:val="18"/>
              </w:rPr>
              <w:t>730.33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730.33</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730.33</w:t>
            </w:r>
          </w:p>
        </w:tc>
        <w:tc>
          <w:tcPr>
            <w:tcW w:w="1420" w:type="dxa"/>
            <w:vAlign w:val="center"/>
          </w:tcPr>
          <w:p>
            <w:pPr>
              <w:jc w:val="right"/>
            </w:pPr>
            <w:r>
              <w:rPr>
                <w:rFonts w:ascii="宋体" w:hAnsi="宋体" w:eastAsia="宋体" w:cs="宋体"/>
                <w:b w:val="0"/>
                <w:i w:val="0"/>
                <w:color w:val="000000"/>
                <w:sz w:val="18"/>
              </w:rPr>
              <w:t>730.33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部门：许昌市公务接待服务中心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730.33</w:t>
            </w:r>
          </w:p>
        </w:tc>
        <w:tc>
          <w:tcPr>
            <w:tcW w:w="2700" w:type="dxa"/>
            <w:vAlign w:val="center"/>
          </w:tcPr>
          <w:p>
            <w:pPr>
              <w:jc w:val="right"/>
            </w:pPr>
            <w:r>
              <w:rPr>
                <w:rFonts w:ascii="宋体" w:hAnsi="宋体" w:eastAsia="宋体" w:cs="宋体"/>
                <w:b/>
                <w:i w:val="0"/>
                <w:color w:val="000000"/>
                <w:sz w:val="25"/>
              </w:rPr>
              <w:t>343.95</w:t>
            </w:r>
          </w:p>
        </w:tc>
        <w:tc>
          <w:tcPr>
            <w:tcW w:w="2658" w:type="dxa"/>
            <w:vAlign w:val="center"/>
          </w:tcPr>
          <w:p>
            <w:pPr>
              <w:jc w:val="right"/>
            </w:pPr>
            <w:r>
              <w:rPr>
                <w:rFonts w:ascii="宋体" w:hAnsi="宋体" w:eastAsia="宋体" w:cs="宋体"/>
                <w:b/>
                <w:i w:val="0"/>
                <w:color w:val="000000"/>
                <w:sz w:val="25"/>
              </w:rPr>
              <w:t>386.38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677.24</w:t>
            </w:r>
          </w:p>
        </w:tc>
        <w:tc>
          <w:tcPr>
            <w:tcW w:w="2700" w:type="dxa"/>
            <w:vAlign w:val="center"/>
          </w:tcPr>
          <w:p>
            <w:pPr>
              <w:jc w:val="right"/>
            </w:pPr>
            <w:r>
              <w:rPr>
                <w:rFonts w:ascii="宋体" w:hAnsi="宋体" w:eastAsia="宋体" w:cs="宋体"/>
                <w:b w:val="0"/>
                <w:i w:val="0"/>
                <w:color w:val="000000"/>
                <w:sz w:val="25"/>
              </w:rPr>
              <w:t>290.86</w:t>
            </w:r>
          </w:p>
        </w:tc>
        <w:tc>
          <w:tcPr>
            <w:tcW w:w="2658" w:type="dxa"/>
            <w:vAlign w:val="center"/>
          </w:tcPr>
          <w:p>
            <w:pPr>
              <w:jc w:val="right"/>
            </w:pPr>
            <w:r>
              <w:rPr>
                <w:rFonts w:ascii="宋体" w:hAnsi="宋体" w:eastAsia="宋体" w:cs="宋体"/>
                <w:b w:val="0"/>
                <w:i w:val="0"/>
                <w:color w:val="000000"/>
                <w:sz w:val="25"/>
              </w:rPr>
              <w:t>386.38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w:t>
            </w:r>
          </w:p>
        </w:tc>
        <w:tc>
          <w:tcPr>
            <w:tcW w:w="4700" w:type="dxa"/>
            <w:vAlign w:val="center"/>
          </w:tcPr>
          <w:p>
            <w:pPr>
              <w:jc w:val="left"/>
            </w:pPr>
            <w:r>
              <w:rPr>
                <w:rFonts w:ascii="宋体" w:hAnsi="宋体" w:eastAsia="宋体" w:cs="宋体"/>
                <w:b w:val="0"/>
                <w:i w:val="0"/>
                <w:color w:val="000000"/>
                <w:sz w:val="25"/>
              </w:rPr>
              <w:t>政府办公厅（室）及相关机构事务</w:t>
            </w:r>
          </w:p>
        </w:tc>
        <w:tc>
          <w:tcPr>
            <w:tcW w:w="2700" w:type="dxa"/>
            <w:vAlign w:val="center"/>
          </w:tcPr>
          <w:p>
            <w:pPr>
              <w:jc w:val="right"/>
            </w:pPr>
            <w:r>
              <w:rPr>
                <w:rFonts w:ascii="宋体" w:hAnsi="宋体" w:eastAsia="宋体" w:cs="宋体"/>
                <w:b w:val="0"/>
                <w:i w:val="0"/>
                <w:color w:val="000000"/>
                <w:sz w:val="25"/>
              </w:rPr>
              <w:t>653.50</w:t>
            </w:r>
          </w:p>
        </w:tc>
        <w:tc>
          <w:tcPr>
            <w:tcW w:w="2700" w:type="dxa"/>
            <w:vAlign w:val="center"/>
          </w:tcPr>
          <w:p>
            <w:pPr>
              <w:jc w:val="right"/>
            </w:pPr>
            <w:r>
              <w:rPr>
                <w:rFonts w:ascii="宋体" w:hAnsi="宋体" w:eastAsia="宋体" w:cs="宋体"/>
                <w:b w:val="0"/>
                <w:i w:val="0"/>
                <w:color w:val="000000"/>
                <w:sz w:val="25"/>
              </w:rPr>
              <w:t>267.12</w:t>
            </w:r>
          </w:p>
        </w:tc>
        <w:tc>
          <w:tcPr>
            <w:tcW w:w="2658" w:type="dxa"/>
            <w:vAlign w:val="center"/>
          </w:tcPr>
          <w:p>
            <w:pPr>
              <w:jc w:val="right"/>
            </w:pPr>
            <w:r>
              <w:rPr>
                <w:rFonts w:ascii="宋体" w:hAnsi="宋体" w:eastAsia="宋体" w:cs="宋体"/>
                <w:b w:val="0"/>
                <w:i w:val="0"/>
                <w:color w:val="000000"/>
                <w:sz w:val="25"/>
              </w:rPr>
              <w:t>386.38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267.12</w:t>
            </w:r>
          </w:p>
        </w:tc>
        <w:tc>
          <w:tcPr>
            <w:tcW w:w="2700" w:type="dxa"/>
            <w:vAlign w:val="center"/>
          </w:tcPr>
          <w:p>
            <w:pPr>
              <w:jc w:val="right"/>
            </w:pPr>
            <w:r>
              <w:rPr>
                <w:rFonts w:ascii="宋体" w:hAnsi="宋体" w:eastAsia="宋体" w:cs="宋体"/>
                <w:b w:val="0"/>
                <w:i w:val="0"/>
                <w:color w:val="000000"/>
                <w:sz w:val="25"/>
              </w:rPr>
              <w:t>267.12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386.38</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386.38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1.48</w:t>
            </w:r>
          </w:p>
        </w:tc>
        <w:tc>
          <w:tcPr>
            <w:tcW w:w="2700" w:type="dxa"/>
            <w:vAlign w:val="center"/>
          </w:tcPr>
          <w:p>
            <w:pPr>
              <w:jc w:val="right"/>
            </w:pPr>
            <w:r>
              <w:rPr>
                <w:rFonts w:ascii="宋体" w:hAnsi="宋体" w:eastAsia="宋体" w:cs="宋体"/>
                <w:b w:val="0"/>
                <w:i w:val="0"/>
                <w:color w:val="000000"/>
                <w:sz w:val="25"/>
              </w:rPr>
              <w:t>1.48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1.48</w:t>
            </w:r>
          </w:p>
        </w:tc>
        <w:tc>
          <w:tcPr>
            <w:tcW w:w="2700" w:type="dxa"/>
            <w:vAlign w:val="center"/>
          </w:tcPr>
          <w:p>
            <w:pPr>
              <w:jc w:val="right"/>
            </w:pPr>
            <w:r>
              <w:rPr>
                <w:rFonts w:ascii="宋体" w:hAnsi="宋体" w:eastAsia="宋体" w:cs="宋体"/>
                <w:b w:val="0"/>
                <w:i w:val="0"/>
                <w:color w:val="000000"/>
                <w:sz w:val="25"/>
              </w:rPr>
              <w:t>1.48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22.26</w:t>
            </w:r>
          </w:p>
        </w:tc>
        <w:tc>
          <w:tcPr>
            <w:tcW w:w="2700" w:type="dxa"/>
            <w:vAlign w:val="center"/>
          </w:tcPr>
          <w:p>
            <w:pPr>
              <w:jc w:val="right"/>
            </w:pPr>
            <w:r>
              <w:rPr>
                <w:rFonts w:ascii="宋体" w:hAnsi="宋体" w:eastAsia="宋体" w:cs="宋体"/>
                <w:b w:val="0"/>
                <w:i w:val="0"/>
                <w:color w:val="000000"/>
                <w:sz w:val="25"/>
              </w:rPr>
              <w:t>22.26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22.26</w:t>
            </w:r>
          </w:p>
        </w:tc>
        <w:tc>
          <w:tcPr>
            <w:tcW w:w="2700" w:type="dxa"/>
            <w:vAlign w:val="center"/>
          </w:tcPr>
          <w:p>
            <w:pPr>
              <w:jc w:val="right"/>
            </w:pPr>
            <w:r>
              <w:rPr>
                <w:rFonts w:ascii="宋体" w:hAnsi="宋体" w:eastAsia="宋体" w:cs="宋体"/>
                <w:b w:val="0"/>
                <w:i w:val="0"/>
                <w:color w:val="000000"/>
                <w:sz w:val="25"/>
              </w:rPr>
              <w:t>22.26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20.18</w:t>
            </w:r>
          </w:p>
        </w:tc>
        <w:tc>
          <w:tcPr>
            <w:tcW w:w="2700" w:type="dxa"/>
            <w:vAlign w:val="center"/>
          </w:tcPr>
          <w:p>
            <w:pPr>
              <w:jc w:val="right"/>
            </w:pPr>
            <w:r>
              <w:rPr>
                <w:rFonts w:ascii="宋体" w:hAnsi="宋体" w:eastAsia="宋体" w:cs="宋体"/>
                <w:b w:val="0"/>
                <w:i w:val="0"/>
                <w:color w:val="000000"/>
                <w:sz w:val="25"/>
              </w:rPr>
              <w:t>20.18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20.18</w:t>
            </w:r>
          </w:p>
        </w:tc>
        <w:tc>
          <w:tcPr>
            <w:tcW w:w="2700" w:type="dxa"/>
            <w:vAlign w:val="center"/>
          </w:tcPr>
          <w:p>
            <w:pPr>
              <w:jc w:val="right"/>
            </w:pPr>
            <w:r>
              <w:rPr>
                <w:rFonts w:ascii="宋体" w:hAnsi="宋体" w:eastAsia="宋体" w:cs="宋体"/>
                <w:b w:val="0"/>
                <w:i w:val="0"/>
                <w:color w:val="000000"/>
                <w:sz w:val="25"/>
              </w:rPr>
              <w:t>20.18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3.55</w:t>
            </w:r>
          </w:p>
        </w:tc>
        <w:tc>
          <w:tcPr>
            <w:tcW w:w="2700" w:type="dxa"/>
            <w:vAlign w:val="center"/>
          </w:tcPr>
          <w:p>
            <w:pPr>
              <w:jc w:val="right"/>
            </w:pPr>
            <w:r>
              <w:rPr>
                <w:rFonts w:ascii="宋体" w:hAnsi="宋体" w:eastAsia="宋体" w:cs="宋体"/>
                <w:b w:val="0"/>
                <w:i w:val="0"/>
                <w:color w:val="000000"/>
                <w:sz w:val="25"/>
              </w:rPr>
              <w:t>3.55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16.63</w:t>
            </w:r>
          </w:p>
        </w:tc>
        <w:tc>
          <w:tcPr>
            <w:tcW w:w="2700" w:type="dxa"/>
            <w:vAlign w:val="center"/>
          </w:tcPr>
          <w:p>
            <w:pPr>
              <w:jc w:val="right"/>
            </w:pPr>
            <w:r>
              <w:rPr>
                <w:rFonts w:ascii="宋体" w:hAnsi="宋体" w:eastAsia="宋体" w:cs="宋体"/>
                <w:b w:val="0"/>
                <w:i w:val="0"/>
                <w:color w:val="000000"/>
                <w:sz w:val="25"/>
              </w:rPr>
              <w:t>16.63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17.18</w:t>
            </w:r>
          </w:p>
        </w:tc>
        <w:tc>
          <w:tcPr>
            <w:tcW w:w="2700" w:type="dxa"/>
            <w:vAlign w:val="center"/>
          </w:tcPr>
          <w:p>
            <w:pPr>
              <w:jc w:val="right"/>
            </w:pPr>
            <w:r>
              <w:rPr>
                <w:rFonts w:ascii="宋体" w:hAnsi="宋体" w:eastAsia="宋体" w:cs="宋体"/>
                <w:b w:val="0"/>
                <w:i w:val="0"/>
                <w:color w:val="000000"/>
                <w:sz w:val="25"/>
              </w:rPr>
              <w:t>17.18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17.18</w:t>
            </w:r>
          </w:p>
        </w:tc>
        <w:tc>
          <w:tcPr>
            <w:tcW w:w="2700" w:type="dxa"/>
            <w:vAlign w:val="center"/>
          </w:tcPr>
          <w:p>
            <w:pPr>
              <w:jc w:val="right"/>
            </w:pPr>
            <w:r>
              <w:rPr>
                <w:rFonts w:ascii="宋体" w:hAnsi="宋体" w:eastAsia="宋体" w:cs="宋体"/>
                <w:b w:val="0"/>
                <w:i w:val="0"/>
                <w:color w:val="000000"/>
                <w:sz w:val="25"/>
              </w:rPr>
              <w:t>17.18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8.42</w:t>
            </w:r>
          </w:p>
        </w:tc>
        <w:tc>
          <w:tcPr>
            <w:tcW w:w="2700" w:type="dxa"/>
            <w:vAlign w:val="center"/>
          </w:tcPr>
          <w:p>
            <w:pPr>
              <w:jc w:val="right"/>
            </w:pPr>
            <w:r>
              <w:rPr>
                <w:rFonts w:ascii="宋体" w:hAnsi="宋体" w:eastAsia="宋体" w:cs="宋体"/>
                <w:b w:val="0"/>
                <w:i w:val="0"/>
                <w:color w:val="000000"/>
                <w:sz w:val="25"/>
              </w:rPr>
              <w:t>8.42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8.76</w:t>
            </w:r>
          </w:p>
        </w:tc>
        <w:tc>
          <w:tcPr>
            <w:tcW w:w="2700" w:type="dxa"/>
            <w:vAlign w:val="center"/>
          </w:tcPr>
          <w:p>
            <w:pPr>
              <w:jc w:val="right"/>
            </w:pPr>
            <w:r>
              <w:rPr>
                <w:rFonts w:ascii="宋体" w:hAnsi="宋体" w:eastAsia="宋体" w:cs="宋体"/>
                <w:b w:val="0"/>
                <w:i w:val="0"/>
                <w:color w:val="000000"/>
                <w:sz w:val="25"/>
              </w:rPr>
              <w:t>8.76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15.74</w:t>
            </w:r>
          </w:p>
        </w:tc>
        <w:tc>
          <w:tcPr>
            <w:tcW w:w="2700" w:type="dxa"/>
            <w:vAlign w:val="center"/>
          </w:tcPr>
          <w:p>
            <w:pPr>
              <w:jc w:val="right"/>
            </w:pPr>
            <w:r>
              <w:rPr>
                <w:rFonts w:ascii="宋体" w:hAnsi="宋体" w:eastAsia="宋体" w:cs="宋体"/>
                <w:b w:val="0"/>
                <w:i w:val="0"/>
                <w:color w:val="000000"/>
                <w:sz w:val="25"/>
              </w:rPr>
              <w:t>15.74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15.74</w:t>
            </w:r>
          </w:p>
        </w:tc>
        <w:tc>
          <w:tcPr>
            <w:tcW w:w="2700" w:type="dxa"/>
            <w:vAlign w:val="center"/>
          </w:tcPr>
          <w:p>
            <w:pPr>
              <w:jc w:val="right"/>
            </w:pPr>
            <w:r>
              <w:rPr>
                <w:rFonts w:ascii="宋体" w:hAnsi="宋体" w:eastAsia="宋体" w:cs="宋体"/>
                <w:b w:val="0"/>
                <w:i w:val="0"/>
                <w:color w:val="000000"/>
                <w:sz w:val="25"/>
              </w:rPr>
              <w:t>15.74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15.74</w:t>
            </w:r>
          </w:p>
        </w:tc>
        <w:tc>
          <w:tcPr>
            <w:tcW w:w="2700" w:type="dxa"/>
            <w:vAlign w:val="center"/>
          </w:tcPr>
          <w:p>
            <w:pPr>
              <w:jc w:val="right"/>
            </w:pPr>
            <w:r>
              <w:rPr>
                <w:rFonts w:ascii="宋体" w:hAnsi="宋体" w:eastAsia="宋体" w:cs="宋体"/>
                <w:b w:val="0"/>
                <w:i w:val="0"/>
                <w:color w:val="000000"/>
                <w:sz w:val="25"/>
              </w:rPr>
              <w:t>15.74</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部门：许昌市公务接待服务中心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297.09</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42.95</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6.91</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7.39</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133.81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102.83</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16.63</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0.52</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8.28</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8.90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0.10</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1.71</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15.92</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3.71</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3.91</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3.55</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1.28</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1.48</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0.36</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0.98</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15.12</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13.51</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0.96</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301.00</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42.95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部门：许昌市公务接待服务中心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部门：许昌市公务接待服务中心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0.00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部门：许昌市公务接待服务中心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420.00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20.00</w:t>
            </w:r>
          </w:p>
        </w:tc>
        <w:tc>
          <w:tcPr>
            <w:tcW w:w="1160" w:type="dxa"/>
            <w:vAlign w:val="center"/>
          </w:tcPr>
          <w:p>
            <w:pPr>
              <w:jc w:val="right"/>
            </w:pPr>
            <w:r>
              <w:rPr>
                <w:rFonts w:ascii="宋体" w:hAnsi="宋体" w:eastAsia="宋体" w:cs="宋体"/>
                <w:b w:val="0"/>
                <w:i w:val="0"/>
                <w:color w:val="000000"/>
                <w:sz w:val="17"/>
              </w:rPr>
              <w:t>400.00</w:t>
            </w:r>
          </w:p>
        </w:tc>
        <w:tc>
          <w:tcPr>
            <w:tcW w:w="1160" w:type="dxa"/>
            <w:vAlign w:val="center"/>
          </w:tcPr>
          <w:p>
            <w:pPr>
              <w:jc w:val="right"/>
            </w:pPr>
            <w:r>
              <w:rPr>
                <w:rFonts w:ascii="宋体" w:hAnsi="宋体" w:eastAsia="宋体" w:cs="宋体"/>
                <w:b w:val="0"/>
                <w:i w:val="0"/>
                <w:color w:val="000000"/>
                <w:sz w:val="17"/>
              </w:rPr>
              <w:t>378.04</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15.12</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15.12</w:t>
            </w:r>
          </w:p>
        </w:tc>
        <w:tc>
          <w:tcPr>
            <w:tcW w:w="1198" w:type="dxa"/>
            <w:vAlign w:val="center"/>
          </w:tcPr>
          <w:p>
            <w:pPr>
              <w:jc w:val="right"/>
            </w:pPr>
            <w:r>
              <w:rPr>
                <w:rFonts w:ascii="宋体" w:hAnsi="宋体" w:eastAsia="宋体" w:cs="宋体"/>
                <w:b w:val="0"/>
                <w:i w:val="0"/>
                <w:color w:val="000000"/>
                <w:sz w:val="17"/>
              </w:rPr>
              <w:t>362.92</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2023年度收、支总计均为730.33万元。与上年度相比，收、支总计各减少71.83万元，下降8.95%。主要原因是压缩支出。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度收入合计730.33万元，其中：财政拨款收入730.33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2023年度支出合计730.33万元，其中：基本支出343.95万元，占47.10%；项目支出386.38万元，占52.90%；上缴上级支出0.00万元，占0.00%；经营支出0.00万元，占0.00%；对附属单位补助支出0.00万元，占0.00%。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2023年度财政拨款收、支总计均为730.33万元。与上年度相比，财政拨款收、支总计各减少71.83万元，下降8.95%。主要原因是压缩支出。</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bookmarkStart w:id="0" w:name="_GoBack"/>
      <w:bookmarkEnd w:id="0"/>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2023年度一般公共预算财政拨款支出730.33万元，占支出合计的100.00%。与上年度相比，一般公共预算财政拨款支出减少71.83万元，下降8.95%。主要原因是压缩支出。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度一般公共预算财政拨款支出730.33万元，主要用于以下方面：一般公共服务支出（类）677.23万元，占92.73%；社会保障和就业支出（类）20.18万元，占2.76%；卫生健康支出（类）17.18万元，占2.35%；住房保障支出（类）15.74万元，占2.16%。</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2023年度一般公共预算财政拨款支出年初预算为727.50万元，支出决算为730.33万元，完成年初预算的100.39%。其中：</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1.一般公共服务支出（类）政府办公厅（室）及相关机构事务（款）行政运行（项）</w:t>
      </w:r>
      <w:r>
        <w:rPr>
          <w:rFonts w:hint="default" w:ascii="仿宋_GB2312" w:hAnsi="宋体" w:eastAsia="仿宋_GB2312" w:cs="仿宋_GB2312"/>
          <w:color w:val="000000"/>
          <w:kern w:val="0"/>
          <w:sz w:val="32"/>
          <w:szCs w:val="32"/>
          <w:lang w:val="en-US" w:eastAsia="zh-CN" w:bidi="ar"/>
        </w:rPr>
        <w:t>年初预算数为281.05万元，决算数267.12万元,完成年初预算的95.04%，决算数与年初预算数存在差异的主要原因是2023年3月在职转退休1人。</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2.一般公共服务支出（类）政府办公厅（室）及相关机构事务（款）一般行政管理事务（项）</w:t>
      </w:r>
      <w:r>
        <w:rPr>
          <w:rFonts w:hint="default" w:ascii="仿宋_GB2312" w:hAnsi="宋体" w:eastAsia="仿宋_GB2312" w:cs="仿宋_GB2312"/>
          <w:color w:val="000000"/>
          <w:kern w:val="0"/>
          <w:sz w:val="32"/>
          <w:szCs w:val="32"/>
          <w:lang w:val="en-US" w:eastAsia="zh-CN" w:bidi="ar"/>
        </w:rPr>
        <w:t>年初预算数为57.00万元，决算数386.38万元,完成年初预算的677.86%，决算数与年初预算数存在差异的主要原因是预算执行中支出功能分类科目有所调整。</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3.一般公共服务支出（类）群众团体事务（款）工会事务（项）</w:t>
      </w:r>
      <w:r>
        <w:rPr>
          <w:rFonts w:hint="default" w:ascii="仿宋_GB2312" w:hAnsi="宋体" w:eastAsia="仿宋_GB2312" w:cs="仿宋_GB2312"/>
          <w:color w:val="000000"/>
          <w:kern w:val="0"/>
          <w:sz w:val="32"/>
          <w:szCs w:val="32"/>
          <w:lang w:val="en-US" w:eastAsia="zh-CN" w:bidi="ar"/>
        </w:rPr>
        <w:t>年初预算数为1.48万元，决算数1.48万元,完成年初预算的100.00%，决算数与年初预算数不存在差异。</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4.一般公共服务支出（类）其他一般公共服务支出（款）其他一般公共服务支出（项）</w:t>
      </w:r>
      <w:r>
        <w:rPr>
          <w:rFonts w:hint="default" w:ascii="仿宋_GB2312" w:hAnsi="宋体" w:eastAsia="仿宋_GB2312" w:cs="仿宋_GB2312"/>
          <w:color w:val="000000"/>
          <w:kern w:val="0"/>
          <w:sz w:val="32"/>
          <w:szCs w:val="32"/>
          <w:lang w:val="en-US" w:eastAsia="zh-CN" w:bidi="ar"/>
        </w:rPr>
        <w:t>年初预算数为335.00万元，决算数22.26万元,完成年初预算的6.64%，决算数与年初预算数存在差异的主要原因是预算执行中支出功能分类科目有所调整。</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5.社会保障和就业支出（类）行政事业单位养老支出（款）行政单位离退休（项）</w:t>
      </w:r>
      <w:r>
        <w:rPr>
          <w:rFonts w:hint="default" w:ascii="仿宋_GB2312" w:hAnsi="宋体" w:eastAsia="仿宋_GB2312" w:cs="仿宋_GB2312"/>
          <w:color w:val="000000"/>
          <w:kern w:val="0"/>
          <w:sz w:val="32"/>
          <w:szCs w:val="32"/>
          <w:lang w:val="en-US" w:eastAsia="zh-CN" w:bidi="ar"/>
        </w:rPr>
        <w:t>年初预算数为0.00万元，决算数3.55万元,决算数与年初预算数存在差异的主要原因是2023年在职转退休1人。</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6.社会保障和就业支出（类）行政事业单位养老支出（款）机关事业单位基本养老保险缴费支出（项）</w:t>
      </w:r>
      <w:r>
        <w:rPr>
          <w:rFonts w:hint="default" w:ascii="仿宋_GB2312" w:hAnsi="宋体" w:eastAsia="仿宋_GB2312" w:cs="仿宋_GB2312"/>
          <w:color w:val="000000"/>
          <w:kern w:val="0"/>
          <w:sz w:val="32"/>
          <w:szCs w:val="32"/>
          <w:lang w:val="en-US" w:eastAsia="zh-CN" w:bidi="ar"/>
        </w:rPr>
        <w:t>年初预算数为17.48万元，决算数16.63万元,完成年初预算的95.14%，决算数与年初预算数存在差异的主要原因是2023年在职转退休1人。</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7.卫生健康支出（类）行政事业单位医疗（款）行政单位医疗（项）</w:t>
      </w:r>
      <w:r>
        <w:rPr>
          <w:rFonts w:hint="default" w:ascii="仿宋_GB2312" w:hAnsi="宋体" w:eastAsia="仿宋_GB2312" w:cs="仿宋_GB2312"/>
          <w:color w:val="000000"/>
          <w:kern w:val="0"/>
          <w:sz w:val="32"/>
          <w:szCs w:val="32"/>
          <w:lang w:val="en-US" w:eastAsia="zh-CN" w:bidi="ar"/>
        </w:rPr>
        <w:t>年初预算数为9.20万元，决算数8.42万元,完成年初预算的91.52%，决算数与年初预算数存在差异的主要原因是2023年在职转退休1人。</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8.卫生健康支出（类）行政事业单位医疗（款）公务员医疗补助（项）</w:t>
      </w:r>
      <w:r>
        <w:rPr>
          <w:rFonts w:hint="default" w:ascii="仿宋_GB2312" w:hAnsi="宋体" w:eastAsia="仿宋_GB2312" w:cs="仿宋_GB2312"/>
          <w:color w:val="000000"/>
          <w:kern w:val="0"/>
          <w:sz w:val="32"/>
          <w:szCs w:val="32"/>
          <w:lang w:val="en-US" w:eastAsia="zh-CN" w:bidi="ar"/>
        </w:rPr>
        <w:t>年初预算数为8.76万元，决算数8.76万元,完成年初预算的100.00%，决算数与年初预算数不存在差异。</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9.住房保障支出（类）住房改革支出（款）住房公积金（项）</w:t>
      </w:r>
      <w:r>
        <w:rPr>
          <w:rFonts w:hint="default" w:ascii="仿宋_GB2312" w:hAnsi="宋体" w:eastAsia="仿宋_GB2312" w:cs="仿宋_GB2312"/>
          <w:color w:val="000000"/>
          <w:kern w:val="0"/>
          <w:sz w:val="32"/>
          <w:szCs w:val="32"/>
          <w:lang w:val="en-US" w:eastAsia="zh-CN" w:bidi="ar"/>
        </w:rPr>
        <w:t>年初预算数为17.52万元，决算数15.74万元,完成年初预算的89.84%，决算数与年初预算数存在差异的主要原因是2023年在职转退休1人。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度一般公共预算财政拨款基本支出343.95万元。其中：人员经费301.00万元，主要包括：基本工资、津贴补贴、奖金、机关事业单位基本养老保险缴费、职工基本医疗保险缴费、公务员医疗补助缴费、其他社会保障缴费、住房公积金、其他工资福利支出、退休费、奖励金。公用经费42.95万元，主要包括：办公费、邮电费、差旅费、劳务费、工会经费、福利费、公务用车运行维护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_GB2312" w:hAnsi="宋体" w:eastAsia="仿宋_GB2312" w:cs="仿宋_GB2312"/>
          <w:color w:val="000000"/>
          <w:kern w:val="0"/>
          <w:sz w:val="32"/>
          <w:szCs w:val="32"/>
          <w:lang w:val="en-US" w:eastAsia="zh-CN" w:bidi="ar"/>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2023年度“三公”经费财政拨款支出预算为420.00万元，支出决算为378.04万元，完成预算的90.01%。2023年度“三公”经费支出决算数与预算数存在差异的主要原因是落实过紧日子，压缩支出。</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度“三公”经费财政拨款支出决算中，因公出国（境）费支出决算0.00万元，占0.00%；公务用车购置及运行费支出决算15.12万元,完成预算的75.60%，占4.00%；公务接待费支出决算362.92万元，完成预算的90.73%，占96.00%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1.因公出国（境）费</w:t>
      </w:r>
      <w:r>
        <w:rPr>
          <w:rFonts w:hint="eastAsia" w:ascii="仿宋_GB2312" w:hAnsi="宋体" w:eastAsia="仿宋_GB2312" w:cs="仿宋_GB2312"/>
          <w:color w:val="000000"/>
          <w:kern w:val="0"/>
          <w:sz w:val="32"/>
          <w:szCs w:val="32"/>
          <w:lang w:val="en-US" w:eastAsia="zh-CN" w:bidi="ar"/>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2.公务用车购置及运行费</w:t>
      </w:r>
      <w:r>
        <w:rPr>
          <w:rFonts w:hint="eastAsia" w:ascii="仿宋_GB2312" w:hAnsi="宋体" w:eastAsia="仿宋_GB2312" w:cs="仿宋_GB2312"/>
          <w:color w:val="000000"/>
          <w:kern w:val="0"/>
          <w:sz w:val="32"/>
          <w:szCs w:val="32"/>
          <w:lang w:val="en-US" w:eastAsia="zh-CN" w:bidi="ar"/>
        </w:rPr>
        <w:t>预算为20.00万元，支出决算为15.12万元，完成预算的75.60%。决算数与预算数存在差异的主要原因是落实过紧日子，压缩支出。其中：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公务用车购置支出</w:t>
      </w:r>
      <w:r>
        <w:rPr>
          <w:rFonts w:hint="eastAsia" w:ascii="仿宋_GB2312" w:hAnsi="宋体" w:eastAsia="仿宋_GB2312" w:cs="仿宋_GB2312"/>
          <w:color w:val="000000"/>
          <w:kern w:val="0"/>
          <w:sz w:val="32"/>
          <w:szCs w:val="32"/>
          <w:lang w:val="en-US" w:eastAsia="zh-CN" w:bidi="ar"/>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公务用车运行维护支出</w:t>
      </w:r>
      <w:r>
        <w:rPr>
          <w:rFonts w:hint="eastAsia" w:ascii="仿宋_GB2312" w:hAnsi="宋体" w:eastAsia="仿宋_GB2312" w:cs="仿宋_GB2312"/>
          <w:color w:val="000000"/>
          <w:kern w:val="0"/>
          <w:sz w:val="32"/>
          <w:szCs w:val="32"/>
          <w:lang w:val="en-US" w:eastAsia="zh-CN" w:bidi="ar"/>
        </w:rPr>
        <w:t>15.12万元。主要用于车辆维修、车辆油耗、路桥及车辆保险等支出。2023年期末，部门开支财政拨款的公务用车保有量为3辆。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3.公务接待费</w:t>
      </w:r>
      <w:r>
        <w:rPr>
          <w:rFonts w:hint="eastAsia" w:ascii="仿宋_GB2312" w:hAnsi="宋体" w:eastAsia="仿宋_GB2312" w:cs="仿宋_GB2312"/>
          <w:color w:val="000000"/>
          <w:kern w:val="0"/>
          <w:sz w:val="32"/>
          <w:szCs w:val="32"/>
          <w:lang w:val="en-US" w:eastAsia="zh-CN" w:bidi="ar"/>
        </w:rPr>
        <w:t>预算为400.00万元，支出决算为362.92万元，完成预算的90.73%。决算数与预算数存在差异的主要原因是落实过紧日子，压缩支出。其中：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外宾接待支出</w:t>
      </w:r>
      <w:r>
        <w:rPr>
          <w:rFonts w:hint="eastAsia" w:ascii="仿宋_GB2312" w:hAnsi="宋体" w:eastAsia="仿宋_GB2312" w:cs="仿宋_GB2312"/>
          <w:color w:val="000000"/>
          <w:kern w:val="0"/>
          <w:sz w:val="32"/>
          <w:szCs w:val="32"/>
          <w:lang w:val="en-US" w:eastAsia="zh-CN" w:bidi="ar"/>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其他国内公务接待支出</w:t>
      </w:r>
      <w:r>
        <w:rPr>
          <w:rFonts w:hint="eastAsia" w:ascii="仿宋_GB2312" w:hAnsi="宋体" w:eastAsia="仿宋_GB2312" w:cs="仿宋_GB2312"/>
          <w:color w:val="000000"/>
          <w:kern w:val="0"/>
          <w:sz w:val="32"/>
          <w:szCs w:val="32"/>
          <w:lang w:val="en-US" w:eastAsia="zh-CN" w:bidi="ar"/>
        </w:rPr>
        <w:t>362.92万元。主要用于接待来许的副部级以上领导同志、省（直辖市、自治区）四大机关及兄弟地市四大机关副厅级以上领导同志、来许的省直部门正厅级领导同志、全国和省四大机关在我市召开的各类重要会议、国家和省四大机关来许的工作组、检查组、调研组等。2023年共接待国内来访团组3000个、来宾20000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_GB2312" w:hAnsi="宋体" w:eastAsia="仿宋_GB2312" w:cs="仿宋_GB2312"/>
          <w:color w:val="000000"/>
          <w:kern w:val="0"/>
          <w:sz w:val="32"/>
          <w:szCs w:val="32"/>
          <w:lang w:val="en-US" w:eastAsia="zh-CN" w:bidi="ar"/>
        </w:rPr>
        <w:t>2023年度机关运行经费支出42.95万元，较2022年度增长2.87万元，增长7.16%，主要原因是车辆老化，油修费用增加，公车运行维护费增加。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2023年期末，本部门共有车辆3辆，其中：省级领导干部用车0辆、主要领导干部用车0辆、机要通信用车0辆、应急保障车0辆、执法执勤用车0辆、特种专业技术用车0</w:t>
      </w:r>
      <w:r>
        <w:rPr>
          <w:rFonts w:hint="eastAsia" w:ascii="仿宋_GB2312" w:hAnsi="宋体" w:eastAsia="仿宋_GB2312" w:cs="仿宋_GB2312"/>
          <w:color w:val="000000"/>
          <w:kern w:val="0"/>
          <w:sz w:val="32"/>
          <w:szCs w:val="32"/>
          <w:lang w:val="en-US" w:eastAsia="zh-CN" w:bidi="ar"/>
        </w:rPr>
        <w:tab/>
      </w:r>
      <w:r>
        <w:rPr>
          <w:rFonts w:hint="eastAsia" w:ascii="仿宋_GB2312" w:hAnsi="宋体" w:eastAsia="仿宋_GB2312" w:cs="仿宋_GB2312"/>
          <w:color w:val="000000"/>
          <w:kern w:val="0"/>
          <w:sz w:val="32"/>
          <w:szCs w:val="32"/>
          <w:lang w:val="en-US" w:eastAsia="zh-CN" w:bidi="ar"/>
        </w:rPr>
        <w:t>辆、离退休干部用车0辆、其他用车3辆；单价100万元（含）以上设备（不含车辆）0台（套）。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_GB2312" w:hAnsi="宋体" w:eastAsia="仿宋_GB2312" w:cs="仿宋_GB2312"/>
          <w:color w:val="000000"/>
          <w:kern w:val="0"/>
          <w:sz w:val="32"/>
          <w:szCs w:val="32"/>
          <w:lang w:val="en-US" w:eastAsia="zh-CN" w:bidi="ar"/>
        </w:rPr>
        <w:t>我部门对本部门2023年度的整体支出和项目支出绩效目标进行了自评。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1.部门整体绩效自评。</w:t>
      </w:r>
      <w:r>
        <w:rPr>
          <w:rFonts w:hint="eastAsia" w:ascii="仿宋_GB2312" w:hAnsi="宋体" w:eastAsia="仿宋_GB2312" w:cs="仿宋_GB2312"/>
          <w:color w:val="000000"/>
          <w:kern w:val="0"/>
          <w:sz w:val="32"/>
          <w:szCs w:val="32"/>
          <w:lang w:val="en-US" w:eastAsia="zh-CN" w:bidi="ar"/>
        </w:rPr>
        <w:t>涉及预算资金864.06万元。自评得分为98.53分，等级为“优</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。从部门整体自评情况来看，我部门按照《中共许昌市委 许昌市人民政府关于全面实施预算绩效管理的实施意见》（许发〔2021〕13号）文件要求，对本部门整体支出和项目支出开展全过程预算绩效管理。我部门不断强化预算绩效管理，积极参加财政组织的各项培训，并将培训内容及精神及时传达给业务科室组织大家共同学习，务求将预算绩效管理纳入到日常工作中。绩效监控项目为专项接待经费，年中和年终都进行绩效自评，并将结果运用到日常的管理当中，看是否有偏差，如有偏差及时进行管理、纠正。下一步，我们将结合工作实际，进一步完善单位内部制度，制定单位预算绩效、政府采购、合同管理、内部控制等管理制度，确保工作开展程序化、规范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2.项目绩效自评。</w:t>
      </w:r>
      <w:r>
        <w:rPr>
          <w:rFonts w:hint="eastAsia" w:ascii="仿宋_GB2312" w:hAnsi="宋体" w:eastAsia="仿宋_GB2312" w:cs="仿宋_GB2312"/>
          <w:color w:val="000000"/>
          <w:kern w:val="0"/>
          <w:sz w:val="32"/>
          <w:szCs w:val="32"/>
          <w:lang w:val="en-US" w:eastAsia="zh-CN" w:bidi="ar"/>
        </w:rPr>
        <w:t>基于项目预期目标的实现程度，我部门对2023年度部门预算项目支出（含部门参与分配的转移支付项目）开展绩效自评，涉及项目1个，项目金额324.71万元。其中：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专项接待经费”项目绩效自评综述：根据年初设定的绩效目标，项目自评得分为97.04分，等级为“优”。全年预算数为324.71万元，执行数228.42万元，完成项目预算的70.35%。项目绩效目标完成情况：按时圆满完成各项接待活动。预算执行数与预算数偏差29.6%。下一步改进措施：进一步科学编制预算，提高预算资金精准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从项目绩效自评情况来看，我部门对本部门项目支出绩效目标进行了自评。一是2023年本部门紧紧围绕市委市政府的中心工作，较好的完成了各项目标任务，取得了较好的社会效益。二是我部门共有1个项目批复了绩效目标，项目金额324.71万元。基于项目预期目标的实现程度，对2023年度项目支出绩效进行自评，绩效自评平均得分为97.04分。其中：1个项目评价等级为“优”、0个项目评价等级为“良”、0个项目评价等级为“中”、0个项目评价等级为“差”。2023年我部门存在对项目绩效目标设立简单，绩效管理目标制定还不够科学等问题。下一步我们将加强绩效目标意识，提高绩效目标申报的规范性，加强绩效目标管理培训，提升绩效目标制定的合理性，使绩效目标考核具有可操作性。</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_GB2312" w:hAnsi="宋体" w:eastAsia="仿宋_GB2312" w:cs="仿宋_GB2312"/>
          <w:color w:val="000000"/>
          <w:kern w:val="0"/>
          <w:sz w:val="32"/>
          <w:szCs w:val="32"/>
          <w:lang w:val="en-US" w:eastAsia="zh-CN" w:bidi="ar"/>
        </w:rPr>
        <w:sectPr>
          <w:pgSz w:w="11906" w:h="16838"/>
          <w:pgMar w:top="2098" w:right="1474" w:bottom="1984" w:left="1587" w:header="720" w:footer="720" w:gutter="0"/>
          <w:pgNumType w:fmt="numberInDash"/>
          <w:cols w:space="425" w:num="1"/>
          <w:docGrid w:type="lines" w:linePitch="312" w:charSpace="0"/>
        </w:sectPr>
      </w:pP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4"/>
        <w:gridCol w:w="2204"/>
        <w:gridCol w:w="587"/>
        <w:gridCol w:w="587"/>
        <w:gridCol w:w="2454"/>
        <w:gridCol w:w="2287"/>
        <w:gridCol w:w="1015"/>
        <w:gridCol w:w="574"/>
        <w:gridCol w:w="733"/>
        <w:gridCol w:w="874"/>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许昌市公务接待服务中心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864.06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734.23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84.97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853.64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730.33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目标：为机关政务活动提供接待服务，为重要宾客、重要会议与重大活动提供接待服务。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按时圆满完成各项接待活动。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专项接待经费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为机关政务活动提供接待服务，为重要宾客、重要会议与重大活动提供接待服务。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按时圆满完成各项接待活动。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需要进一步细化资金。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年中安排专项资金。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重点接待任务完成率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公务接待任务完成率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促进许昌形象提升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展现许昌良好形象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425" w:num="1"/>
          <w:docGrid w:type="lines" w:linePitch="312" w:charSpace="0"/>
        </w:sectPr>
      </w:pP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1913"/>
        <w:gridCol w:w="3747"/>
        <w:gridCol w:w="437"/>
        <w:gridCol w:w="437"/>
        <w:gridCol w:w="2406"/>
        <w:gridCol w:w="949"/>
        <w:gridCol w:w="572"/>
        <w:gridCol w:w="733"/>
        <w:gridCol w:w="483"/>
        <w:gridCol w:w="794"/>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2023年专项接待经费项目（基本运转支出）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许昌市公务接待服务中心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许昌市公务接待服务中心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228.42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228.42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目标1：负责接待来许的国家和省委、省人大、省政府、省政协机关现职副厅级以上领导同志；兄弟市（地）现职副市（地）级以上同志；市委、市人大、市政府、市政协安排的其他重要宾客。</w:t>
            </w:r>
            <w:r>
              <w:br w:type="textWrapping"/>
            </w:r>
            <w:r>
              <w:rPr>
                <w:rFonts w:ascii="宋体" w:hAnsi="宋体" w:eastAsia="宋体" w:cs="宋体"/>
                <w:i w:val="0"/>
                <w:iCs w:val="0"/>
                <w:color w:val="000000"/>
                <w:kern w:val="0"/>
                <w:sz w:val="18"/>
                <w:szCs w:val="18"/>
                <w:u w:val="none"/>
                <w:lang w:val="en-US" w:eastAsia="zh-CN"/>
              </w:rPr>
              <w:t xml:space="preserve"> 目标2：</w:t>
            </w:r>
            <w:r>
              <w:rPr>
                <w:rFonts w:hint="eastAsia" w:ascii="宋体" w:hAnsi="宋体" w:eastAsia="宋体" w:cs="宋体"/>
                <w:i w:val="0"/>
                <w:iCs w:val="0"/>
                <w:color w:val="000000"/>
                <w:kern w:val="0"/>
                <w:sz w:val="18"/>
                <w:szCs w:val="18"/>
                <w:u w:val="none"/>
                <w:lang w:val="en-US" w:eastAsia="zh-CN"/>
              </w:rPr>
              <w:t>负责</w:t>
            </w:r>
            <w:r>
              <w:rPr>
                <w:rFonts w:ascii="宋体" w:hAnsi="宋体" w:eastAsia="宋体" w:cs="宋体"/>
                <w:i w:val="0"/>
                <w:iCs w:val="0"/>
                <w:color w:val="000000"/>
                <w:kern w:val="0"/>
                <w:sz w:val="18"/>
                <w:szCs w:val="18"/>
                <w:u w:val="none"/>
                <w:lang w:val="en-US" w:eastAsia="zh-CN"/>
              </w:rPr>
              <w:t>接待来许的省直部门正厅级领导同志。</w:t>
            </w:r>
            <w:r>
              <w:br w:type="textWrapping"/>
            </w:r>
            <w:r>
              <w:rPr>
                <w:rFonts w:ascii="宋体" w:hAnsi="宋体" w:eastAsia="宋体" w:cs="宋体"/>
                <w:i w:val="0"/>
                <w:iCs w:val="0"/>
                <w:color w:val="000000"/>
                <w:kern w:val="0"/>
                <w:sz w:val="18"/>
                <w:szCs w:val="18"/>
                <w:u w:val="none"/>
                <w:lang w:val="en-US" w:eastAsia="zh-CN"/>
              </w:rPr>
              <w:t xml:space="preserve"> 目标3：负责接待国家和省委、省人大、省政府、省政协来许的工作组、调研组、检查组。</w:t>
            </w:r>
            <w:r>
              <w:br w:type="textWrapping"/>
            </w:r>
            <w:r>
              <w:rPr>
                <w:rFonts w:ascii="宋体" w:hAnsi="宋体" w:eastAsia="宋体" w:cs="宋体"/>
                <w:i w:val="0"/>
                <w:iCs w:val="0"/>
                <w:color w:val="000000"/>
                <w:kern w:val="0"/>
                <w:sz w:val="18"/>
                <w:szCs w:val="18"/>
                <w:u w:val="none"/>
                <w:lang w:val="en-US" w:eastAsia="zh-CN"/>
              </w:rPr>
              <w:t xml:space="preserve"> 目标4：协助安排市有关部门组织的大型视察团（组）。                                                                                                                                                                                 目标5：协助做好国家、省在许召开的重要会议和重大节庆活动的接待服务工作。</w:t>
            </w:r>
            <w:r>
              <w:br w:type="textWrapping"/>
            </w:r>
            <w:r>
              <w:rPr>
                <w:rFonts w:ascii="宋体" w:hAnsi="宋体" w:eastAsia="宋体" w:cs="宋体"/>
                <w:i w:val="0"/>
                <w:iCs w:val="0"/>
                <w:color w:val="000000"/>
                <w:kern w:val="0"/>
                <w:sz w:val="18"/>
                <w:szCs w:val="18"/>
                <w:u w:val="none"/>
                <w:lang w:val="en-US" w:eastAsia="zh-CN"/>
              </w:rPr>
              <w:t xml:space="preserve"> 目标6：为赴外地的重要公务活动提供联络、服务保障工作。</w:t>
            </w:r>
            <w:r>
              <w:br w:type="textWrapping"/>
            </w:r>
            <w:r>
              <w:rPr>
                <w:rFonts w:ascii="宋体" w:hAnsi="宋体" w:eastAsia="宋体" w:cs="宋体"/>
                <w:i w:val="0"/>
                <w:iCs w:val="0"/>
                <w:color w:val="000000"/>
                <w:kern w:val="0"/>
                <w:sz w:val="18"/>
                <w:szCs w:val="18"/>
                <w:u w:val="none"/>
                <w:lang w:val="en-US" w:eastAsia="zh-CN"/>
              </w:rPr>
              <w:t xml:space="preserve"> 目标7：负责接待应市委、市政府邀请前来考察、访问的国内外重要宾客。                                                                        目标8：配合外事部门做好重要来宾的接待工作。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按时圆满完成各项接待活动。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公务接待成本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228.42万元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接待人次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投诉次数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公务接待任务完成的及时性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保障上级领导工作正常开展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被接待人员满意度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一、财政拨款收入：单位从同级政府财政部门取得的财政预算资金。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二、事业收入：事业单位开展专业业务活动及其辅助活动取得的收入。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三、上级补助收入：事业单位从主管部门和上级单位取得的非财政补助收入。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四、附属单位上缴收入：事业单位取得附属独立核算单位根据有关规定上缴的收入。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五、经营收入：事业单位在专业业务活动及其辅助活动之外开展非独立核算经营活动取得的收入。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六、其他收入：单位取得的除“财政拨款收入”、“事业收入”、“上级补助收入”、“附属单位上缴收入”、“经营收入”以外的各项收入。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七、使用非财政拨款结余：指事业单位使用以前年度积累的非财政拨款结余弥补当年收支差额的金额。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八、年初结转和结余：指单位以前年度尚未完成、结转到本年仍按原规定用途继续使用的资金，或项目已完成等产生的结余资金。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九、基本支出：为保障机构正常运转、完成日常工作任务而发生的人员支出和公用支出。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十、项目支出：基本支出之外为完成特定行政任务和事业发展目标所发生的支出。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十一、经营支出：指事业单位在专业业务活动及其辅助活动之外开展非独立核算经营活动发生的支出。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十二、工资福利支出：单位支付给在职职工和编制外长期聘用人员的各类劳动报酬，以及为上述人员缴纳的各项社会保险费等。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十三、商品和服务支出：单位购买商品和服务的支出。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十四、对个人和家庭的补助支出：单位用于对个人和家庭的补助支出。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十五、结余分配：指事业单位按照会计制度规定缴纳的所得税、提取的专用结余以及转入非财政拨款结余的金额等。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十六、年末结转和结余：指单位按有关规定结转到下年或以后年度继续使用的资金，或项目已完成等产生的结余资金。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auto"/>
    <w:pitch w:val="default"/>
    <w:sig w:usb0="00000000" w:usb1="00000000" w:usb2="00000016"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NJeIz7AEAAMEDAAAOAAAAZHJz&#10;L2Uyb0RvYy54bWytU0uOEzEQ3SNxB8t70kk0QqGVzggxCkIaMZGGOYDjttOWbJdVdtIdDgA3YMWG&#10;Peeac1B2Ohl+K8TGXS6Xn+u9er28HpxlB4XRgG/4bDLlTHkJrfG7hj98WL9YcBaT8K2w4FXDjyry&#10;69XzZ8s+1GoOHdhWISMQH+s+NLxLKdRVFWWnnIgTCMrToQZ0ItEWd1WLoid0Z6v5dPqy6gHbgCBV&#10;jJS9OR3yVcHXWsl0p3VUidmGU2+prFjWbV6r1VLUOxShM3JsQ/xDF04YT49eoG5EEmyP5g8oZyRC&#10;BJ0mElwFWhupCgdiM5v+xua+E0EVLiRODBeZ4v+Dle8PG2SmbfjVqyvOvHA0pMcvnx+/fn/89onN&#10;skB9iDXV3YcNjrtIYWY7aHT5SzzYUEQ9XkRVQ2KSkrPFfLGYkvaSzs4bwqmergeM6a0Cx3LQcKSp&#10;FTHF4TamU+m5JL/mYW2spbyorf8lQZg5U+WOTz3mKA3bYWx8C+2R+CKcjBCDXBt681bEtBFIk6c+&#10;yc3pjhZtoW84jBFnHeDHv+VzPQ2ETjnryUkN92R1zuw7T4PKpjsHeA6258Dv3Rsga844w2RLSBeE&#10;lwTX8MTZPqDZdYSvhY3ZC4KIvd4nkqAok/mdSI20ySdF29HT2Yg/70vV05+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DSXiM+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OGEwN2Y2MGJkZTY2MDFhZDQ0Njc5NWQ5YmJjZGMifQ=="/>
  </w:docVars>
  <w:rsids>
    <w:rsidRoot w:val="00000000"/>
    <w:rsid w:val="395B3910"/>
    <w:rsid w:val="39FB2E90"/>
    <w:rsid w:val="3A685CE5"/>
    <w:rsid w:val="57CD139E"/>
    <w:rsid w:val="78AD4F2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23fd2bb5-b076-4b5d-ad59-75c25130840c"/>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005c2680-1cc6-4730-90bc-2174f4d60236"/>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11106</Words>
  <Characters>14771</Characters>
  <Lines>1</Lines>
  <Paragraphs>1</Paragraphs>
  <TotalTime>11</TotalTime>
  <ScaleCrop>false</ScaleCrop>
  <LinksUpToDate>false</LinksUpToDate>
  <CharactersWithSpaces>15309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2024-10-08T11:17:35Z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