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许昌市信访局（本级）</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许昌市信访局（本级）</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许昌市信访局（本级）概况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根据《市委办公室、市政府办公室关于印发许昌市信访局职能配置、内设机构和人员编制方案的通知》规定，许昌市信访局主要职责是：</w:t>
        <w:br/>
        <w:t xml:space="preserve">    代表受理人民群众给市委、市政府及领导同志的来信，接待来访，为来信来访群众提供有关法律、法规和政策服务。</w:t>
        <w:br/>
        <w:t xml:space="preserve">    承办上级领导和机关交办的信访事项，督促检查领导同志批示件的落实情况；向有关单位交办信访事项，审结要结果的案件。</w:t>
        <w:br/>
        <w:t xml:space="preserve">    协调处理跨地区、跨部门的信访事项并提出对有关责任人的处理意见和建议。</w:t>
        <w:br/>
        <w:t xml:space="preserve">    分析研究全市信访工作形式，征集群众建议，及时向市委、市政府提供信访信息。指导全市信访工作，组织全市信访干部的教育和培训。负责信访工作的宣传和信息发布。</w:t>
        <w:br/>
        <w:t xml:space="preserve">    承办市委、市政府和市委办公室、市政府办公室交办的 其他事项。做好我市赴京、省上访人员的劝返、协调和其他工作，维护好许昌在京及省会的良好形象。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许昌市信访局（本级）</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办公室、调研宣传科、办信与人民建议征集科、接访联络科、督查科、网络信访科、复查复核办公室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许昌市信访局（本级）</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1.许昌市信访局（本级）。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833.89</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682.54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90.57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32.30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2.25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26.24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833.89</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833.89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833.89</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833.89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833.89</w:t>
            </w:r>
          </w:p>
        </w:tc>
        <w:tc>
          <w:tcPr>
            <w:tcW w:w="1440" w:type="dxa"/>
            <w:tcBorders/>
            <w:vAlign w:val="center"/>
          </w:tcPr>
          <w:p>
            <w:pPr>
              <w:jc w:val="right"/>
            </w:pPr>
            <w:r>
              <w:rPr>
                <w:rFonts w:ascii="宋体" w:eastAsia="宋体" w:hAnsi="宋体" w:cs="宋体"/>
                <w:b/>
                <w:i w:val="0"/>
                <w:color w:val="000000"/>
                <w:sz w:val="17"/>
              </w:rPr>
              <w:t xml:space="preserve">833.89</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682.54</w:t>
            </w:r>
          </w:p>
        </w:tc>
        <w:tc>
          <w:tcPr>
            <w:tcW w:w="1440" w:type="dxa"/>
            <w:tcBorders/>
            <w:vAlign w:val="center"/>
          </w:tcPr>
          <w:p>
            <w:pPr>
              <w:jc w:val="right"/>
            </w:pPr>
            <w:r>
              <w:rPr>
                <w:rFonts w:ascii="宋体" w:eastAsia="宋体" w:hAnsi="宋体" w:cs="宋体"/>
                <w:b w:val="0"/>
                <w:i w:val="0"/>
                <w:color w:val="000000"/>
                <w:sz w:val="17"/>
              </w:rPr>
              <w:t xml:space="preserve">682.54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7.70</w:t>
            </w:r>
          </w:p>
        </w:tc>
        <w:tc>
          <w:tcPr>
            <w:tcW w:w="1440" w:type="dxa"/>
            <w:tcBorders/>
            <w:vAlign w:val="center"/>
          </w:tcPr>
          <w:p>
            <w:pPr>
              <w:jc w:val="right"/>
            </w:pPr>
            <w:r>
              <w:rPr>
                <w:rFonts w:ascii="宋体" w:eastAsia="宋体" w:hAnsi="宋体" w:cs="宋体"/>
                <w:b w:val="0"/>
                <w:i w:val="0"/>
                <w:color w:val="000000"/>
                <w:sz w:val="17"/>
              </w:rPr>
              <w:t xml:space="preserve">7.70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7.70</w:t>
            </w:r>
          </w:p>
        </w:tc>
        <w:tc>
          <w:tcPr>
            <w:tcW w:w="1440" w:type="dxa"/>
            <w:tcBorders/>
            <w:vAlign w:val="center"/>
          </w:tcPr>
          <w:p>
            <w:pPr>
              <w:jc w:val="right"/>
            </w:pPr>
            <w:r>
              <w:rPr>
                <w:rFonts w:ascii="宋体" w:eastAsia="宋体" w:hAnsi="宋体" w:cs="宋体"/>
                <w:b w:val="0"/>
                <w:i w:val="0"/>
                <w:color w:val="000000"/>
                <w:sz w:val="17"/>
              </w:rPr>
              <w:t xml:space="preserve">7.70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政府办公厅（室）及相关机构事务</w:t>
            </w:r>
          </w:p>
        </w:tc>
        <w:tc>
          <w:tcPr>
            <w:tcW w:w="1440" w:type="dxa"/>
            <w:tcBorders/>
            <w:vAlign w:val="center"/>
          </w:tcPr>
          <w:p>
            <w:pPr>
              <w:jc w:val="right"/>
            </w:pPr>
            <w:r>
              <w:rPr>
                <w:rFonts w:ascii="宋体" w:eastAsia="宋体" w:hAnsi="宋体" w:cs="宋体"/>
                <w:b w:val="0"/>
                <w:i w:val="0"/>
                <w:color w:val="000000"/>
                <w:sz w:val="17"/>
              </w:rPr>
              <w:t xml:space="preserve">649.49</w:t>
            </w:r>
          </w:p>
        </w:tc>
        <w:tc>
          <w:tcPr>
            <w:tcW w:w="1440" w:type="dxa"/>
            <w:tcBorders/>
            <w:vAlign w:val="center"/>
          </w:tcPr>
          <w:p>
            <w:pPr>
              <w:jc w:val="right"/>
            </w:pPr>
            <w:r>
              <w:rPr>
                <w:rFonts w:ascii="宋体" w:eastAsia="宋体" w:hAnsi="宋体" w:cs="宋体"/>
                <w:b w:val="0"/>
                <w:i w:val="0"/>
                <w:color w:val="000000"/>
                <w:sz w:val="17"/>
              </w:rPr>
              <w:t xml:space="preserve">649.49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451.48</w:t>
            </w:r>
          </w:p>
        </w:tc>
        <w:tc>
          <w:tcPr>
            <w:tcW w:w="1440" w:type="dxa"/>
            <w:tcBorders/>
            <w:vAlign w:val="center"/>
          </w:tcPr>
          <w:p>
            <w:pPr>
              <w:jc w:val="right"/>
            </w:pPr>
            <w:r>
              <w:rPr>
                <w:rFonts w:ascii="宋体" w:eastAsia="宋体" w:hAnsi="宋体" w:cs="宋体"/>
                <w:b w:val="0"/>
                <w:i w:val="0"/>
                <w:color w:val="000000"/>
                <w:sz w:val="17"/>
              </w:rPr>
              <w:t xml:space="preserve">451.48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信访事务</w:t>
            </w:r>
          </w:p>
        </w:tc>
        <w:tc>
          <w:tcPr>
            <w:tcW w:w="1440" w:type="dxa"/>
            <w:tcBorders/>
            <w:vAlign w:val="center"/>
          </w:tcPr>
          <w:p>
            <w:pPr>
              <w:jc w:val="right"/>
            </w:pPr>
            <w:r>
              <w:rPr>
                <w:rFonts w:ascii="宋体" w:eastAsia="宋体" w:hAnsi="宋体" w:cs="宋体"/>
                <w:b w:val="0"/>
                <w:i w:val="0"/>
                <w:color w:val="000000"/>
                <w:sz w:val="17"/>
              </w:rPr>
              <w:t xml:space="preserve">198.02</w:t>
            </w:r>
          </w:p>
        </w:tc>
        <w:tc>
          <w:tcPr>
            <w:tcW w:w="1440" w:type="dxa"/>
            <w:tcBorders/>
            <w:vAlign w:val="center"/>
          </w:tcPr>
          <w:p>
            <w:pPr>
              <w:jc w:val="right"/>
            </w:pPr>
            <w:r>
              <w:rPr>
                <w:rFonts w:ascii="宋体" w:eastAsia="宋体" w:hAnsi="宋体" w:cs="宋体"/>
                <w:b w:val="0"/>
                <w:i w:val="0"/>
                <w:color w:val="000000"/>
                <w:sz w:val="17"/>
              </w:rPr>
              <w:t xml:space="preserve">198.02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2.34</w:t>
            </w:r>
          </w:p>
        </w:tc>
        <w:tc>
          <w:tcPr>
            <w:tcW w:w="1440" w:type="dxa"/>
            <w:tcBorders/>
            <w:vAlign w:val="center"/>
          </w:tcPr>
          <w:p>
            <w:pPr>
              <w:jc w:val="right"/>
            </w:pPr>
            <w:r>
              <w:rPr>
                <w:rFonts w:ascii="宋体" w:eastAsia="宋体" w:hAnsi="宋体" w:cs="宋体"/>
                <w:b w:val="0"/>
                <w:i w:val="0"/>
                <w:color w:val="000000"/>
                <w:sz w:val="17"/>
              </w:rPr>
              <w:t xml:space="preserve">2.34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2.34</w:t>
            </w:r>
          </w:p>
        </w:tc>
        <w:tc>
          <w:tcPr>
            <w:tcW w:w="1440" w:type="dxa"/>
            <w:tcBorders/>
            <w:vAlign w:val="center"/>
          </w:tcPr>
          <w:p>
            <w:pPr>
              <w:jc w:val="right"/>
            </w:pPr>
            <w:r>
              <w:rPr>
                <w:rFonts w:ascii="宋体" w:eastAsia="宋体" w:hAnsi="宋体" w:cs="宋体"/>
                <w:b w:val="0"/>
                <w:i w:val="0"/>
                <w:color w:val="000000"/>
                <w:sz w:val="17"/>
              </w:rPr>
              <w:t xml:space="preserve">2.34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党委办公厅（室）及相关机构事务</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2.91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20.09</w:t>
            </w:r>
          </w:p>
        </w:tc>
        <w:tc>
          <w:tcPr>
            <w:tcW w:w="1440" w:type="dxa"/>
            <w:tcBorders/>
            <w:vAlign w:val="center"/>
          </w:tcPr>
          <w:p>
            <w:pPr>
              <w:jc w:val="right"/>
            </w:pPr>
            <w:r>
              <w:rPr>
                <w:rFonts w:ascii="宋体" w:eastAsia="宋体" w:hAnsi="宋体" w:cs="宋体"/>
                <w:b w:val="0"/>
                <w:i w:val="0"/>
                <w:color w:val="000000"/>
                <w:sz w:val="17"/>
              </w:rPr>
              <w:t xml:space="preserve">20.09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20.09</w:t>
            </w:r>
          </w:p>
        </w:tc>
        <w:tc>
          <w:tcPr>
            <w:tcW w:w="1440" w:type="dxa"/>
            <w:tcBorders/>
            <w:vAlign w:val="center"/>
          </w:tcPr>
          <w:p>
            <w:pPr>
              <w:jc w:val="right"/>
            </w:pPr>
            <w:r>
              <w:rPr>
                <w:rFonts w:ascii="宋体" w:eastAsia="宋体" w:hAnsi="宋体" w:cs="宋体"/>
                <w:b w:val="0"/>
                <w:i w:val="0"/>
                <w:color w:val="000000"/>
                <w:sz w:val="17"/>
              </w:rPr>
              <w:t xml:space="preserve">20.09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90.57</w:t>
            </w:r>
          </w:p>
        </w:tc>
        <w:tc>
          <w:tcPr>
            <w:tcW w:w="1440" w:type="dxa"/>
            <w:tcBorders/>
            <w:vAlign w:val="center"/>
          </w:tcPr>
          <w:p>
            <w:pPr>
              <w:jc w:val="right"/>
            </w:pPr>
            <w:r>
              <w:rPr>
                <w:rFonts w:ascii="宋体" w:eastAsia="宋体" w:hAnsi="宋体" w:cs="宋体"/>
                <w:b w:val="0"/>
                <w:i w:val="0"/>
                <w:color w:val="000000"/>
                <w:sz w:val="17"/>
              </w:rPr>
              <w:t xml:space="preserve">90.57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90.57</w:t>
            </w:r>
          </w:p>
        </w:tc>
        <w:tc>
          <w:tcPr>
            <w:tcW w:w="1440" w:type="dxa"/>
            <w:tcBorders/>
            <w:vAlign w:val="center"/>
          </w:tcPr>
          <w:p>
            <w:pPr>
              <w:jc w:val="right"/>
            </w:pPr>
            <w:r>
              <w:rPr>
                <w:rFonts w:ascii="宋体" w:eastAsia="宋体" w:hAnsi="宋体" w:cs="宋体"/>
                <w:b w:val="0"/>
                <w:i w:val="0"/>
                <w:color w:val="000000"/>
                <w:sz w:val="17"/>
              </w:rPr>
              <w:t xml:space="preserve">90.57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64.22</w:t>
            </w:r>
          </w:p>
        </w:tc>
        <w:tc>
          <w:tcPr>
            <w:tcW w:w="1440" w:type="dxa"/>
            <w:tcBorders/>
            <w:vAlign w:val="center"/>
          </w:tcPr>
          <w:p>
            <w:pPr>
              <w:jc w:val="right"/>
            </w:pPr>
            <w:r>
              <w:rPr>
                <w:rFonts w:ascii="宋体" w:eastAsia="宋体" w:hAnsi="宋体" w:cs="宋体"/>
                <w:b w:val="0"/>
                <w:i w:val="0"/>
                <w:color w:val="000000"/>
                <w:sz w:val="17"/>
              </w:rPr>
              <w:t xml:space="preserve">64.22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26.35</w:t>
            </w:r>
          </w:p>
        </w:tc>
        <w:tc>
          <w:tcPr>
            <w:tcW w:w="1440" w:type="dxa"/>
            <w:tcBorders/>
            <w:vAlign w:val="center"/>
          </w:tcPr>
          <w:p>
            <w:pPr>
              <w:jc w:val="right"/>
            </w:pPr>
            <w:r>
              <w:rPr>
                <w:rFonts w:ascii="宋体" w:eastAsia="宋体" w:hAnsi="宋体" w:cs="宋体"/>
                <w:b w:val="0"/>
                <w:i w:val="0"/>
                <w:color w:val="000000"/>
                <w:sz w:val="17"/>
              </w:rPr>
              <w:t xml:space="preserve">26.35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32.30</w:t>
            </w:r>
          </w:p>
        </w:tc>
        <w:tc>
          <w:tcPr>
            <w:tcW w:w="1440" w:type="dxa"/>
            <w:tcBorders/>
            <w:vAlign w:val="center"/>
          </w:tcPr>
          <w:p>
            <w:pPr>
              <w:jc w:val="right"/>
            </w:pPr>
            <w:r>
              <w:rPr>
                <w:rFonts w:ascii="宋体" w:eastAsia="宋体" w:hAnsi="宋体" w:cs="宋体"/>
                <w:b w:val="0"/>
                <w:i w:val="0"/>
                <w:color w:val="000000"/>
                <w:sz w:val="17"/>
              </w:rPr>
              <w:t xml:space="preserve">32.30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32.30</w:t>
            </w:r>
          </w:p>
        </w:tc>
        <w:tc>
          <w:tcPr>
            <w:tcW w:w="1440" w:type="dxa"/>
            <w:tcBorders/>
            <w:vAlign w:val="center"/>
          </w:tcPr>
          <w:p>
            <w:pPr>
              <w:jc w:val="right"/>
            </w:pPr>
            <w:r>
              <w:rPr>
                <w:rFonts w:ascii="宋体" w:eastAsia="宋体" w:hAnsi="宋体" w:cs="宋体"/>
                <w:b w:val="0"/>
                <w:i w:val="0"/>
                <w:color w:val="000000"/>
                <w:sz w:val="17"/>
              </w:rPr>
              <w:t xml:space="preserve">32.30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16.90</w:t>
            </w:r>
          </w:p>
        </w:tc>
        <w:tc>
          <w:tcPr>
            <w:tcW w:w="1440" w:type="dxa"/>
            <w:tcBorders/>
            <w:vAlign w:val="center"/>
          </w:tcPr>
          <w:p>
            <w:pPr>
              <w:jc w:val="right"/>
            </w:pPr>
            <w:r>
              <w:rPr>
                <w:rFonts w:ascii="宋体" w:eastAsia="宋体" w:hAnsi="宋体" w:cs="宋体"/>
                <w:b w:val="0"/>
                <w:i w:val="0"/>
                <w:color w:val="000000"/>
                <w:sz w:val="17"/>
              </w:rPr>
              <w:t xml:space="preserve">16.90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15.39</w:t>
            </w:r>
          </w:p>
        </w:tc>
        <w:tc>
          <w:tcPr>
            <w:tcW w:w="1440" w:type="dxa"/>
            <w:tcBorders/>
            <w:vAlign w:val="center"/>
          </w:tcPr>
          <w:p>
            <w:pPr>
              <w:jc w:val="right"/>
            </w:pPr>
            <w:r>
              <w:rPr>
                <w:rFonts w:ascii="宋体" w:eastAsia="宋体" w:hAnsi="宋体" w:cs="宋体"/>
                <w:b w:val="0"/>
                <w:i w:val="0"/>
                <w:color w:val="000000"/>
                <w:sz w:val="17"/>
              </w:rPr>
              <w:t xml:space="preserve">15.39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2.25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26.24</w:t>
            </w:r>
          </w:p>
        </w:tc>
        <w:tc>
          <w:tcPr>
            <w:tcW w:w="1440" w:type="dxa"/>
            <w:tcBorders/>
            <w:vAlign w:val="center"/>
          </w:tcPr>
          <w:p>
            <w:pPr>
              <w:jc w:val="right"/>
            </w:pPr>
            <w:r>
              <w:rPr>
                <w:rFonts w:ascii="宋体" w:eastAsia="宋体" w:hAnsi="宋体" w:cs="宋体"/>
                <w:b w:val="0"/>
                <w:i w:val="0"/>
                <w:color w:val="000000"/>
                <w:sz w:val="17"/>
              </w:rPr>
              <w:t xml:space="preserve">26.24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26.24</w:t>
            </w:r>
          </w:p>
        </w:tc>
        <w:tc>
          <w:tcPr>
            <w:tcW w:w="1440" w:type="dxa"/>
            <w:tcBorders/>
            <w:vAlign w:val="center"/>
          </w:tcPr>
          <w:p>
            <w:pPr>
              <w:jc w:val="right"/>
            </w:pPr>
            <w:r>
              <w:rPr>
                <w:rFonts w:ascii="宋体" w:eastAsia="宋体" w:hAnsi="宋体" w:cs="宋体"/>
                <w:b w:val="0"/>
                <w:i w:val="0"/>
                <w:color w:val="000000"/>
                <w:sz w:val="17"/>
              </w:rPr>
              <w:t xml:space="preserve">26.24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26.24</w:t>
            </w:r>
          </w:p>
        </w:tc>
        <w:tc>
          <w:tcPr>
            <w:tcW w:w="1440" w:type="dxa"/>
            <w:tcBorders/>
            <w:vAlign w:val="center"/>
          </w:tcPr>
          <w:p>
            <w:pPr>
              <w:jc w:val="right"/>
            </w:pPr>
            <w:r>
              <w:rPr>
                <w:rFonts w:ascii="宋体" w:eastAsia="宋体" w:hAnsi="宋体" w:cs="宋体"/>
                <w:b w:val="0"/>
                <w:i w:val="0"/>
                <w:color w:val="000000"/>
                <w:sz w:val="17"/>
              </w:rPr>
              <w:t xml:space="preserve">26.24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833.89</w:t>
            </w:r>
          </w:p>
        </w:tc>
        <w:tc>
          <w:tcPr>
            <w:tcW w:w="1600" w:type="dxa"/>
            <w:tcBorders/>
            <w:vAlign w:val="center"/>
          </w:tcPr>
          <w:p>
            <w:pPr>
              <w:jc w:val="right"/>
            </w:pPr>
            <w:r>
              <w:rPr>
                <w:rFonts w:ascii="宋体" w:eastAsia="宋体" w:hAnsi="宋体" w:cs="宋体"/>
                <w:b/>
                <w:i w:val="0"/>
                <w:color w:val="000000"/>
                <w:sz w:val="19"/>
              </w:rPr>
              <w:t xml:space="preserve">633.62</w:t>
            </w:r>
          </w:p>
        </w:tc>
        <w:tc>
          <w:tcPr>
            <w:tcW w:w="1600" w:type="dxa"/>
            <w:tcBorders/>
            <w:vAlign w:val="center"/>
          </w:tcPr>
          <w:p>
            <w:pPr>
              <w:jc w:val="right"/>
            </w:pPr>
            <w:r>
              <w:rPr>
                <w:rFonts w:ascii="宋体" w:eastAsia="宋体" w:hAnsi="宋体" w:cs="宋体"/>
                <w:b/>
                <w:i w:val="0"/>
                <w:color w:val="000000"/>
                <w:sz w:val="19"/>
              </w:rPr>
              <w:t xml:space="preserve">200.27</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682.54</w:t>
            </w:r>
          </w:p>
        </w:tc>
        <w:tc>
          <w:tcPr>
            <w:tcW w:w="1600" w:type="dxa"/>
            <w:tcBorders/>
            <w:vAlign w:val="center"/>
          </w:tcPr>
          <w:p>
            <w:pPr>
              <w:jc w:val="right"/>
            </w:pPr>
            <w:r>
              <w:rPr>
                <w:rFonts w:ascii="宋体" w:eastAsia="宋体" w:hAnsi="宋体" w:cs="宋体"/>
                <w:b w:val="0"/>
                <w:i w:val="0"/>
                <w:color w:val="000000"/>
                <w:sz w:val="19"/>
              </w:rPr>
              <w:t xml:space="preserve">484.52</w:t>
            </w:r>
          </w:p>
        </w:tc>
        <w:tc>
          <w:tcPr>
            <w:tcW w:w="1600" w:type="dxa"/>
            <w:tcBorders/>
            <w:vAlign w:val="center"/>
          </w:tcPr>
          <w:p>
            <w:pPr>
              <w:jc w:val="right"/>
            </w:pPr>
            <w:r>
              <w:rPr>
                <w:rFonts w:ascii="宋体" w:eastAsia="宋体" w:hAnsi="宋体" w:cs="宋体"/>
                <w:b w:val="0"/>
                <w:i w:val="0"/>
                <w:color w:val="000000"/>
                <w:sz w:val="19"/>
              </w:rPr>
              <w:t xml:space="preserve">198.02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7.70</w:t>
            </w:r>
          </w:p>
        </w:tc>
        <w:tc>
          <w:tcPr>
            <w:tcW w:w="1600" w:type="dxa"/>
            <w:tcBorders/>
            <w:vAlign w:val="center"/>
          </w:tcPr>
          <w:p>
            <w:pPr>
              <w:jc w:val="right"/>
            </w:pPr>
            <w:r>
              <w:rPr>
                <w:rFonts w:ascii="宋体" w:eastAsia="宋体" w:hAnsi="宋体" w:cs="宋体"/>
                <w:b w:val="0"/>
                <w:i w:val="0"/>
                <w:color w:val="000000"/>
                <w:sz w:val="19"/>
              </w:rPr>
              <w:t xml:space="preserve">7.70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7.70</w:t>
            </w:r>
          </w:p>
        </w:tc>
        <w:tc>
          <w:tcPr>
            <w:tcW w:w="1600" w:type="dxa"/>
            <w:tcBorders/>
            <w:vAlign w:val="center"/>
          </w:tcPr>
          <w:p>
            <w:pPr>
              <w:jc w:val="right"/>
            </w:pPr>
            <w:r>
              <w:rPr>
                <w:rFonts w:ascii="宋体" w:eastAsia="宋体" w:hAnsi="宋体" w:cs="宋体"/>
                <w:b w:val="0"/>
                <w:i w:val="0"/>
                <w:color w:val="000000"/>
                <w:sz w:val="19"/>
              </w:rPr>
              <w:t xml:space="preserve">7.70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政府办公厅（室）及相关机构事务</w:t>
            </w:r>
          </w:p>
        </w:tc>
        <w:tc>
          <w:tcPr>
            <w:tcW w:w="1600" w:type="dxa"/>
            <w:tcBorders/>
            <w:vAlign w:val="center"/>
          </w:tcPr>
          <w:p>
            <w:pPr>
              <w:jc w:val="right"/>
            </w:pPr>
            <w:r>
              <w:rPr>
                <w:rFonts w:ascii="宋体" w:eastAsia="宋体" w:hAnsi="宋体" w:cs="宋体"/>
                <w:b w:val="0"/>
                <w:i w:val="0"/>
                <w:color w:val="000000"/>
                <w:sz w:val="19"/>
              </w:rPr>
              <w:t xml:space="preserve">649.49</w:t>
            </w:r>
          </w:p>
        </w:tc>
        <w:tc>
          <w:tcPr>
            <w:tcW w:w="1600" w:type="dxa"/>
            <w:tcBorders/>
            <w:vAlign w:val="center"/>
          </w:tcPr>
          <w:p>
            <w:pPr>
              <w:jc w:val="right"/>
            </w:pPr>
            <w:r>
              <w:rPr>
                <w:rFonts w:ascii="宋体" w:eastAsia="宋体" w:hAnsi="宋体" w:cs="宋体"/>
                <w:b w:val="0"/>
                <w:i w:val="0"/>
                <w:color w:val="000000"/>
                <w:sz w:val="19"/>
              </w:rPr>
              <w:t xml:space="preserve">451.48</w:t>
            </w:r>
          </w:p>
        </w:tc>
        <w:tc>
          <w:tcPr>
            <w:tcW w:w="1600" w:type="dxa"/>
            <w:tcBorders/>
            <w:vAlign w:val="center"/>
          </w:tcPr>
          <w:p>
            <w:pPr>
              <w:jc w:val="right"/>
            </w:pPr>
            <w:r>
              <w:rPr>
                <w:rFonts w:ascii="宋体" w:eastAsia="宋体" w:hAnsi="宋体" w:cs="宋体"/>
                <w:b w:val="0"/>
                <w:i w:val="0"/>
                <w:color w:val="000000"/>
                <w:sz w:val="19"/>
              </w:rPr>
              <w:t xml:space="preserve">198.02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451.48</w:t>
            </w:r>
          </w:p>
        </w:tc>
        <w:tc>
          <w:tcPr>
            <w:tcW w:w="1600" w:type="dxa"/>
            <w:tcBorders/>
            <w:vAlign w:val="center"/>
          </w:tcPr>
          <w:p>
            <w:pPr>
              <w:jc w:val="right"/>
            </w:pPr>
            <w:r>
              <w:rPr>
                <w:rFonts w:ascii="宋体" w:eastAsia="宋体" w:hAnsi="宋体" w:cs="宋体"/>
                <w:b w:val="0"/>
                <w:i w:val="0"/>
                <w:color w:val="000000"/>
                <w:sz w:val="19"/>
              </w:rPr>
              <w:t xml:space="preserve">451.48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信访事务</w:t>
            </w:r>
          </w:p>
        </w:tc>
        <w:tc>
          <w:tcPr>
            <w:tcW w:w="1600" w:type="dxa"/>
            <w:tcBorders/>
            <w:vAlign w:val="center"/>
          </w:tcPr>
          <w:p>
            <w:pPr>
              <w:jc w:val="right"/>
            </w:pPr>
            <w:r>
              <w:rPr>
                <w:rFonts w:ascii="宋体" w:eastAsia="宋体" w:hAnsi="宋体" w:cs="宋体"/>
                <w:b w:val="0"/>
                <w:i w:val="0"/>
                <w:color w:val="000000"/>
                <w:sz w:val="19"/>
              </w:rPr>
              <w:t xml:space="preserve">198.02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198.02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2.34</w:t>
            </w:r>
          </w:p>
        </w:tc>
        <w:tc>
          <w:tcPr>
            <w:tcW w:w="1600" w:type="dxa"/>
            <w:tcBorders/>
            <w:vAlign w:val="center"/>
          </w:tcPr>
          <w:p>
            <w:pPr>
              <w:jc w:val="right"/>
            </w:pPr>
            <w:r>
              <w:rPr>
                <w:rFonts w:ascii="宋体" w:eastAsia="宋体" w:hAnsi="宋体" w:cs="宋体"/>
                <w:b w:val="0"/>
                <w:i w:val="0"/>
                <w:color w:val="000000"/>
                <w:sz w:val="19"/>
              </w:rPr>
              <w:t xml:space="preserve">2.34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2.34</w:t>
            </w:r>
          </w:p>
        </w:tc>
        <w:tc>
          <w:tcPr>
            <w:tcW w:w="1600" w:type="dxa"/>
            <w:tcBorders/>
            <w:vAlign w:val="center"/>
          </w:tcPr>
          <w:p>
            <w:pPr>
              <w:jc w:val="right"/>
            </w:pPr>
            <w:r>
              <w:rPr>
                <w:rFonts w:ascii="宋体" w:eastAsia="宋体" w:hAnsi="宋体" w:cs="宋体"/>
                <w:b w:val="0"/>
                <w:i w:val="0"/>
                <w:color w:val="000000"/>
                <w:sz w:val="19"/>
              </w:rPr>
              <w:t xml:space="preserve">2.34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党委办公厅（室）及相关机构事务</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2.91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20.09</w:t>
            </w:r>
          </w:p>
        </w:tc>
        <w:tc>
          <w:tcPr>
            <w:tcW w:w="1600" w:type="dxa"/>
            <w:tcBorders/>
            <w:vAlign w:val="center"/>
          </w:tcPr>
          <w:p>
            <w:pPr>
              <w:jc w:val="right"/>
            </w:pPr>
            <w:r>
              <w:rPr>
                <w:rFonts w:ascii="宋体" w:eastAsia="宋体" w:hAnsi="宋体" w:cs="宋体"/>
                <w:b w:val="0"/>
                <w:i w:val="0"/>
                <w:color w:val="000000"/>
                <w:sz w:val="19"/>
              </w:rPr>
              <w:t xml:space="preserve">20.09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20.09</w:t>
            </w:r>
          </w:p>
        </w:tc>
        <w:tc>
          <w:tcPr>
            <w:tcW w:w="1600" w:type="dxa"/>
            <w:tcBorders/>
            <w:vAlign w:val="center"/>
          </w:tcPr>
          <w:p>
            <w:pPr>
              <w:jc w:val="right"/>
            </w:pPr>
            <w:r>
              <w:rPr>
                <w:rFonts w:ascii="宋体" w:eastAsia="宋体" w:hAnsi="宋体" w:cs="宋体"/>
                <w:b w:val="0"/>
                <w:i w:val="0"/>
                <w:color w:val="000000"/>
                <w:sz w:val="19"/>
              </w:rPr>
              <w:t xml:space="preserve">20.09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90.57</w:t>
            </w:r>
          </w:p>
        </w:tc>
        <w:tc>
          <w:tcPr>
            <w:tcW w:w="1600" w:type="dxa"/>
            <w:tcBorders/>
            <w:vAlign w:val="center"/>
          </w:tcPr>
          <w:p>
            <w:pPr>
              <w:jc w:val="right"/>
            </w:pPr>
            <w:r>
              <w:rPr>
                <w:rFonts w:ascii="宋体" w:eastAsia="宋体" w:hAnsi="宋体" w:cs="宋体"/>
                <w:b w:val="0"/>
                <w:i w:val="0"/>
                <w:color w:val="000000"/>
                <w:sz w:val="19"/>
              </w:rPr>
              <w:t xml:space="preserve">90.57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90.57</w:t>
            </w:r>
          </w:p>
        </w:tc>
        <w:tc>
          <w:tcPr>
            <w:tcW w:w="1600" w:type="dxa"/>
            <w:tcBorders/>
            <w:vAlign w:val="center"/>
          </w:tcPr>
          <w:p>
            <w:pPr>
              <w:jc w:val="right"/>
            </w:pPr>
            <w:r>
              <w:rPr>
                <w:rFonts w:ascii="宋体" w:eastAsia="宋体" w:hAnsi="宋体" w:cs="宋体"/>
                <w:b w:val="0"/>
                <w:i w:val="0"/>
                <w:color w:val="000000"/>
                <w:sz w:val="19"/>
              </w:rPr>
              <w:t xml:space="preserve">90.57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64.22</w:t>
            </w:r>
          </w:p>
        </w:tc>
        <w:tc>
          <w:tcPr>
            <w:tcW w:w="1600" w:type="dxa"/>
            <w:tcBorders/>
            <w:vAlign w:val="center"/>
          </w:tcPr>
          <w:p>
            <w:pPr>
              <w:jc w:val="right"/>
            </w:pPr>
            <w:r>
              <w:rPr>
                <w:rFonts w:ascii="宋体" w:eastAsia="宋体" w:hAnsi="宋体" w:cs="宋体"/>
                <w:b w:val="0"/>
                <w:i w:val="0"/>
                <w:color w:val="000000"/>
                <w:sz w:val="19"/>
              </w:rPr>
              <w:t xml:space="preserve">64.22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26.35</w:t>
            </w:r>
          </w:p>
        </w:tc>
        <w:tc>
          <w:tcPr>
            <w:tcW w:w="1600" w:type="dxa"/>
            <w:tcBorders/>
            <w:vAlign w:val="center"/>
          </w:tcPr>
          <w:p>
            <w:pPr>
              <w:jc w:val="right"/>
            </w:pPr>
            <w:r>
              <w:rPr>
                <w:rFonts w:ascii="宋体" w:eastAsia="宋体" w:hAnsi="宋体" w:cs="宋体"/>
                <w:b w:val="0"/>
                <w:i w:val="0"/>
                <w:color w:val="000000"/>
                <w:sz w:val="19"/>
              </w:rPr>
              <w:t xml:space="preserve">26.35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32.30</w:t>
            </w:r>
          </w:p>
        </w:tc>
        <w:tc>
          <w:tcPr>
            <w:tcW w:w="1600" w:type="dxa"/>
            <w:tcBorders/>
            <w:vAlign w:val="center"/>
          </w:tcPr>
          <w:p>
            <w:pPr>
              <w:jc w:val="right"/>
            </w:pPr>
            <w:r>
              <w:rPr>
                <w:rFonts w:ascii="宋体" w:eastAsia="宋体" w:hAnsi="宋体" w:cs="宋体"/>
                <w:b w:val="0"/>
                <w:i w:val="0"/>
                <w:color w:val="000000"/>
                <w:sz w:val="19"/>
              </w:rPr>
              <w:t xml:space="preserve">32.30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32.30</w:t>
            </w:r>
          </w:p>
        </w:tc>
        <w:tc>
          <w:tcPr>
            <w:tcW w:w="1600" w:type="dxa"/>
            <w:tcBorders/>
            <w:vAlign w:val="center"/>
          </w:tcPr>
          <w:p>
            <w:pPr>
              <w:jc w:val="right"/>
            </w:pPr>
            <w:r>
              <w:rPr>
                <w:rFonts w:ascii="宋体" w:eastAsia="宋体" w:hAnsi="宋体" w:cs="宋体"/>
                <w:b w:val="0"/>
                <w:i w:val="0"/>
                <w:color w:val="000000"/>
                <w:sz w:val="19"/>
              </w:rPr>
              <w:t xml:space="preserve">32.30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16.90</w:t>
            </w:r>
          </w:p>
        </w:tc>
        <w:tc>
          <w:tcPr>
            <w:tcW w:w="1600" w:type="dxa"/>
            <w:tcBorders/>
            <w:vAlign w:val="center"/>
          </w:tcPr>
          <w:p>
            <w:pPr>
              <w:jc w:val="right"/>
            </w:pPr>
            <w:r>
              <w:rPr>
                <w:rFonts w:ascii="宋体" w:eastAsia="宋体" w:hAnsi="宋体" w:cs="宋体"/>
                <w:b w:val="0"/>
                <w:i w:val="0"/>
                <w:color w:val="000000"/>
                <w:sz w:val="19"/>
              </w:rPr>
              <w:t xml:space="preserve">16.90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15.39</w:t>
            </w:r>
          </w:p>
        </w:tc>
        <w:tc>
          <w:tcPr>
            <w:tcW w:w="1600" w:type="dxa"/>
            <w:tcBorders/>
            <w:vAlign w:val="center"/>
          </w:tcPr>
          <w:p>
            <w:pPr>
              <w:jc w:val="right"/>
            </w:pPr>
            <w:r>
              <w:rPr>
                <w:rFonts w:ascii="宋体" w:eastAsia="宋体" w:hAnsi="宋体" w:cs="宋体"/>
                <w:b w:val="0"/>
                <w:i w:val="0"/>
                <w:color w:val="000000"/>
                <w:sz w:val="19"/>
              </w:rPr>
              <w:t xml:space="preserve">15.39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26.24</w:t>
            </w:r>
          </w:p>
        </w:tc>
        <w:tc>
          <w:tcPr>
            <w:tcW w:w="1600" w:type="dxa"/>
            <w:tcBorders/>
            <w:vAlign w:val="center"/>
          </w:tcPr>
          <w:p>
            <w:pPr>
              <w:jc w:val="right"/>
            </w:pPr>
            <w:r>
              <w:rPr>
                <w:rFonts w:ascii="宋体" w:eastAsia="宋体" w:hAnsi="宋体" w:cs="宋体"/>
                <w:b w:val="0"/>
                <w:i w:val="0"/>
                <w:color w:val="000000"/>
                <w:sz w:val="19"/>
              </w:rPr>
              <w:t xml:space="preserve">26.24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26.24</w:t>
            </w:r>
          </w:p>
        </w:tc>
        <w:tc>
          <w:tcPr>
            <w:tcW w:w="1600" w:type="dxa"/>
            <w:tcBorders/>
            <w:vAlign w:val="center"/>
          </w:tcPr>
          <w:p>
            <w:pPr>
              <w:jc w:val="right"/>
            </w:pPr>
            <w:r>
              <w:rPr>
                <w:rFonts w:ascii="宋体" w:eastAsia="宋体" w:hAnsi="宋体" w:cs="宋体"/>
                <w:b w:val="0"/>
                <w:i w:val="0"/>
                <w:color w:val="000000"/>
                <w:sz w:val="19"/>
              </w:rPr>
              <w:t xml:space="preserve">26.24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26.24</w:t>
            </w:r>
          </w:p>
        </w:tc>
        <w:tc>
          <w:tcPr>
            <w:tcW w:w="1600" w:type="dxa"/>
            <w:tcBorders/>
            <w:vAlign w:val="center"/>
          </w:tcPr>
          <w:p>
            <w:pPr>
              <w:jc w:val="right"/>
            </w:pPr>
            <w:r>
              <w:rPr>
                <w:rFonts w:ascii="宋体" w:eastAsia="宋体" w:hAnsi="宋体" w:cs="宋体"/>
                <w:b w:val="0"/>
                <w:i w:val="0"/>
                <w:color w:val="000000"/>
                <w:sz w:val="19"/>
              </w:rPr>
              <w:t xml:space="preserve">26.24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833.89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682.54</w:t>
            </w:r>
          </w:p>
        </w:tc>
        <w:tc>
          <w:tcPr>
            <w:tcW w:w="1420" w:type="dxa"/>
            <w:tcBorders/>
            <w:vAlign w:val="center"/>
          </w:tcPr>
          <w:p>
            <w:pPr>
              <w:jc w:val="right"/>
            </w:pPr>
            <w:r>
              <w:rPr>
                <w:rFonts w:ascii="宋体" w:eastAsia="宋体" w:hAnsi="宋体" w:cs="宋体"/>
                <w:b w:val="0"/>
                <w:i w:val="0"/>
                <w:color w:val="000000"/>
                <w:sz w:val="18"/>
              </w:rPr>
              <w:t xml:space="preserve">682.54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90.57</w:t>
            </w:r>
          </w:p>
        </w:tc>
        <w:tc>
          <w:tcPr>
            <w:tcW w:w="1420" w:type="dxa"/>
            <w:tcBorders/>
            <w:vAlign w:val="center"/>
          </w:tcPr>
          <w:p>
            <w:pPr>
              <w:jc w:val="right"/>
            </w:pPr>
            <w:r>
              <w:rPr>
                <w:rFonts w:ascii="宋体" w:eastAsia="宋体" w:hAnsi="宋体" w:cs="宋体"/>
                <w:b w:val="0"/>
                <w:i w:val="0"/>
                <w:color w:val="000000"/>
                <w:sz w:val="18"/>
              </w:rPr>
              <w:t xml:space="preserve">90.57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32.30</w:t>
            </w:r>
          </w:p>
        </w:tc>
        <w:tc>
          <w:tcPr>
            <w:tcW w:w="1420" w:type="dxa"/>
            <w:tcBorders/>
            <w:vAlign w:val="center"/>
          </w:tcPr>
          <w:p>
            <w:pPr>
              <w:jc w:val="right"/>
            </w:pPr>
            <w:r>
              <w:rPr>
                <w:rFonts w:ascii="宋体" w:eastAsia="宋体" w:hAnsi="宋体" w:cs="宋体"/>
                <w:b w:val="0"/>
                <w:i w:val="0"/>
                <w:color w:val="000000"/>
                <w:sz w:val="18"/>
              </w:rPr>
              <w:t xml:space="preserve">32.30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2.25</w:t>
            </w:r>
          </w:p>
        </w:tc>
        <w:tc>
          <w:tcPr>
            <w:tcW w:w="1420" w:type="dxa"/>
            <w:tcBorders/>
            <w:vAlign w:val="center"/>
          </w:tcPr>
          <w:p>
            <w:pPr>
              <w:jc w:val="right"/>
            </w:pPr>
            <w:r>
              <w:rPr>
                <w:rFonts w:ascii="宋体" w:eastAsia="宋体" w:hAnsi="宋体" w:cs="宋体"/>
                <w:b w:val="0"/>
                <w:i w:val="0"/>
                <w:color w:val="000000"/>
                <w:sz w:val="18"/>
              </w:rPr>
              <w:t xml:space="preserve">2.25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26.24</w:t>
            </w:r>
          </w:p>
        </w:tc>
        <w:tc>
          <w:tcPr>
            <w:tcW w:w="1420" w:type="dxa"/>
            <w:tcBorders/>
            <w:vAlign w:val="center"/>
          </w:tcPr>
          <w:p>
            <w:pPr>
              <w:jc w:val="right"/>
            </w:pPr>
            <w:r>
              <w:rPr>
                <w:rFonts w:ascii="宋体" w:eastAsia="宋体" w:hAnsi="宋体" w:cs="宋体"/>
                <w:b w:val="0"/>
                <w:i w:val="0"/>
                <w:color w:val="000000"/>
                <w:sz w:val="18"/>
              </w:rPr>
              <w:t xml:space="preserve">26.24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833.89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833.89</w:t>
            </w:r>
          </w:p>
        </w:tc>
        <w:tc>
          <w:tcPr>
            <w:tcW w:w="1420" w:type="dxa"/>
            <w:tcBorders/>
            <w:vAlign w:val="center"/>
          </w:tcPr>
          <w:p>
            <w:pPr>
              <w:jc w:val="right"/>
            </w:pPr>
            <w:r>
              <w:rPr>
                <w:rFonts w:ascii="宋体" w:eastAsia="宋体" w:hAnsi="宋体" w:cs="宋体"/>
                <w:b w:val="0"/>
                <w:i w:val="0"/>
                <w:color w:val="000000"/>
                <w:sz w:val="18"/>
              </w:rPr>
              <w:t xml:space="preserve">833.89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833.89</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833.89</w:t>
            </w:r>
          </w:p>
        </w:tc>
        <w:tc>
          <w:tcPr>
            <w:tcW w:w="1420" w:type="dxa"/>
            <w:tcBorders/>
            <w:vAlign w:val="center"/>
          </w:tcPr>
          <w:p>
            <w:pPr>
              <w:jc w:val="right"/>
            </w:pPr>
            <w:r>
              <w:rPr>
                <w:rFonts w:ascii="宋体" w:eastAsia="宋体" w:hAnsi="宋体" w:cs="宋体"/>
                <w:b w:val="0"/>
                <w:i w:val="0"/>
                <w:color w:val="000000"/>
                <w:sz w:val="18"/>
              </w:rPr>
              <w:t xml:space="preserve">833.89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833.89</w:t>
            </w:r>
          </w:p>
        </w:tc>
        <w:tc>
          <w:tcPr>
            <w:tcW w:w="2700" w:type="dxa"/>
            <w:tcBorders/>
            <w:vAlign w:val="center"/>
          </w:tcPr>
          <w:p>
            <w:pPr>
              <w:jc w:val="right"/>
            </w:pPr>
            <w:r>
              <w:rPr>
                <w:rFonts w:ascii="宋体" w:eastAsia="宋体" w:hAnsi="宋体" w:cs="宋体"/>
                <w:b/>
                <w:i w:val="0"/>
                <w:color w:val="000000"/>
                <w:sz w:val="25"/>
              </w:rPr>
              <w:t xml:space="preserve">633.62</w:t>
            </w:r>
          </w:p>
        </w:tc>
        <w:tc>
          <w:tcPr>
            <w:tcW w:w="2658" w:type="dxa"/>
            <w:tcBorders/>
            <w:vAlign w:val="center"/>
          </w:tcPr>
          <w:p>
            <w:pPr>
              <w:jc w:val="right"/>
            </w:pPr>
            <w:r>
              <w:rPr>
                <w:rFonts w:ascii="宋体" w:eastAsia="宋体" w:hAnsi="宋体" w:cs="宋体"/>
                <w:b/>
                <w:i w:val="0"/>
                <w:color w:val="000000"/>
                <w:sz w:val="25"/>
              </w:rPr>
              <w:t xml:space="preserve">200.27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682.54</w:t>
            </w:r>
          </w:p>
        </w:tc>
        <w:tc>
          <w:tcPr>
            <w:tcW w:w="2700" w:type="dxa"/>
            <w:tcBorders/>
            <w:vAlign w:val="center"/>
          </w:tcPr>
          <w:p>
            <w:pPr>
              <w:jc w:val="right"/>
            </w:pPr>
            <w:r>
              <w:rPr>
                <w:rFonts w:ascii="宋体" w:eastAsia="宋体" w:hAnsi="宋体" w:cs="宋体"/>
                <w:b w:val="0"/>
                <w:i w:val="0"/>
                <w:color w:val="000000"/>
                <w:sz w:val="25"/>
              </w:rPr>
              <w:t xml:space="preserve">484.52</w:t>
            </w:r>
          </w:p>
        </w:tc>
        <w:tc>
          <w:tcPr>
            <w:tcW w:w="2658" w:type="dxa"/>
            <w:tcBorders/>
            <w:vAlign w:val="center"/>
          </w:tcPr>
          <w:p>
            <w:pPr>
              <w:jc w:val="right"/>
            </w:pPr>
            <w:r>
              <w:rPr>
                <w:rFonts w:ascii="宋体" w:eastAsia="宋体" w:hAnsi="宋体" w:cs="宋体"/>
                <w:b w:val="0"/>
                <w:i w:val="0"/>
                <w:color w:val="000000"/>
                <w:sz w:val="25"/>
              </w:rPr>
              <w:t xml:space="preserve">198.02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7.70</w:t>
            </w:r>
          </w:p>
        </w:tc>
        <w:tc>
          <w:tcPr>
            <w:tcW w:w="2700" w:type="dxa"/>
            <w:tcBorders/>
            <w:vAlign w:val="center"/>
          </w:tcPr>
          <w:p>
            <w:pPr>
              <w:jc w:val="right"/>
            </w:pPr>
            <w:r>
              <w:rPr>
                <w:rFonts w:ascii="宋体" w:eastAsia="宋体" w:hAnsi="宋体" w:cs="宋体"/>
                <w:b w:val="0"/>
                <w:i w:val="0"/>
                <w:color w:val="000000"/>
                <w:sz w:val="25"/>
              </w:rPr>
              <w:t xml:space="preserve">7.70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7.70</w:t>
            </w:r>
          </w:p>
        </w:tc>
        <w:tc>
          <w:tcPr>
            <w:tcW w:w="2700" w:type="dxa"/>
            <w:tcBorders/>
            <w:vAlign w:val="center"/>
          </w:tcPr>
          <w:p>
            <w:pPr>
              <w:jc w:val="right"/>
            </w:pPr>
            <w:r>
              <w:rPr>
                <w:rFonts w:ascii="宋体" w:eastAsia="宋体" w:hAnsi="宋体" w:cs="宋体"/>
                <w:b w:val="0"/>
                <w:i w:val="0"/>
                <w:color w:val="000000"/>
                <w:sz w:val="25"/>
              </w:rPr>
              <w:t xml:space="preserve">7.70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政府办公厅（室）及相关机构事务</w:t>
            </w:r>
          </w:p>
        </w:tc>
        <w:tc>
          <w:tcPr>
            <w:tcW w:w="2700" w:type="dxa"/>
            <w:tcBorders/>
            <w:vAlign w:val="center"/>
          </w:tcPr>
          <w:p>
            <w:pPr>
              <w:jc w:val="right"/>
            </w:pPr>
            <w:r>
              <w:rPr>
                <w:rFonts w:ascii="宋体" w:eastAsia="宋体" w:hAnsi="宋体" w:cs="宋体"/>
                <w:b w:val="0"/>
                <w:i w:val="0"/>
                <w:color w:val="000000"/>
                <w:sz w:val="25"/>
              </w:rPr>
              <w:t xml:space="preserve">649.49</w:t>
            </w:r>
          </w:p>
        </w:tc>
        <w:tc>
          <w:tcPr>
            <w:tcW w:w="2700" w:type="dxa"/>
            <w:tcBorders/>
            <w:vAlign w:val="center"/>
          </w:tcPr>
          <w:p>
            <w:pPr>
              <w:jc w:val="right"/>
            </w:pPr>
            <w:r>
              <w:rPr>
                <w:rFonts w:ascii="宋体" w:eastAsia="宋体" w:hAnsi="宋体" w:cs="宋体"/>
                <w:b w:val="0"/>
                <w:i w:val="0"/>
                <w:color w:val="000000"/>
                <w:sz w:val="25"/>
              </w:rPr>
              <w:t xml:space="preserve">451.48</w:t>
            </w:r>
          </w:p>
        </w:tc>
        <w:tc>
          <w:tcPr>
            <w:tcW w:w="2658" w:type="dxa"/>
            <w:tcBorders/>
            <w:vAlign w:val="center"/>
          </w:tcPr>
          <w:p>
            <w:pPr>
              <w:jc w:val="right"/>
            </w:pPr>
            <w:r>
              <w:rPr>
                <w:rFonts w:ascii="宋体" w:eastAsia="宋体" w:hAnsi="宋体" w:cs="宋体"/>
                <w:b w:val="0"/>
                <w:i w:val="0"/>
                <w:color w:val="000000"/>
                <w:sz w:val="25"/>
              </w:rPr>
              <w:t xml:space="preserve">198.02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451.48</w:t>
            </w:r>
          </w:p>
        </w:tc>
        <w:tc>
          <w:tcPr>
            <w:tcW w:w="2700" w:type="dxa"/>
            <w:tcBorders/>
            <w:vAlign w:val="center"/>
          </w:tcPr>
          <w:p>
            <w:pPr>
              <w:jc w:val="right"/>
            </w:pPr>
            <w:r>
              <w:rPr>
                <w:rFonts w:ascii="宋体" w:eastAsia="宋体" w:hAnsi="宋体" w:cs="宋体"/>
                <w:b w:val="0"/>
                <w:i w:val="0"/>
                <w:color w:val="000000"/>
                <w:sz w:val="25"/>
              </w:rPr>
              <w:t xml:space="preserve">451.48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信访事务</w:t>
            </w:r>
          </w:p>
        </w:tc>
        <w:tc>
          <w:tcPr>
            <w:tcW w:w="2700" w:type="dxa"/>
            <w:tcBorders/>
            <w:vAlign w:val="center"/>
          </w:tcPr>
          <w:p>
            <w:pPr>
              <w:jc w:val="right"/>
            </w:pPr>
            <w:r>
              <w:rPr>
                <w:rFonts w:ascii="宋体" w:eastAsia="宋体" w:hAnsi="宋体" w:cs="宋体"/>
                <w:b w:val="0"/>
                <w:i w:val="0"/>
                <w:color w:val="000000"/>
                <w:sz w:val="25"/>
              </w:rPr>
              <w:t xml:space="preserve">198.02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198.02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2.34</w:t>
            </w:r>
          </w:p>
        </w:tc>
        <w:tc>
          <w:tcPr>
            <w:tcW w:w="2700" w:type="dxa"/>
            <w:tcBorders/>
            <w:vAlign w:val="center"/>
          </w:tcPr>
          <w:p>
            <w:pPr>
              <w:jc w:val="right"/>
            </w:pPr>
            <w:r>
              <w:rPr>
                <w:rFonts w:ascii="宋体" w:eastAsia="宋体" w:hAnsi="宋体" w:cs="宋体"/>
                <w:b w:val="0"/>
                <w:i w:val="0"/>
                <w:color w:val="000000"/>
                <w:sz w:val="25"/>
              </w:rPr>
              <w:t xml:space="preserve">2.34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2.34</w:t>
            </w:r>
          </w:p>
        </w:tc>
        <w:tc>
          <w:tcPr>
            <w:tcW w:w="2700" w:type="dxa"/>
            <w:tcBorders/>
            <w:vAlign w:val="center"/>
          </w:tcPr>
          <w:p>
            <w:pPr>
              <w:jc w:val="right"/>
            </w:pPr>
            <w:r>
              <w:rPr>
                <w:rFonts w:ascii="宋体" w:eastAsia="宋体" w:hAnsi="宋体" w:cs="宋体"/>
                <w:b w:val="0"/>
                <w:i w:val="0"/>
                <w:color w:val="000000"/>
                <w:sz w:val="25"/>
              </w:rPr>
              <w:t xml:space="preserve">2.34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党委办公厅（室）及相关机构事务</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700" w:type="dxa"/>
            <w:tcBorders/>
            <w:vAlign w:val="center"/>
          </w:tcPr>
          <w:p>
            <w:pPr>
              <w:jc w:val="right"/>
            </w:pPr>
            <w:r>
              <w:rPr>
                <w:rFonts w:ascii="宋体" w:eastAsia="宋体" w:hAnsi="宋体" w:cs="宋体"/>
                <w:b w:val="0"/>
                <w:i w:val="0"/>
                <w:color w:val="000000"/>
                <w:sz w:val="25"/>
              </w:rPr>
              <w:t xml:space="preserve">2.91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20.09</w:t>
            </w:r>
          </w:p>
        </w:tc>
        <w:tc>
          <w:tcPr>
            <w:tcW w:w="2700" w:type="dxa"/>
            <w:tcBorders/>
            <w:vAlign w:val="center"/>
          </w:tcPr>
          <w:p>
            <w:pPr>
              <w:jc w:val="right"/>
            </w:pPr>
            <w:r>
              <w:rPr>
                <w:rFonts w:ascii="宋体" w:eastAsia="宋体" w:hAnsi="宋体" w:cs="宋体"/>
                <w:b w:val="0"/>
                <w:i w:val="0"/>
                <w:color w:val="000000"/>
                <w:sz w:val="25"/>
              </w:rPr>
              <w:t xml:space="preserve">20.09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20.09</w:t>
            </w:r>
          </w:p>
        </w:tc>
        <w:tc>
          <w:tcPr>
            <w:tcW w:w="2700" w:type="dxa"/>
            <w:tcBorders/>
            <w:vAlign w:val="center"/>
          </w:tcPr>
          <w:p>
            <w:pPr>
              <w:jc w:val="right"/>
            </w:pPr>
            <w:r>
              <w:rPr>
                <w:rFonts w:ascii="宋体" w:eastAsia="宋体" w:hAnsi="宋体" w:cs="宋体"/>
                <w:b w:val="0"/>
                <w:i w:val="0"/>
                <w:color w:val="000000"/>
                <w:sz w:val="25"/>
              </w:rPr>
              <w:t xml:space="preserve">20.09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90.57</w:t>
            </w:r>
          </w:p>
        </w:tc>
        <w:tc>
          <w:tcPr>
            <w:tcW w:w="2700" w:type="dxa"/>
            <w:tcBorders/>
            <w:vAlign w:val="center"/>
          </w:tcPr>
          <w:p>
            <w:pPr>
              <w:jc w:val="right"/>
            </w:pPr>
            <w:r>
              <w:rPr>
                <w:rFonts w:ascii="宋体" w:eastAsia="宋体" w:hAnsi="宋体" w:cs="宋体"/>
                <w:b w:val="0"/>
                <w:i w:val="0"/>
                <w:color w:val="000000"/>
                <w:sz w:val="25"/>
              </w:rPr>
              <w:t xml:space="preserve">90.57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90.57</w:t>
            </w:r>
          </w:p>
        </w:tc>
        <w:tc>
          <w:tcPr>
            <w:tcW w:w="2700" w:type="dxa"/>
            <w:tcBorders/>
            <w:vAlign w:val="center"/>
          </w:tcPr>
          <w:p>
            <w:pPr>
              <w:jc w:val="right"/>
            </w:pPr>
            <w:r>
              <w:rPr>
                <w:rFonts w:ascii="宋体" w:eastAsia="宋体" w:hAnsi="宋体" w:cs="宋体"/>
                <w:b w:val="0"/>
                <w:i w:val="0"/>
                <w:color w:val="000000"/>
                <w:sz w:val="25"/>
              </w:rPr>
              <w:t xml:space="preserve">90.57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64.22</w:t>
            </w:r>
          </w:p>
        </w:tc>
        <w:tc>
          <w:tcPr>
            <w:tcW w:w="2700" w:type="dxa"/>
            <w:tcBorders/>
            <w:vAlign w:val="center"/>
          </w:tcPr>
          <w:p>
            <w:pPr>
              <w:jc w:val="right"/>
            </w:pPr>
            <w:r>
              <w:rPr>
                <w:rFonts w:ascii="宋体" w:eastAsia="宋体" w:hAnsi="宋体" w:cs="宋体"/>
                <w:b w:val="0"/>
                <w:i w:val="0"/>
                <w:color w:val="000000"/>
                <w:sz w:val="25"/>
              </w:rPr>
              <w:t xml:space="preserve">64.22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26.35</w:t>
            </w:r>
          </w:p>
        </w:tc>
        <w:tc>
          <w:tcPr>
            <w:tcW w:w="2700" w:type="dxa"/>
            <w:tcBorders/>
            <w:vAlign w:val="center"/>
          </w:tcPr>
          <w:p>
            <w:pPr>
              <w:jc w:val="right"/>
            </w:pPr>
            <w:r>
              <w:rPr>
                <w:rFonts w:ascii="宋体" w:eastAsia="宋体" w:hAnsi="宋体" w:cs="宋体"/>
                <w:b w:val="0"/>
                <w:i w:val="0"/>
                <w:color w:val="000000"/>
                <w:sz w:val="25"/>
              </w:rPr>
              <w:t xml:space="preserve">26.35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32.30</w:t>
            </w:r>
          </w:p>
        </w:tc>
        <w:tc>
          <w:tcPr>
            <w:tcW w:w="2700" w:type="dxa"/>
            <w:tcBorders/>
            <w:vAlign w:val="center"/>
          </w:tcPr>
          <w:p>
            <w:pPr>
              <w:jc w:val="right"/>
            </w:pPr>
            <w:r>
              <w:rPr>
                <w:rFonts w:ascii="宋体" w:eastAsia="宋体" w:hAnsi="宋体" w:cs="宋体"/>
                <w:b w:val="0"/>
                <w:i w:val="0"/>
                <w:color w:val="000000"/>
                <w:sz w:val="25"/>
              </w:rPr>
              <w:t xml:space="preserve">32.30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32.30</w:t>
            </w:r>
          </w:p>
        </w:tc>
        <w:tc>
          <w:tcPr>
            <w:tcW w:w="2700" w:type="dxa"/>
            <w:tcBorders/>
            <w:vAlign w:val="center"/>
          </w:tcPr>
          <w:p>
            <w:pPr>
              <w:jc w:val="right"/>
            </w:pPr>
            <w:r>
              <w:rPr>
                <w:rFonts w:ascii="宋体" w:eastAsia="宋体" w:hAnsi="宋体" w:cs="宋体"/>
                <w:b w:val="0"/>
                <w:i w:val="0"/>
                <w:color w:val="000000"/>
                <w:sz w:val="25"/>
              </w:rPr>
              <w:t xml:space="preserve">32.30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16.90</w:t>
            </w:r>
          </w:p>
        </w:tc>
        <w:tc>
          <w:tcPr>
            <w:tcW w:w="2700" w:type="dxa"/>
            <w:tcBorders/>
            <w:vAlign w:val="center"/>
          </w:tcPr>
          <w:p>
            <w:pPr>
              <w:jc w:val="right"/>
            </w:pPr>
            <w:r>
              <w:rPr>
                <w:rFonts w:ascii="宋体" w:eastAsia="宋体" w:hAnsi="宋体" w:cs="宋体"/>
                <w:b w:val="0"/>
                <w:i w:val="0"/>
                <w:color w:val="000000"/>
                <w:sz w:val="25"/>
              </w:rPr>
              <w:t xml:space="preserve">16.90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15.39</w:t>
            </w:r>
          </w:p>
        </w:tc>
        <w:tc>
          <w:tcPr>
            <w:tcW w:w="2700" w:type="dxa"/>
            <w:tcBorders/>
            <w:vAlign w:val="center"/>
          </w:tcPr>
          <w:p>
            <w:pPr>
              <w:jc w:val="right"/>
            </w:pPr>
            <w:r>
              <w:rPr>
                <w:rFonts w:ascii="宋体" w:eastAsia="宋体" w:hAnsi="宋体" w:cs="宋体"/>
                <w:b w:val="0"/>
                <w:i w:val="0"/>
                <w:color w:val="000000"/>
                <w:sz w:val="25"/>
              </w:rPr>
              <w:t xml:space="preserve">15.39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2.25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2.25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2.25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26.24</w:t>
            </w:r>
          </w:p>
        </w:tc>
        <w:tc>
          <w:tcPr>
            <w:tcW w:w="2700" w:type="dxa"/>
            <w:tcBorders/>
            <w:vAlign w:val="center"/>
          </w:tcPr>
          <w:p>
            <w:pPr>
              <w:jc w:val="right"/>
            </w:pPr>
            <w:r>
              <w:rPr>
                <w:rFonts w:ascii="宋体" w:eastAsia="宋体" w:hAnsi="宋体" w:cs="宋体"/>
                <w:b w:val="0"/>
                <w:i w:val="0"/>
                <w:color w:val="000000"/>
                <w:sz w:val="25"/>
              </w:rPr>
              <w:t xml:space="preserve">26.24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26.24</w:t>
            </w:r>
          </w:p>
        </w:tc>
        <w:tc>
          <w:tcPr>
            <w:tcW w:w="2700" w:type="dxa"/>
            <w:tcBorders/>
            <w:vAlign w:val="center"/>
          </w:tcPr>
          <w:p>
            <w:pPr>
              <w:jc w:val="right"/>
            </w:pPr>
            <w:r>
              <w:rPr>
                <w:rFonts w:ascii="宋体" w:eastAsia="宋体" w:hAnsi="宋体" w:cs="宋体"/>
                <w:b w:val="0"/>
                <w:i w:val="0"/>
                <w:color w:val="000000"/>
                <w:sz w:val="25"/>
              </w:rPr>
              <w:t xml:space="preserve">26.24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26.24</w:t>
            </w:r>
          </w:p>
        </w:tc>
        <w:tc>
          <w:tcPr>
            <w:tcW w:w="2700" w:type="dxa"/>
            <w:tcBorders/>
            <w:vAlign w:val="center"/>
          </w:tcPr>
          <w:p>
            <w:pPr>
              <w:jc w:val="right"/>
            </w:pPr>
            <w:r>
              <w:rPr>
                <w:rFonts w:ascii="宋体" w:eastAsia="宋体" w:hAnsi="宋体" w:cs="宋体"/>
                <w:b w:val="0"/>
                <w:i w:val="0"/>
                <w:color w:val="000000"/>
                <w:sz w:val="25"/>
              </w:rPr>
              <w:t xml:space="preserve">26.24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510.21</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54.50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117.41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7.85</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190.67</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1.41</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89.00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26.35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1.80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15.43</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13.81</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1.50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0.21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1.73</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26.24</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1.64</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31.09</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0.16</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68.91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0.90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18.54</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1.28</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50.38</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0.74</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0.90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2.34</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2.85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4.00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21.37</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4.03</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579.12</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54.50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833.89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减少92.47万元，下降9.98%</w:t>
      </w:r>
      <w:r>
        <w:rPr>
          <w:rFonts w:ascii="仿宋" w:eastAsia="仿宋" w:hAnsi="仿宋" w:cs="仿宋" w:hint="eastAsia"/>
          <w:kern w:val="0"/>
          <w:sz w:val="32"/>
          <w:szCs w:val="32"/>
          <w:lang w:val="en-US" w:eastAsia="zh-CN"/>
        </w:rPr>
        <w:t xml:space="preserve">。主要原因是2022年9月份前二级机构工资通过局机关发放，9月后二级机构独立核算，导致2023年收支减少。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833.89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财政拨款收入833.89万元，占100.00%；上级补助收入0.00万元，占0.00%；事业收入0.00万元，占0.00%；经营收入0.00万元，占0.00%；附属单位上缴收入0.00万元，占0.00%；其他收入0.00万元，占0.00%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833.89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基本支出633.62万元，占75.98%；项目支出200.27万元，占24.02%；上缴上级支出0.00万元，占0.00%；经营支出0.00万元，占0.00%；对附属单位补助支出0.00万元，占0.00%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833.89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减少92.47万元，下降9.98%</w:t>
      </w:r>
      <w:r>
        <w:rPr>
          <w:rFonts w:ascii="仿宋" w:eastAsia="仿宋" w:hAnsi="仿宋" w:cs="仿宋" w:hint="eastAsia"/>
          <w:kern w:val="0"/>
          <w:sz w:val="32"/>
          <w:szCs w:val="32"/>
          <w:lang w:val="en-US" w:eastAsia="zh-CN"/>
        </w:rPr>
        <w:t xml:space="preserve">。主要原因是2022年9月份前二级机构工资通过局机关发放，9月后二级机构独立核算，导致2023年收支减少。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833.89</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减少92.47万元，下降9.98%</w:t>
      </w:r>
      <w:r>
        <w:rPr>
          <w:rFonts w:ascii="仿宋" w:eastAsia="仿宋" w:hAnsi="仿宋" w:cs="仿宋" w:hint="eastAsia"/>
          <w:kern w:val="0"/>
          <w:sz w:val="32"/>
          <w:szCs w:val="32"/>
          <w:lang w:val="en-US" w:eastAsia="zh-CN"/>
        </w:rPr>
        <w:t xml:space="preserve">。主要原因是2022年9月份前二级机构工资通过局机关发放，9月后二级机构独立核算，导致2023年收支减少。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833.89</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一般公共服务支出（类）682.54万元，占81.85%；社会保障和就业支出（类）90.57万元，占10.86%；卫生健康支出（类）32.30万元，占3.87%；农林水支出（类）2.25万元，占0.27%；住房保障支出（类）26.24万元，占3.15%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1001.03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833.89</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83.30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1.一般公共服务支出（类）人大事务（款）行政运行（项）</w:t>
      </w:r>
      <w:r>
        <w:rPr>
          <w:rFonts w:ascii="仿宋" w:eastAsia="仿宋" w:hAnsi="仿宋" w:cs="仿宋" w:hint="default"/>
          <w:kern w:val="2"/>
          <w:sz w:val="32"/>
          <w:szCs w:val="32"/>
          <w:lang w:val="en-US" w:eastAsia="zh-CN"/>
        </w:rPr>
        <w:t xml:space="preserve">年初预算数为0.00万元，决算数7.70万元,决算数与年初预算数存在差异的主要原因是根据业务需要，年中相应调剂安排财政拨款预算。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2.一般公共服务支出（类）政府办公厅（室）及相关机构事务（款）行政运行（项）</w:t>
      </w:r>
      <w:r>
        <w:rPr>
          <w:rFonts w:ascii="仿宋" w:eastAsia="仿宋" w:hAnsi="仿宋" w:cs="仿宋" w:hint="default"/>
          <w:kern w:val="2"/>
          <w:sz w:val="32"/>
          <w:szCs w:val="32"/>
          <w:lang w:val="en-US" w:eastAsia="zh-CN"/>
        </w:rPr>
        <w:t xml:space="preserve">年初预算数为410.07万元，决算数451.48万元,完成年初预算的110.10%，决算数与年初预算数存在差异的主要原因是人员晋级晋档调整职务，工资相应增加。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3.一般公共服务支出（类）政府办公厅（室）及相关机构事务（款）信访事务（项）</w:t>
      </w:r>
      <w:r>
        <w:rPr>
          <w:rFonts w:ascii="仿宋" w:eastAsia="仿宋" w:hAnsi="仿宋" w:cs="仿宋" w:hint="default"/>
          <w:kern w:val="2"/>
          <w:sz w:val="32"/>
          <w:szCs w:val="32"/>
          <w:lang w:val="en-US" w:eastAsia="zh-CN"/>
        </w:rPr>
        <w:t xml:space="preserve">年初预算数为152.18万元，决算数198.02万元,完成年初预算的130.12%，决算数与年初预算数存在差异的主要原因是年中追加全国两会和省委巡视工作经费，导致差异。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4.一般公共服务支出（类）群众团体事务（款）工会事务（项）</w:t>
      </w:r>
      <w:r>
        <w:rPr>
          <w:rFonts w:ascii="仿宋" w:eastAsia="仿宋" w:hAnsi="仿宋" w:cs="仿宋" w:hint="default"/>
          <w:kern w:val="2"/>
          <w:sz w:val="32"/>
          <w:szCs w:val="32"/>
          <w:lang w:val="en-US" w:eastAsia="zh-CN"/>
        </w:rPr>
        <w:t xml:space="preserve">年初预算数为2.34万元，决算数2.34万元,完成年初预算的100.00%，决算数与年初预算数不存在差异。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5.一般公共服务支出（类）党委办公厅（室）及相关机构事务（款）行政运行（项）</w:t>
      </w:r>
      <w:r>
        <w:rPr>
          <w:rFonts w:ascii="仿宋" w:eastAsia="仿宋" w:hAnsi="仿宋" w:cs="仿宋" w:hint="default"/>
          <w:kern w:val="2"/>
          <w:sz w:val="32"/>
          <w:szCs w:val="32"/>
          <w:lang w:val="en-US" w:eastAsia="zh-CN"/>
        </w:rPr>
        <w:t xml:space="preserve">年初预算数为0.00万元，决算数2.91万元,决算数与年初预算数存在差异的主要原因是根据业务需要，年中相应调剂安排财政拨款预算。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年初预算数为0.00万元，决算数20.09万元,决算数与年初预算数存在差异的主要原因是根据业务需要，年中相应调剂安排财政拨款预算。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年初预算数为55.28万元，决算数64.22万元,完成年初预算的116.17%，决算数与年初预算数存在差异的主要原因是离退休人员经费改革，追加离退休人员经费。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年初预算数为25.72万元，决算数26.35万元,完成年初预算的102.45%，决算数与年初预算数存在差异的主要原因是养老保险基数变动，导致支出增加。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9.卫生健康支出（类）行政事业单位医疗（款）行政单位医疗（项）</w:t>
      </w:r>
      <w:r>
        <w:rPr>
          <w:rFonts w:ascii="仿宋" w:eastAsia="仿宋" w:hAnsi="仿宋" w:cs="仿宋" w:hint="default"/>
          <w:kern w:val="2"/>
          <w:sz w:val="32"/>
          <w:szCs w:val="32"/>
          <w:lang w:val="en-US" w:eastAsia="zh-CN"/>
        </w:rPr>
        <w:t xml:space="preserve">年初预算数为13.81万元，决算数16.90万元,完成年初预算的122.38%，决算数与年初预算数存在差异的主要原因是医疗保险基数变动，导致支出增加。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10.卫生健康支出（类）行政事业单位医疗（款）公务员医疗补助（项）</w:t>
      </w:r>
      <w:r>
        <w:rPr>
          <w:rFonts w:ascii="仿宋" w:eastAsia="仿宋" w:hAnsi="仿宋" w:cs="仿宋" w:hint="default"/>
          <w:kern w:val="2"/>
          <w:sz w:val="32"/>
          <w:szCs w:val="32"/>
          <w:lang w:val="en-US" w:eastAsia="zh-CN"/>
        </w:rPr>
        <w:t xml:space="preserve">年初预算数为15.34万元，决算数15.39万元,完成年初预算的100.33%，决算数与年初预算数存在差异的主要原因是公务员医疗基数变动，导致支出增加。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年初预算数为0.00万元，决算数2.25万元,决算数与年初预算数存在差异的主要原因是根据业务需要，年中相应调剂安排财政拨款预算。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12.住房保障支出（类）住房改革支出（款）住房公积金（项）</w:t>
      </w:r>
      <w:r>
        <w:rPr>
          <w:rFonts w:ascii="仿宋" w:eastAsia="仿宋" w:hAnsi="仿宋" w:cs="仿宋" w:hint="default"/>
          <w:kern w:val="2"/>
          <w:sz w:val="32"/>
          <w:szCs w:val="32"/>
          <w:lang w:val="en-US" w:eastAsia="zh-CN"/>
        </w:rPr>
        <w:t xml:space="preserve">年初预算数为26.30万元，决算数26.24万元,完成年初预算的99.77%，决算数与年初预算数存在差异的主要原因是住房公积金基数调整，导致实际缴纳费用增加。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633.62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其中：人员经费579.12万元，主要包括：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公用经费54.50万元，主要包括：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主要用于车辆燃料费、维修费、保险费。</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2</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2023年度机关运行经费支出54.50万元，</w:t>
      </w:r>
      <w:r>
        <w:rPr>
          <w:rFonts w:ascii="仿宋" w:eastAsia="仿宋" w:hAnsi="仿宋" w:cs="仿宋" w:hint="eastAsia"/>
          <w:kern w:val="0"/>
          <w:sz w:val="32"/>
          <w:szCs w:val="32"/>
          <w:lang w:val="en-US" w:eastAsia="zh-CN"/>
        </w:rPr>
        <w:t xml:space="preserve">较2022年度增长21.76万元，</w:t>
      </w:r>
      <w:r>
        <w:rPr>
          <w:rFonts w:ascii="仿宋" w:eastAsia="仿宋" w:hAnsi="仿宋" w:cs="仿宋" w:hint="eastAsia"/>
          <w:kern w:val="0"/>
          <w:sz w:val="32"/>
          <w:szCs w:val="32"/>
          <w:lang w:val="en-US" w:eastAsia="zh-CN"/>
        </w:rPr>
        <w:t xml:space="preserve">增长66.46%，</w:t>
      </w:r>
      <w:r>
        <w:rPr>
          <w:rFonts w:ascii="仿宋" w:eastAsia="仿宋" w:hAnsi="仿宋" w:cs="仿宋" w:hint="eastAsia"/>
          <w:kern w:val="0"/>
          <w:sz w:val="32"/>
          <w:szCs w:val="32"/>
          <w:lang w:val="en-US" w:eastAsia="zh-CN"/>
        </w:rPr>
        <w:t xml:space="preserve">主要原因是以前年度需要支付资金在本年度支付。</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840.5</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99.9</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将按照上级部门要求，严格按照预算规定的资金用途开展绩效评价和监控，确保资金合理规范使用，确保项目绩效目标顺利完成，服务好本单位的中心工作。严格履行预算绩效管理主体责任，以绩效目标为导向，做好绩效运行监控，提升绩效自评质量，不断提高绩效管理工作水平，充分发挥财政资金使用效益</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基于项目预期目标的实现程度，我单位对2023年度单位预算项目支出（含单位参与分配的转移支付项目）开展绩效自评，涉及项目4个，项目金额125.86万元。其中：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驻京驻郑信访工作经费（基本运转支出），自评得分为100分，等级为“优”，预算执行情况良好，目标基本完成，本项目为许昌市信访局驻京驻郑工作组在北京和郑州值班强化源头预防和保证问题解决在属地，维护我市社会大局和谐稳定。</w:t>
        <w:br/>
        <w:t xml:space="preserve">    （2）专线线路租赁费（结转本级资金），自评得分为100分，等级为“优”预算执行情况良好，目标基本完成，本项目为我市为实现信访服务多元化、数据实时化、响应及时化，信访大数据收集比对、统计分析和预警处置，为党委政府决策和信访工作水平提升提供支持。</w:t>
        <w:br/>
        <w:t xml:space="preserve">    （3）全国两会和省委巡视期间信访工作经费，自评得分为100分，等级为“优”预算执行情况良好，目标基本完成，本项目为全市范围内开展信访稳定工作集中督查活动，督促各县（市、区）、市直各单位信访工作开展情况，确保全国“两会”和省委巡视期间，我市社会大局持续和谐稳定，北京不发生来自许昌的干扰。</w:t>
        <w:br/>
        <w:t xml:space="preserve">    （4）2023年许昌市派驻村第一书记补助经费（基本运转支出），自评得分为100分，等级为“优”预算执行情况良好，目标基本完成，本项目为驻村工作人员提供保障服务，确保了驻村帮扶工作顺利开展。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对本单位整体绩效目标和项目支出绩效目标进行了自评。一是单位整体绩效自评情况，我单位本着清晰明确可量化、可实现的原则，切实结合我单位工作实际，使单位整体绩效评价指标具有较强的针对性，充分体现出我单位的工作的性质、工作内容和特点。根据绩效评价结果来看，绩效指标设定较为科学、合理，体现了针对性和可实现性。我单位严格按照部门预算和有关财务规定，合理列收（支）项目，重大和特殊事项做好事前市场调整。依据调查结论制定工作方案和支出金额，阻绝浪费和不合理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2cdf055f-3895-4d79-a85e-502495307005"/>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794"/>
        <w:gridCol w:w="969"/>
        <w:gridCol w:w="711"/>
        <w:gridCol w:w="591"/>
        <w:gridCol w:w="1595"/>
        <w:gridCol w:w="1020"/>
        <w:gridCol w:w="1296"/>
        <w:gridCol w:w="585"/>
        <w:gridCol w:w="576"/>
        <w:gridCol w:w="696"/>
        <w:gridCol w:w="708"/>
        <w:gridCol w:w="114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lang w:val="en-US" w:eastAsia="zh-CN"/>
              </w:rPr>
              <w:t xml:space="preserve">单位</w:t>
            </w:r>
            <w:r>
              <w:rPr>
                <w:rFonts w:ascii="宋体" w:eastAsia="宋体" w:hAnsi="宋体" w:cs="宋体"/>
                <w:b/>
                <w:bCs/>
                <w:i w:val="0"/>
                <w:iCs w:val="0"/>
                <w:color w:val="000000"/>
                <w:kern w:val="0"/>
                <w:sz w:val="38"/>
                <w:szCs w:val="38"/>
                <w:u w:val="none"/>
                <w:lang w:val="en-US" w:eastAsia="zh-CN"/>
              </w:rPr>
              <w:t xml:space="preserve">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1001.03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840.50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833.92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99.21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9.9</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1001.03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834.67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828.09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99.21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5.83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5.83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1、强化源头预防，灵通信息预警；</w:t>
            </w:r>
            <w:r>
              <w:rPr/>
              <w:br/>
            </w:r>
            <w:r>
              <w:rPr>
                <w:rFonts w:ascii="宋体" w:eastAsia="宋体" w:hAnsi="宋体" w:cs="宋体"/>
                <w:i w:val="0"/>
                <w:iCs w:val="0"/>
                <w:color w:val="000000"/>
                <w:kern w:val="0"/>
                <w:sz w:val="18"/>
                <w:szCs w:val="18"/>
                <w:u w:val="none"/>
                <w:lang w:val="en-US" w:eastAsia="zh-CN"/>
              </w:rPr>
              <w:t xml:space="preserve">2、认真分析研判，强力督查督办；</w:t>
            </w:r>
            <w:r>
              <w:rPr/>
              <w:br/>
            </w:r>
            <w:r>
              <w:rPr>
                <w:rFonts w:ascii="宋体" w:eastAsia="宋体" w:hAnsi="宋体" w:cs="宋体"/>
                <w:i w:val="0"/>
                <w:iCs w:val="0"/>
                <w:color w:val="000000"/>
                <w:kern w:val="0"/>
                <w:sz w:val="18"/>
                <w:szCs w:val="18"/>
                <w:u w:val="none"/>
                <w:lang w:val="en-US" w:eastAsia="zh-CN"/>
              </w:rPr>
              <w:t xml:space="preserve">3、做好敏感时段维稳工作，完成驻京、驻郑信访保障任务；</w:t>
            </w:r>
            <w:r>
              <w:rPr/>
              <w:br/>
            </w:r>
            <w:r>
              <w:rPr>
                <w:rFonts w:ascii="宋体" w:eastAsia="宋体" w:hAnsi="宋体" w:cs="宋体"/>
                <w:i w:val="0"/>
                <w:iCs w:val="0"/>
                <w:color w:val="000000"/>
                <w:kern w:val="0"/>
                <w:sz w:val="18"/>
                <w:szCs w:val="18"/>
                <w:u w:val="none"/>
                <w:lang w:val="en-US" w:eastAsia="zh-CN"/>
              </w:rPr>
              <w:t xml:space="preserve">4、为党委政府决策和信访工作水平的提升提供支撑。</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按照序时进度推进，取得预期效果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落实政策，化解矛盾</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认真分析研判，强力督查督办，确保案结事了，息诉罢访</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按照序时进度推进，取得预期效果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99.21</w:t>
            </w: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0.00</w:t>
            </w: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总体工作完成率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年度工作目标实现率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9</w:t>
            </w:r>
            <w:r>
              <w:rPr>
                <w:rFonts w:ascii="宋体" w:eastAsia="宋体" w:hAnsi="宋体" w:cs="宋体" w:hint="eastAsia"/>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bl>
    <w:p>
      <w:pPr>
        <w:pStyle w:val="Normal_088fb6c7-4af6-4e28-a987-660a7bb62f0b"/>
        <w:sectPr>
          <w:pgSz w:w="11906" w:h="16838" w:orient="portrait"/>
          <w:pgMar w:top="720" w:right="720" w:bottom="720" w:left="720" w:header="851" w:footer="992" w:gutter="0"/>
          <w:cols w:num="1" w:space="425">
            <w:col w:w="10466" w:space="425"/>
          </w:cols>
          <w:docGrid w:type="lines" w:linePitch="312" w:charSpace="0"/>
        </w:sectPr>
      </w:pPr>
    </w:p>
    <w:tbl>
      <w:tblPr>
        <w:tblStyle w:val="NormalTable_2cdf055f-3895-4d79-a85e-502495307005"/>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636"/>
        <w:gridCol w:w="736"/>
        <w:gridCol w:w="878"/>
        <w:gridCol w:w="818"/>
        <w:gridCol w:w="701"/>
        <w:gridCol w:w="1252"/>
        <w:gridCol w:w="801"/>
        <w:gridCol w:w="711"/>
        <w:gridCol w:w="983"/>
        <w:gridCol w:w="983"/>
        <w:gridCol w:w="857"/>
        <w:gridCol w:w="878"/>
        <w:gridCol w:w="222"/>
        <w:gridCol w:w="22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驻京驻郑信访工作经费（基本运转支出）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83.99</w:t>
            </w:r>
          </w:p>
        </w:tc>
        <w:tc>
          <w:tcPr>
            <w:tcW w:type="auto" w:w="0"/>
            <w:tcBorders>
              <w:top w:val="nil"/>
              <w:left w:val="nil"/>
              <w:bottom w:val="nil"/>
              <w:right w:val="nil"/>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83.99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严格按照转移支付管理支付以及资金管理办法规定的范围和标准分配资金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严格按照国库集中支付支付有关规定支付资金，未出现违规将资金从国库转入财政专户霍支付到预算单位实有资金账户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严格按照上级下达和本级预算安排的金额执行，不存在执行数偏离预算数偏多的问题。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在细化下达预算时同步下达绩效目标，将有关资金纳入本级预算或对下转移支付绩效管理，开展绩效监控和绩效评价。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目标1：强化源头预防，灵通信息预警；</w:t>
            </w:r>
            <w:r>
              <w:rPr/>
              <w:br/>
            </w:r>
            <w:r>
              <w:rPr>
                <w:rFonts w:ascii="宋体" w:eastAsia="宋体" w:hAnsi="宋体" w:cs="宋体"/>
                <w:i w:val="0"/>
                <w:iCs w:val="0"/>
                <w:color w:val="000000"/>
                <w:kern w:val="0"/>
                <w:sz w:val="18"/>
                <w:szCs w:val="18"/>
                <w:u w:val="none"/>
                <w:lang w:val="en-US" w:eastAsia="zh-CN"/>
              </w:rPr>
              <w:t xml:space="preserve">目标2：认真分析研判，强力督查督办；</w:t>
            </w:r>
            <w:r>
              <w:rPr/>
              <w:br/>
            </w:r>
            <w:r>
              <w:rPr>
                <w:rFonts w:ascii="宋体" w:eastAsia="宋体" w:hAnsi="宋体" w:cs="宋体"/>
                <w:i w:val="0"/>
                <w:iCs w:val="0"/>
                <w:color w:val="000000"/>
                <w:kern w:val="0"/>
                <w:sz w:val="18"/>
                <w:szCs w:val="18"/>
                <w:u w:val="none"/>
                <w:lang w:val="en-US" w:eastAsia="zh-CN"/>
              </w:rPr>
              <w:t xml:space="preserve">目标3：严格人员管理，完成好驻京、驻郑信访保障任务；</w:t>
            </w:r>
            <w:r>
              <w:rPr/>
              <w:br/>
            </w:r>
            <w:r>
              <w:rPr>
                <w:rFonts w:ascii="宋体" w:eastAsia="宋体" w:hAnsi="宋体" w:cs="宋体"/>
                <w:i w:val="0"/>
                <w:iCs w:val="0"/>
                <w:color w:val="000000"/>
                <w:kern w:val="0"/>
                <w:sz w:val="18"/>
                <w:szCs w:val="18"/>
                <w:u w:val="none"/>
                <w:lang w:val="en-US" w:eastAsia="zh-CN"/>
              </w:rPr>
              <w:t xml:space="preserve">目标4：使赴京到省上访群众及时劝返，问题解决在当地。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强化源头预防，灵通信息预警；</w:t>
            </w:r>
            <w:r>
              <w:rPr/>
              <w:br/>
            </w:r>
            <w:r>
              <w:rPr>
                <w:rFonts w:ascii="宋体" w:eastAsia="宋体" w:hAnsi="宋体" w:cs="宋体"/>
                <w:i w:val="0"/>
                <w:iCs w:val="0"/>
                <w:color w:val="000000"/>
                <w:kern w:val="0"/>
                <w:sz w:val="18"/>
                <w:szCs w:val="18"/>
                <w:u w:val="none"/>
                <w:lang w:val="en-US" w:eastAsia="zh-CN"/>
              </w:rPr>
              <w:t xml:space="preserve">认真分析研判，强力督查督办；</w:t>
            </w:r>
            <w:r>
              <w:rPr/>
              <w:br/>
            </w:r>
            <w:r>
              <w:rPr>
                <w:rFonts w:ascii="宋体" w:eastAsia="宋体" w:hAnsi="宋体" w:cs="宋体"/>
                <w:i w:val="0"/>
                <w:iCs w:val="0"/>
                <w:color w:val="000000"/>
                <w:kern w:val="0"/>
                <w:sz w:val="18"/>
                <w:szCs w:val="18"/>
                <w:u w:val="none"/>
                <w:lang w:val="en-US" w:eastAsia="zh-CN"/>
              </w:rPr>
              <w:t xml:space="preserve">严格人员管理，完成好驻京、驻郑信访保障任务；</w:t>
            </w:r>
            <w:r>
              <w:rPr/>
              <w:br/>
            </w:r>
            <w:r>
              <w:rPr>
                <w:rFonts w:ascii="宋体" w:eastAsia="宋体" w:hAnsi="宋体" w:cs="宋体"/>
                <w:i w:val="0"/>
                <w:iCs w:val="0"/>
                <w:color w:val="000000"/>
                <w:kern w:val="0"/>
                <w:sz w:val="18"/>
                <w:szCs w:val="18"/>
                <w:u w:val="none"/>
                <w:lang w:val="en-US" w:eastAsia="zh-CN"/>
              </w:rPr>
              <w:t xml:space="preserve">使赴京到省上访群众及时劝返，问题解决在当地。</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全年信访维稳工作经费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≤84万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83.99万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信访总量（批）下降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赴京到省越级上访量下降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源头化解办结率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转交办率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及时受理率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赴京到省上访群众劝返率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积案化解率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center"/>
          </w:tcPr>
          <w:p>
            <w:pPr>
              <w:pStyle w:val="Normal_088fb6c7-4af6-4e28-a987-660a7bb62f0b"/>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专线线路租赁费（结转本级资金）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19.21</w:t>
            </w:r>
          </w:p>
        </w:tc>
        <w:tc>
          <w:tcPr>
            <w:tcW w:type="auto" w:w="0"/>
            <w:tcBorders>
              <w:top w:val="nil"/>
              <w:left w:val="nil"/>
              <w:bottom w:val="nil"/>
              <w:right w:val="nil"/>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严格按照国库集中支付制度有关规定支付资金，未出现违规将资金从国库转入财政专户或支付到预算单位实有资金账户等问题。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实现信访服务多元化，数据实时化，响应及时化，有助于信访大数据的收集比对，统计分析和预警处置，更好的为党委政府决策和信访工作水平的提升提供支撑，维护我市对外良好形象和和谐稳定的局面。</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实现信访服务多元化，数据实时化，响应及时化，有助于信访大数据的收集比对，统计分析和预警处置，更好的为党委政府决策和信访工作水平的提升提供支撑，维护我市对外良好形象和和谐稳定的局面。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指标1：租用网络专线26条，其中30M电路20条，每条每月568元，50M电路6条，每条每月775元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≤19.21万元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19.21万元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指标1：50M电路6条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≥50M</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50M</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指标2：30M电路20条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≥30M</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30M</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指标1：保障系统正常工作，场外摄像头、热点设备运转正常、图像清晰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正常工作</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指标1：质保年限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指标1：信访工作效率提高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全国两会和省委巡视期间信访工作经费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w:t>
            </w:r>
          </w:p>
        </w:tc>
        <w:tc>
          <w:tcPr>
            <w:tcW w:type="auto" w:w="0"/>
            <w:tcBorders>
              <w:top w:val="nil"/>
              <w:left w:val="nil"/>
              <w:bottom w:val="nil"/>
              <w:right w:val="nil"/>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严格按照转移支付管理支付以及资金管理办法规定的范围和标准分配资金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严格按照国库集中支付支付有关规定支付资金，未出现违规将资金从国库转入财政专户霍支付到预算单位实有资金账户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严格按照上级下达和本级预算安排的金额执行，不存在执行数偏离预算数偏多的问题。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在细化下达预算时同步下达绩效目标，将有关资金纳入本级预算或对下转移支付绩效管理，开展绩效监控和绩效评价。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目标1：强化源头预防，灵通信息预警；</w:t>
            </w:r>
            <w:r>
              <w:rPr/>
              <w:br/>
            </w:r>
            <w:r>
              <w:rPr>
                <w:rFonts w:ascii="宋体" w:eastAsia="宋体" w:hAnsi="宋体" w:cs="宋体"/>
                <w:i w:val="0"/>
                <w:iCs w:val="0"/>
                <w:color w:val="000000"/>
                <w:kern w:val="0"/>
                <w:sz w:val="18"/>
                <w:szCs w:val="18"/>
                <w:u w:val="none"/>
                <w:lang w:val="en-US" w:eastAsia="zh-CN"/>
              </w:rPr>
              <w:t xml:space="preserve">目标2：认真分析研判，强力督查督办；</w:t>
            </w:r>
            <w:r>
              <w:rPr/>
              <w:br/>
            </w:r>
            <w:r>
              <w:rPr>
                <w:rFonts w:ascii="宋体" w:eastAsia="宋体" w:hAnsi="宋体" w:cs="宋体"/>
                <w:i w:val="0"/>
                <w:iCs w:val="0"/>
                <w:color w:val="000000"/>
                <w:kern w:val="0"/>
                <w:sz w:val="18"/>
                <w:szCs w:val="18"/>
                <w:u w:val="none"/>
                <w:lang w:val="en-US" w:eastAsia="zh-CN"/>
              </w:rPr>
              <w:t xml:space="preserve">目标3：严格人员管理，完成好驻京、驻郑信访保障任务；</w:t>
            </w:r>
            <w:r>
              <w:rPr/>
              <w:br/>
            </w:r>
            <w:r>
              <w:rPr>
                <w:rFonts w:ascii="宋体" w:eastAsia="宋体" w:hAnsi="宋体" w:cs="宋体"/>
                <w:i w:val="0"/>
                <w:iCs w:val="0"/>
                <w:color w:val="000000"/>
                <w:kern w:val="0"/>
                <w:sz w:val="18"/>
                <w:szCs w:val="18"/>
                <w:u w:val="none"/>
                <w:lang w:val="en-US" w:eastAsia="zh-CN"/>
              </w:rPr>
              <w:t xml:space="preserve">目标4：使赴京到省上访群众及时劝返，问题解决在当地。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强化源头预防，灵通信息预警；</w:t>
            </w:r>
            <w:r>
              <w:rPr/>
              <w:br/>
            </w:r>
            <w:r>
              <w:rPr>
                <w:rFonts w:ascii="宋体" w:eastAsia="宋体" w:hAnsi="宋体" w:cs="宋体"/>
                <w:i w:val="0"/>
                <w:iCs w:val="0"/>
                <w:color w:val="000000"/>
                <w:kern w:val="0"/>
                <w:sz w:val="18"/>
                <w:szCs w:val="18"/>
                <w:u w:val="none"/>
                <w:lang w:val="en-US" w:eastAsia="zh-CN"/>
              </w:rPr>
              <w:t xml:space="preserve">认真分析研判，强力督查督办；</w:t>
            </w:r>
            <w:r>
              <w:rPr/>
              <w:br/>
            </w:r>
            <w:r>
              <w:rPr>
                <w:rFonts w:ascii="宋体" w:eastAsia="宋体" w:hAnsi="宋体" w:cs="宋体"/>
                <w:i w:val="0"/>
                <w:iCs w:val="0"/>
                <w:color w:val="000000"/>
                <w:kern w:val="0"/>
                <w:sz w:val="18"/>
                <w:szCs w:val="18"/>
                <w:u w:val="none"/>
                <w:lang w:val="en-US" w:eastAsia="zh-CN"/>
              </w:rPr>
              <w:t xml:space="preserve">严格人员管理，完成好驻京、驻郑信访保障任务；</w:t>
            </w:r>
            <w:r>
              <w:rPr/>
              <w:br/>
            </w:r>
            <w:r>
              <w:rPr>
                <w:rFonts w:ascii="宋体" w:eastAsia="宋体" w:hAnsi="宋体" w:cs="宋体"/>
                <w:i w:val="0"/>
                <w:iCs w:val="0"/>
                <w:color w:val="000000"/>
                <w:kern w:val="0"/>
                <w:sz w:val="18"/>
                <w:szCs w:val="18"/>
                <w:u w:val="none"/>
                <w:lang w:val="en-US" w:eastAsia="zh-CN"/>
              </w:rPr>
              <w:t xml:space="preserve">使赴京到省上访群众及时劝返，问题解决在当地。</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全国两会和省委巡视期间信访工作经费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信访总量（批）下降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赴京到省越级上访量下降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源头化解办结率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转交办率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及时受理率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赴京到省上访群众劝返率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积案化解率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088fb6c7-4af6-4e28-a987-660a7bb62f0b"/>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2023年许昌市派驻村第一书记补助经费（基本运转支出）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tcBorders>
              <w:top w:val="nil"/>
              <w:left w:val="nil"/>
              <w:bottom w:val="nil"/>
              <w:right w:val="nil"/>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严格按照转移支付管理支付以及资金管理办法规定的范围和标准分配资金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严格按照国库集中支付支付有关规定支付资金，未出现违规将资金从国库转入财政专户霍支付到预算单位实有资金账户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严格按照上级下达和本级预算安排的金额执行，不存在执行数偏离预算数偏多的问题。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在细化下达预算时同步下达绩效目标，将有关资金纳入本级预算或对下转移支付绩效管理，开展绩效监控和绩效评价。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目标1：为驻村工作人员提供保障服务，确保了驻村帮扶工作顺利开展。</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为驻村工作人员提供保障服务，确保了驻村帮扶工作顺利开展。</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保障驻村工作人员日常运行维护、工作津补贴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2.25万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为驻村工作人员提供工作经费和待遇保障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严格执行相关财经法规、制度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完成资金分配、审核和支付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大力推动强村富民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影响明显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影响明显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践行为民服务，落实党的惠民政策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88fb6c7-4af6-4e28-a987-660a7bb62f0b"/>
              <w:jc w:val="center"/>
              <w:rPr>
                <w:rFonts w:ascii="宋体" w:eastAsia="宋体" w:hAnsi="宋体" w:cs="宋体" w:hint="eastAsia"/>
                <w:i w:val="0"/>
                <w:iCs w:val="0"/>
                <w:color w:val="000000"/>
                <w:sz w:val="18"/>
                <w:szCs w:val="18"/>
                <w:u w:val="none"/>
              </w:rPr>
            </w:pPr>
          </w:p>
        </w:tc>
      </w:tr>
    </w:tbl>
    <w:p>
      <w:pPr>
        <w:pStyle w:val="Normal_088fb6c7-4af6-4e28-a987-660a7bb62f0b"/>
        <w:sectPr>
          <w:pgSz w:w="11906" w:h="16838" w:orient="portrait"/>
          <w:pgMar w:top="720" w:right="720" w:bottom="720" w:left="720" w:header="851" w:footer="992" w:gutter="0"/>
          <w:cols w:num="1" w:space="425">
            <w:col w:w="1046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70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088fb6c7-4af6-4e28-a987-660a7bb62f0b">
    <w:name w:val="Normal_088fb6c7-4af6-4e28-a987-660a7bb62f0b"/>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2cdf055f-3895-4d79-a85e-502495307005">
    <w:name w:val="Normal Table_2cdf055f-3895-4d79-a85e-502495307005"/>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