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许昌市体育运动中心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许昌市体育运动中心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许昌市体育运动中心概况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为社会选拔培养体育后备人才，向省运动队输送优秀体育苗子;开展各种体育训练和体育培训;负责运动员集训;代表许昌市组队参加省级以上各种体育赛事，承办全市运动会及有关体育赛事活动等。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许昌市体育运动中心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综合部、青少年训练部、竞赛部、全民健身部、球类部、重竞技部、设施维护部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许昌市体育运动中心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许昌市体育运动中心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46"/>
          <w:jc w:val="center"/>
        </w:trPr>
        <w:tc>
          <w:tcPr>
            <w:tcW w:w="4180" w:type="dxa"/>
            <w:hMerge w:val="restart"/>
            <w:vAlign w:val="center"/>
          </w:tcPr>
          <w:p>
            <w:pPr>
              <w:jc w:val="center"/>
            </w:pPr>
            <w:r>
              <w:rPr>
                <w:rFonts w:ascii="宋体" w:eastAsia="宋体" w:hAnsi="宋体" w:cs="宋体"/>
                <w:b w:val="0"/>
                <w:i w:val="0"/>
                <w:color w:val="000000"/>
                <w:sz w:val="21"/>
              </w:rPr>
              <w:t xml:space="preserve">收入</w:t>
            </w:r>
          </w:p>
        </w:tc>
        <w:tc>
          <w:tcPr>
            <w:tcW w:w="560" w:type="dxa"/>
            <w:hMerge/>
            <w:vAlign w:val="center"/>
          </w:tcPr>
          <w:p>
            <w:pPr/>
          </w:p>
        </w:tc>
        <w:tc>
          <w:tcPr>
            <w:tcW w:w="2240" w:type="dxa"/>
            <w:hMerge/>
            <w:vAlign w:val="center"/>
          </w:tcPr>
          <w:p>
            <w:pPr/>
          </w:p>
        </w:tc>
        <w:tc>
          <w:tcPr>
            <w:tcW w:w="4180" w:type="dxa"/>
            <w:hMerge w:val="restart"/>
            <w:vAlign w:val="center"/>
          </w:tcPr>
          <w:p>
            <w:pPr>
              <w:jc w:val="center"/>
            </w:pPr>
            <w:r>
              <w:rPr>
                <w:rFonts w:ascii="宋体" w:eastAsia="宋体" w:hAnsi="宋体" w:cs="宋体"/>
                <w:b w:val="0"/>
                <w:i w:val="0"/>
                <w:color w:val="000000"/>
                <w:sz w:val="21"/>
              </w:rPr>
              <w:t xml:space="preserve">支出</w:t>
            </w:r>
          </w:p>
        </w:tc>
        <w:tc>
          <w:tcPr>
            <w:tcW w:w="560" w:type="dxa"/>
            <w:hMerge/>
            <w:vAlign w:val="center"/>
          </w:tcPr>
          <w:p>
            <w:pPr/>
          </w:p>
        </w:tc>
        <w:tc>
          <w:tcPr>
            <w:tcW w:w="2238" w:type="dxa"/>
            <w:hMerge/>
            <w:vAlign w:val="center"/>
          </w:tcPr>
          <w:p>
            <w:pP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46"/>
          <w:jc w:val="center"/>
        </w:trPr>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1,286.45</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38.87</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879.59</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947.14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197.33</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35.51</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67.60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879.59</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2,166.04</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2,166.04</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jc w:val="left"/>
            </w:pPr>
            <w:r>
              <w:rPr>
                <w:rFonts w:ascii="宋体" w:eastAsia="宋体" w:hAnsi="宋体" w:cs="宋体"/>
                <w:b w:val="0"/>
                <w:i w:val="0"/>
                <w:color w:val="000000"/>
                <w:sz w:val="21"/>
              </w:rPr>
              <w:t xml:space="preserve">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46"/>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46"/>
          <w:jc w:val="center"/>
        </w:trPr>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2,166.04</w:t>
            </w:r>
          </w:p>
        </w:tc>
        <w:tc>
          <w:tcPr>
            <w:tcW w:w="4180" w:type="dxa"/>
            <w:tcBorders/>
            <w:vAlign w:val="center"/>
          </w:tcPr>
          <w:p>
            <w:pPr>
              <w:jc w:val="center"/>
            </w:pPr>
            <w:r>
              <w:rPr>
                <w:rFonts w:ascii="宋体" w:eastAsia="宋体" w:hAnsi="宋体" w:cs="宋体"/>
                <w:b/>
                <w:i w:val="0"/>
                <w:color w:val="000000"/>
                <w:sz w:val="21"/>
              </w:rPr>
              <w:t xml:space="preserve">总计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2,166.04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2,166.04</w:t>
            </w:r>
          </w:p>
        </w:tc>
        <w:tc>
          <w:tcPr>
            <w:tcW w:w="1440" w:type="dxa"/>
            <w:tcBorders/>
            <w:vAlign w:val="center"/>
          </w:tcPr>
          <w:p>
            <w:pPr>
              <w:jc w:val="right"/>
            </w:pPr>
            <w:r>
              <w:rPr>
                <w:rFonts w:ascii="宋体" w:eastAsia="宋体" w:hAnsi="宋体" w:cs="宋体"/>
                <w:b/>
                <w:i w:val="0"/>
                <w:color w:val="000000"/>
                <w:sz w:val="17"/>
              </w:rPr>
              <w:t xml:space="preserve">2,166.04</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38.88</w:t>
            </w:r>
          </w:p>
        </w:tc>
        <w:tc>
          <w:tcPr>
            <w:tcW w:w="1440" w:type="dxa"/>
            <w:tcBorders/>
            <w:vAlign w:val="center"/>
          </w:tcPr>
          <w:p>
            <w:pPr>
              <w:jc w:val="right"/>
            </w:pPr>
            <w:r>
              <w:rPr>
                <w:rFonts w:ascii="宋体" w:eastAsia="宋体" w:hAnsi="宋体" w:cs="宋体"/>
                <w:b w:val="0"/>
                <w:i w:val="0"/>
                <w:color w:val="000000"/>
                <w:sz w:val="17"/>
              </w:rPr>
              <w:t xml:space="preserve">38.88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6.88</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32.00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947.14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197.34</w:t>
            </w:r>
          </w:p>
        </w:tc>
        <w:tc>
          <w:tcPr>
            <w:tcW w:w="1440" w:type="dxa"/>
            <w:tcBorders/>
            <w:vAlign w:val="center"/>
          </w:tcPr>
          <w:p>
            <w:pPr>
              <w:jc w:val="right"/>
            </w:pPr>
            <w:r>
              <w:rPr>
                <w:rFonts w:ascii="宋体" w:eastAsia="宋体" w:hAnsi="宋体" w:cs="宋体"/>
                <w:b w:val="0"/>
                <w:i w:val="0"/>
                <w:color w:val="000000"/>
                <w:sz w:val="17"/>
              </w:rPr>
              <w:t xml:space="preserve">197.34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190.99</w:t>
            </w:r>
          </w:p>
        </w:tc>
        <w:tc>
          <w:tcPr>
            <w:tcW w:w="1440" w:type="dxa"/>
            <w:tcBorders/>
            <w:vAlign w:val="center"/>
          </w:tcPr>
          <w:p>
            <w:pPr>
              <w:jc w:val="right"/>
            </w:pPr>
            <w:r>
              <w:rPr>
                <w:rFonts w:ascii="宋体" w:eastAsia="宋体" w:hAnsi="宋体" w:cs="宋体"/>
                <w:b w:val="0"/>
                <w:i w:val="0"/>
                <w:color w:val="000000"/>
                <w:sz w:val="17"/>
              </w:rPr>
              <w:t xml:space="preserve">190.99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116.99</w:t>
            </w:r>
          </w:p>
        </w:tc>
        <w:tc>
          <w:tcPr>
            <w:tcW w:w="1440" w:type="dxa"/>
            <w:tcBorders/>
            <w:vAlign w:val="center"/>
          </w:tcPr>
          <w:p>
            <w:pPr>
              <w:jc w:val="right"/>
            </w:pPr>
            <w:r>
              <w:rPr>
                <w:rFonts w:ascii="宋体" w:eastAsia="宋体" w:hAnsi="宋体" w:cs="宋体"/>
                <w:b w:val="0"/>
                <w:i w:val="0"/>
                <w:color w:val="000000"/>
                <w:sz w:val="17"/>
              </w:rPr>
              <w:t xml:space="preserve">116.99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74.00</w:t>
            </w:r>
          </w:p>
        </w:tc>
        <w:tc>
          <w:tcPr>
            <w:tcW w:w="1440" w:type="dxa"/>
            <w:tcBorders/>
            <w:vAlign w:val="center"/>
          </w:tcPr>
          <w:p>
            <w:pPr>
              <w:jc w:val="right"/>
            </w:pPr>
            <w:r>
              <w:rPr>
                <w:rFonts w:ascii="宋体" w:eastAsia="宋体" w:hAnsi="宋体" w:cs="宋体"/>
                <w:b w:val="0"/>
                <w:i w:val="0"/>
                <w:color w:val="000000"/>
                <w:sz w:val="17"/>
              </w:rPr>
              <w:t xml:space="preserve">74.00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6.35</w:t>
            </w:r>
          </w:p>
        </w:tc>
        <w:tc>
          <w:tcPr>
            <w:tcW w:w="1440" w:type="dxa"/>
            <w:tcBorders/>
            <w:vAlign w:val="center"/>
          </w:tcPr>
          <w:p>
            <w:pPr>
              <w:jc w:val="right"/>
            </w:pPr>
            <w:r>
              <w:rPr>
                <w:rFonts w:ascii="宋体" w:eastAsia="宋体" w:hAnsi="宋体" w:cs="宋体"/>
                <w:b w:val="0"/>
                <w:i w:val="0"/>
                <w:color w:val="000000"/>
                <w:sz w:val="17"/>
              </w:rPr>
              <w:t xml:space="preserve">6.35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6.35</w:t>
            </w:r>
          </w:p>
        </w:tc>
        <w:tc>
          <w:tcPr>
            <w:tcW w:w="1440" w:type="dxa"/>
            <w:tcBorders/>
            <w:vAlign w:val="center"/>
          </w:tcPr>
          <w:p>
            <w:pPr>
              <w:jc w:val="right"/>
            </w:pPr>
            <w:r>
              <w:rPr>
                <w:rFonts w:ascii="宋体" w:eastAsia="宋体" w:hAnsi="宋体" w:cs="宋体"/>
                <w:b w:val="0"/>
                <w:i w:val="0"/>
                <w:color w:val="000000"/>
                <w:sz w:val="17"/>
              </w:rPr>
              <w:t xml:space="preserve">6.35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35.51</w:t>
            </w:r>
          </w:p>
        </w:tc>
        <w:tc>
          <w:tcPr>
            <w:tcW w:w="1440" w:type="dxa"/>
            <w:tcBorders/>
            <w:vAlign w:val="center"/>
          </w:tcPr>
          <w:p>
            <w:pPr>
              <w:jc w:val="right"/>
            </w:pPr>
            <w:r>
              <w:rPr>
                <w:rFonts w:ascii="宋体" w:eastAsia="宋体" w:hAnsi="宋体" w:cs="宋体"/>
                <w:b w:val="0"/>
                <w:i w:val="0"/>
                <w:color w:val="000000"/>
                <w:sz w:val="17"/>
              </w:rPr>
              <w:t xml:space="preserve">35.51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35.51</w:t>
            </w:r>
          </w:p>
        </w:tc>
        <w:tc>
          <w:tcPr>
            <w:tcW w:w="1440" w:type="dxa"/>
            <w:tcBorders/>
            <w:vAlign w:val="center"/>
          </w:tcPr>
          <w:p>
            <w:pPr>
              <w:jc w:val="right"/>
            </w:pPr>
            <w:r>
              <w:rPr>
                <w:rFonts w:ascii="宋体" w:eastAsia="宋体" w:hAnsi="宋体" w:cs="宋体"/>
                <w:b w:val="0"/>
                <w:i w:val="0"/>
                <w:color w:val="000000"/>
                <w:sz w:val="17"/>
              </w:rPr>
              <w:t xml:space="preserve">35.51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35.51</w:t>
            </w:r>
          </w:p>
        </w:tc>
        <w:tc>
          <w:tcPr>
            <w:tcW w:w="1440" w:type="dxa"/>
            <w:tcBorders/>
            <w:vAlign w:val="center"/>
          </w:tcPr>
          <w:p>
            <w:pPr>
              <w:jc w:val="right"/>
            </w:pPr>
            <w:r>
              <w:rPr>
                <w:rFonts w:ascii="宋体" w:eastAsia="宋体" w:hAnsi="宋体" w:cs="宋体"/>
                <w:b w:val="0"/>
                <w:i w:val="0"/>
                <w:color w:val="000000"/>
                <w:sz w:val="17"/>
              </w:rPr>
              <w:t xml:space="preserve">35.51</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67.60</w:t>
            </w:r>
          </w:p>
        </w:tc>
        <w:tc>
          <w:tcPr>
            <w:tcW w:w="1440" w:type="dxa"/>
            <w:tcBorders/>
            <w:vAlign w:val="center"/>
          </w:tcPr>
          <w:p>
            <w:pPr>
              <w:jc w:val="right"/>
            </w:pPr>
            <w:r>
              <w:rPr>
                <w:rFonts w:ascii="宋体" w:eastAsia="宋体" w:hAnsi="宋体" w:cs="宋体"/>
                <w:b w:val="0"/>
                <w:i w:val="0"/>
                <w:color w:val="000000"/>
                <w:sz w:val="17"/>
              </w:rPr>
              <w:t xml:space="preserve">67.60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67.60</w:t>
            </w:r>
          </w:p>
        </w:tc>
        <w:tc>
          <w:tcPr>
            <w:tcW w:w="1440" w:type="dxa"/>
            <w:tcBorders/>
            <w:vAlign w:val="center"/>
          </w:tcPr>
          <w:p>
            <w:pPr>
              <w:jc w:val="right"/>
            </w:pPr>
            <w:r>
              <w:rPr>
                <w:rFonts w:ascii="宋体" w:eastAsia="宋体" w:hAnsi="宋体" w:cs="宋体"/>
                <w:b w:val="0"/>
                <w:i w:val="0"/>
                <w:color w:val="000000"/>
                <w:sz w:val="17"/>
              </w:rPr>
              <w:t xml:space="preserve">67.60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67.60</w:t>
            </w:r>
          </w:p>
        </w:tc>
        <w:tc>
          <w:tcPr>
            <w:tcW w:w="1440" w:type="dxa"/>
            <w:tcBorders/>
            <w:vAlign w:val="center"/>
          </w:tcPr>
          <w:p>
            <w:pPr>
              <w:jc w:val="right"/>
            </w:pPr>
            <w:r>
              <w:rPr>
                <w:rFonts w:ascii="宋体" w:eastAsia="宋体" w:hAnsi="宋体" w:cs="宋体"/>
                <w:b w:val="0"/>
                <w:i w:val="0"/>
                <w:color w:val="000000"/>
                <w:sz w:val="17"/>
              </w:rPr>
              <w:t xml:space="preserve">67.60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879.59</w:t>
            </w:r>
          </w:p>
        </w:tc>
        <w:tc>
          <w:tcPr>
            <w:tcW w:w="1440" w:type="dxa"/>
            <w:tcBorders/>
            <w:vAlign w:val="center"/>
          </w:tcPr>
          <w:p>
            <w:pPr>
              <w:jc w:val="right"/>
            </w:pPr>
            <w:r>
              <w:rPr>
                <w:rFonts w:ascii="宋体" w:eastAsia="宋体" w:hAnsi="宋体" w:cs="宋体"/>
                <w:b w:val="0"/>
                <w:i w:val="0"/>
                <w:color w:val="000000"/>
                <w:sz w:val="17"/>
              </w:rPr>
              <w:t xml:space="preserve">879.59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彩票公益金安排的支出</w:t>
            </w:r>
          </w:p>
        </w:tc>
        <w:tc>
          <w:tcPr>
            <w:tcW w:w="1440" w:type="dxa"/>
            <w:tcBorders/>
            <w:vAlign w:val="center"/>
          </w:tcPr>
          <w:p>
            <w:pPr>
              <w:jc w:val="right"/>
            </w:pPr>
            <w:r>
              <w:rPr>
                <w:rFonts w:ascii="宋体" w:eastAsia="宋体" w:hAnsi="宋体" w:cs="宋体"/>
                <w:b w:val="0"/>
                <w:i w:val="0"/>
                <w:color w:val="000000"/>
                <w:sz w:val="17"/>
              </w:rPr>
              <w:t xml:space="preserve">879.59</w:t>
            </w:r>
          </w:p>
        </w:tc>
        <w:tc>
          <w:tcPr>
            <w:tcW w:w="1440" w:type="dxa"/>
            <w:tcBorders/>
            <w:vAlign w:val="center"/>
          </w:tcPr>
          <w:p>
            <w:pPr>
              <w:jc w:val="right"/>
            </w:pPr>
            <w:r>
              <w:rPr>
                <w:rFonts w:ascii="宋体" w:eastAsia="宋体" w:hAnsi="宋体" w:cs="宋体"/>
                <w:b w:val="0"/>
                <w:i w:val="0"/>
                <w:color w:val="000000"/>
                <w:sz w:val="17"/>
              </w:rPr>
              <w:t xml:space="preserve">879.59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2296003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用于体育事业的彩票公益金支出</w:t>
            </w:r>
          </w:p>
        </w:tc>
        <w:tc>
          <w:tcPr>
            <w:tcW w:w="1440" w:type="dxa"/>
            <w:tcBorders/>
            <w:vAlign w:val="center"/>
          </w:tcPr>
          <w:p>
            <w:pPr>
              <w:jc w:val="right"/>
            </w:pPr>
            <w:r>
              <w:rPr>
                <w:rFonts w:ascii="宋体" w:eastAsia="宋体" w:hAnsi="宋体" w:cs="宋体"/>
                <w:b w:val="0"/>
                <w:i w:val="0"/>
                <w:color w:val="000000"/>
                <w:sz w:val="17"/>
              </w:rPr>
              <w:t xml:space="preserve">879.59</w:t>
            </w:r>
          </w:p>
        </w:tc>
        <w:tc>
          <w:tcPr>
            <w:tcW w:w="1440" w:type="dxa"/>
            <w:tcBorders/>
            <w:vAlign w:val="center"/>
          </w:tcPr>
          <w:p>
            <w:pPr>
              <w:jc w:val="right"/>
            </w:pPr>
            <w:r>
              <w:rPr>
                <w:rFonts w:ascii="宋体" w:eastAsia="宋体" w:hAnsi="宋体" w:cs="宋体"/>
                <w:b w:val="0"/>
                <w:i w:val="0"/>
                <w:color w:val="000000"/>
                <w:sz w:val="17"/>
              </w:rPr>
              <w:t xml:space="preserve">879.59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2,166.04</w:t>
            </w:r>
          </w:p>
        </w:tc>
        <w:tc>
          <w:tcPr>
            <w:tcW w:w="1600" w:type="dxa"/>
            <w:tcBorders/>
            <w:vAlign w:val="center"/>
          </w:tcPr>
          <w:p>
            <w:pPr>
              <w:jc w:val="right"/>
            </w:pPr>
            <w:r>
              <w:rPr>
                <w:rFonts w:ascii="宋体" w:eastAsia="宋体" w:hAnsi="宋体" w:cs="宋体"/>
                <w:b/>
                <w:i w:val="0"/>
                <w:color w:val="000000"/>
                <w:sz w:val="19"/>
              </w:rPr>
              <w:t xml:space="preserve">1,286.45</w:t>
            </w:r>
          </w:p>
        </w:tc>
        <w:tc>
          <w:tcPr>
            <w:tcW w:w="1600" w:type="dxa"/>
            <w:tcBorders/>
            <w:vAlign w:val="center"/>
          </w:tcPr>
          <w:p>
            <w:pPr>
              <w:jc w:val="right"/>
            </w:pPr>
            <w:r>
              <w:rPr>
                <w:rFonts w:ascii="宋体" w:eastAsia="宋体" w:hAnsi="宋体" w:cs="宋体"/>
                <w:b/>
                <w:i w:val="0"/>
                <w:color w:val="000000"/>
                <w:sz w:val="19"/>
              </w:rPr>
              <w:t xml:space="preserve">879.59</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38.88</w:t>
            </w:r>
          </w:p>
        </w:tc>
        <w:tc>
          <w:tcPr>
            <w:tcW w:w="1600" w:type="dxa"/>
            <w:tcBorders/>
            <w:vAlign w:val="center"/>
          </w:tcPr>
          <w:p>
            <w:pPr>
              <w:jc w:val="right"/>
            </w:pPr>
            <w:r>
              <w:rPr>
                <w:rFonts w:ascii="宋体" w:eastAsia="宋体" w:hAnsi="宋体" w:cs="宋体"/>
                <w:b w:val="0"/>
                <w:i w:val="0"/>
                <w:color w:val="000000"/>
                <w:sz w:val="19"/>
              </w:rPr>
              <w:t xml:space="preserve">38.88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6.88</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32.00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947.14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197.34</w:t>
            </w:r>
          </w:p>
        </w:tc>
        <w:tc>
          <w:tcPr>
            <w:tcW w:w="1600" w:type="dxa"/>
            <w:tcBorders/>
            <w:vAlign w:val="center"/>
          </w:tcPr>
          <w:p>
            <w:pPr>
              <w:jc w:val="right"/>
            </w:pPr>
            <w:r>
              <w:rPr>
                <w:rFonts w:ascii="宋体" w:eastAsia="宋体" w:hAnsi="宋体" w:cs="宋体"/>
                <w:b w:val="0"/>
                <w:i w:val="0"/>
                <w:color w:val="000000"/>
                <w:sz w:val="19"/>
              </w:rPr>
              <w:t xml:space="preserve">197.34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190.99</w:t>
            </w:r>
          </w:p>
        </w:tc>
        <w:tc>
          <w:tcPr>
            <w:tcW w:w="1600" w:type="dxa"/>
            <w:tcBorders/>
            <w:vAlign w:val="center"/>
          </w:tcPr>
          <w:p>
            <w:pPr>
              <w:jc w:val="right"/>
            </w:pPr>
            <w:r>
              <w:rPr>
                <w:rFonts w:ascii="宋体" w:eastAsia="宋体" w:hAnsi="宋体" w:cs="宋体"/>
                <w:b w:val="0"/>
                <w:i w:val="0"/>
                <w:color w:val="000000"/>
                <w:sz w:val="19"/>
              </w:rPr>
              <w:t xml:space="preserve">190.99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116.99</w:t>
            </w:r>
          </w:p>
        </w:tc>
        <w:tc>
          <w:tcPr>
            <w:tcW w:w="1600" w:type="dxa"/>
            <w:tcBorders/>
            <w:vAlign w:val="center"/>
          </w:tcPr>
          <w:p>
            <w:pPr>
              <w:jc w:val="right"/>
            </w:pPr>
            <w:r>
              <w:rPr>
                <w:rFonts w:ascii="宋体" w:eastAsia="宋体" w:hAnsi="宋体" w:cs="宋体"/>
                <w:b w:val="0"/>
                <w:i w:val="0"/>
                <w:color w:val="000000"/>
                <w:sz w:val="19"/>
              </w:rPr>
              <w:t xml:space="preserve">116.99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74.00</w:t>
            </w:r>
          </w:p>
        </w:tc>
        <w:tc>
          <w:tcPr>
            <w:tcW w:w="1600" w:type="dxa"/>
            <w:tcBorders/>
            <w:vAlign w:val="center"/>
          </w:tcPr>
          <w:p>
            <w:pPr>
              <w:jc w:val="right"/>
            </w:pPr>
            <w:r>
              <w:rPr>
                <w:rFonts w:ascii="宋体" w:eastAsia="宋体" w:hAnsi="宋体" w:cs="宋体"/>
                <w:b w:val="0"/>
                <w:i w:val="0"/>
                <w:color w:val="000000"/>
                <w:sz w:val="19"/>
              </w:rPr>
              <w:t xml:space="preserve">74.00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6.35</w:t>
            </w:r>
          </w:p>
        </w:tc>
        <w:tc>
          <w:tcPr>
            <w:tcW w:w="1600" w:type="dxa"/>
            <w:tcBorders/>
            <w:vAlign w:val="center"/>
          </w:tcPr>
          <w:p>
            <w:pPr>
              <w:jc w:val="right"/>
            </w:pPr>
            <w:r>
              <w:rPr>
                <w:rFonts w:ascii="宋体" w:eastAsia="宋体" w:hAnsi="宋体" w:cs="宋体"/>
                <w:b w:val="0"/>
                <w:i w:val="0"/>
                <w:color w:val="000000"/>
                <w:sz w:val="19"/>
              </w:rPr>
              <w:t xml:space="preserve">6.35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6.35</w:t>
            </w:r>
          </w:p>
        </w:tc>
        <w:tc>
          <w:tcPr>
            <w:tcW w:w="1600" w:type="dxa"/>
            <w:tcBorders/>
            <w:vAlign w:val="center"/>
          </w:tcPr>
          <w:p>
            <w:pPr>
              <w:jc w:val="right"/>
            </w:pPr>
            <w:r>
              <w:rPr>
                <w:rFonts w:ascii="宋体" w:eastAsia="宋体" w:hAnsi="宋体" w:cs="宋体"/>
                <w:b w:val="0"/>
                <w:i w:val="0"/>
                <w:color w:val="000000"/>
                <w:sz w:val="19"/>
              </w:rPr>
              <w:t xml:space="preserve">6.35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35.51</w:t>
            </w:r>
          </w:p>
        </w:tc>
        <w:tc>
          <w:tcPr>
            <w:tcW w:w="1600" w:type="dxa"/>
            <w:tcBorders/>
            <w:vAlign w:val="center"/>
          </w:tcPr>
          <w:p>
            <w:pPr>
              <w:jc w:val="right"/>
            </w:pPr>
            <w:r>
              <w:rPr>
                <w:rFonts w:ascii="宋体" w:eastAsia="宋体" w:hAnsi="宋体" w:cs="宋体"/>
                <w:b w:val="0"/>
                <w:i w:val="0"/>
                <w:color w:val="000000"/>
                <w:sz w:val="19"/>
              </w:rPr>
              <w:t xml:space="preserve">35.51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35.51</w:t>
            </w:r>
          </w:p>
        </w:tc>
        <w:tc>
          <w:tcPr>
            <w:tcW w:w="1600" w:type="dxa"/>
            <w:tcBorders/>
            <w:vAlign w:val="center"/>
          </w:tcPr>
          <w:p>
            <w:pPr>
              <w:jc w:val="right"/>
            </w:pPr>
            <w:r>
              <w:rPr>
                <w:rFonts w:ascii="宋体" w:eastAsia="宋体" w:hAnsi="宋体" w:cs="宋体"/>
                <w:b w:val="0"/>
                <w:i w:val="0"/>
                <w:color w:val="000000"/>
                <w:sz w:val="19"/>
              </w:rPr>
              <w:t xml:space="preserve">35.51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35.51</w:t>
            </w:r>
          </w:p>
        </w:tc>
        <w:tc>
          <w:tcPr>
            <w:tcW w:w="1600" w:type="dxa"/>
            <w:tcBorders/>
            <w:vAlign w:val="center"/>
          </w:tcPr>
          <w:p>
            <w:pPr>
              <w:jc w:val="right"/>
            </w:pPr>
            <w:r>
              <w:rPr>
                <w:rFonts w:ascii="宋体" w:eastAsia="宋体" w:hAnsi="宋体" w:cs="宋体"/>
                <w:b w:val="0"/>
                <w:i w:val="0"/>
                <w:color w:val="000000"/>
                <w:sz w:val="19"/>
              </w:rPr>
              <w:t xml:space="preserve">35.51</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67.60</w:t>
            </w:r>
          </w:p>
        </w:tc>
        <w:tc>
          <w:tcPr>
            <w:tcW w:w="1600" w:type="dxa"/>
            <w:tcBorders/>
            <w:vAlign w:val="center"/>
          </w:tcPr>
          <w:p>
            <w:pPr>
              <w:jc w:val="right"/>
            </w:pPr>
            <w:r>
              <w:rPr>
                <w:rFonts w:ascii="宋体" w:eastAsia="宋体" w:hAnsi="宋体" w:cs="宋体"/>
                <w:b w:val="0"/>
                <w:i w:val="0"/>
                <w:color w:val="000000"/>
                <w:sz w:val="19"/>
              </w:rPr>
              <w:t xml:space="preserve">67.60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67.60</w:t>
            </w:r>
          </w:p>
        </w:tc>
        <w:tc>
          <w:tcPr>
            <w:tcW w:w="1600" w:type="dxa"/>
            <w:tcBorders/>
            <w:vAlign w:val="center"/>
          </w:tcPr>
          <w:p>
            <w:pPr>
              <w:jc w:val="right"/>
            </w:pPr>
            <w:r>
              <w:rPr>
                <w:rFonts w:ascii="宋体" w:eastAsia="宋体" w:hAnsi="宋体" w:cs="宋体"/>
                <w:b w:val="0"/>
                <w:i w:val="0"/>
                <w:color w:val="000000"/>
                <w:sz w:val="19"/>
              </w:rPr>
              <w:t xml:space="preserve">67.60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67.60</w:t>
            </w:r>
          </w:p>
        </w:tc>
        <w:tc>
          <w:tcPr>
            <w:tcW w:w="1600" w:type="dxa"/>
            <w:tcBorders/>
            <w:vAlign w:val="center"/>
          </w:tcPr>
          <w:p>
            <w:pPr>
              <w:jc w:val="right"/>
            </w:pPr>
            <w:r>
              <w:rPr>
                <w:rFonts w:ascii="宋体" w:eastAsia="宋体" w:hAnsi="宋体" w:cs="宋体"/>
                <w:b w:val="0"/>
                <w:i w:val="0"/>
                <w:color w:val="000000"/>
                <w:sz w:val="19"/>
              </w:rPr>
              <w:t xml:space="preserve">67.60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879.59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879.59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彩票公益金安排的支出</w:t>
            </w:r>
          </w:p>
        </w:tc>
        <w:tc>
          <w:tcPr>
            <w:tcW w:w="1600" w:type="dxa"/>
            <w:tcBorders/>
            <w:vAlign w:val="center"/>
          </w:tcPr>
          <w:p>
            <w:pPr>
              <w:jc w:val="right"/>
            </w:pPr>
            <w:r>
              <w:rPr>
                <w:rFonts w:ascii="宋体" w:eastAsia="宋体" w:hAnsi="宋体" w:cs="宋体"/>
                <w:b w:val="0"/>
                <w:i w:val="0"/>
                <w:color w:val="000000"/>
                <w:sz w:val="19"/>
              </w:rPr>
              <w:t xml:space="preserve">879.59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879.59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2296003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用于体育事业的彩票公益金支出</w:t>
            </w:r>
          </w:p>
        </w:tc>
        <w:tc>
          <w:tcPr>
            <w:tcW w:w="1600" w:type="dxa"/>
            <w:tcBorders/>
            <w:vAlign w:val="center"/>
          </w:tcPr>
          <w:p>
            <w:pPr>
              <w:jc w:val="right"/>
            </w:pPr>
            <w:r>
              <w:rPr>
                <w:rFonts w:ascii="宋体" w:eastAsia="宋体" w:hAnsi="宋体" w:cs="宋体"/>
                <w:b w:val="0"/>
                <w:i w:val="0"/>
                <w:color w:val="000000"/>
                <w:sz w:val="19"/>
              </w:rPr>
              <w:t xml:space="preserve">879.59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879.59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1,286.45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38.87</w:t>
            </w:r>
          </w:p>
        </w:tc>
        <w:tc>
          <w:tcPr>
            <w:tcW w:w="1420" w:type="dxa"/>
            <w:tcBorders/>
            <w:vAlign w:val="center"/>
          </w:tcPr>
          <w:p>
            <w:pPr>
              <w:jc w:val="right"/>
            </w:pPr>
            <w:r>
              <w:rPr>
                <w:rFonts w:ascii="宋体" w:eastAsia="宋体" w:hAnsi="宋体" w:cs="宋体"/>
                <w:b w:val="0"/>
                <w:i w:val="0"/>
                <w:color w:val="000000"/>
                <w:sz w:val="18"/>
              </w:rPr>
              <w:t xml:space="preserve">38.87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879.59</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947.14</w:t>
            </w:r>
          </w:p>
        </w:tc>
        <w:tc>
          <w:tcPr>
            <w:tcW w:w="1420" w:type="dxa"/>
            <w:tcBorders/>
            <w:vAlign w:val="center"/>
          </w:tcPr>
          <w:p>
            <w:pPr>
              <w:jc w:val="right"/>
            </w:pPr>
            <w:r>
              <w:rPr>
                <w:rFonts w:ascii="宋体" w:eastAsia="宋体" w:hAnsi="宋体" w:cs="宋体"/>
                <w:b w:val="0"/>
                <w:i w:val="0"/>
                <w:color w:val="000000"/>
                <w:sz w:val="18"/>
              </w:rPr>
              <w:t xml:space="preserve">947.14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197.33</w:t>
            </w:r>
          </w:p>
        </w:tc>
        <w:tc>
          <w:tcPr>
            <w:tcW w:w="1420" w:type="dxa"/>
            <w:tcBorders/>
            <w:vAlign w:val="center"/>
          </w:tcPr>
          <w:p>
            <w:pPr>
              <w:jc w:val="right"/>
            </w:pPr>
            <w:r>
              <w:rPr>
                <w:rFonts w:ascii="宋体" w:eastAsia="宋体" w:hAnsi="宋体" w:cs="宋体"/>
                <w:b w:val="0"/>
                <w:i w:val="0"/>
                <w:color w:val="000000"/>
                <w:sz w:val="18"/>
              </w:rPr>
              <w:t xml:space="preserve">197.33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35.51</w:t>
            </w:r>
          </w:p>
        </w:tc>
        <w:tc>
          <w:tcPr>
            <w:tcW w:w="1420" w:type="dxa"/>
            <w:tcBorders/>
            <w:vAlign w:val="center"/>
          </w:tcPr>
          <w:p>
            <w:pPr>
              <w:jc w:val="right"/>
            </w:pPr>
            <w:r>
              <w:rPr>
                <w:rFonts w:ascii="宋体" w:eastAsia="宋体" w:hAnsi="宋体" w:cs="宋体"/>
                <w:b w:val="0"/>
                <w:i w:val="0"/>
                <w:color w:val="000000"/>
                <w:sz w:val="18"/>
              </w:rPr>
              <w:t xml:space="preserve">35.51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67.60</w:t>
            </w:r>
          </w:p>
        </w:tc>
        <w:tc>
          <w:tcPr>
            <w:tcW w:w="1420" w:type="dxa"/>
            <w:tcBorders/>
            <w:vAlign w:val="center"/>
          </w:tcPr>
          <w:p>
            <w:pPr>
              <w:jc w:val="right"/>
            </w:pPr>
            <w:r>
              <w:rPr>
                <w:rFonts w:ascii="宋体" w:eastAsia="宋体" w:hAnsi="宋体" w:cs="宋体"/>
                <w:b w:val="0"/>
                <w:i w:val="0"/>
                <w:color w:val="000000"/>
                <w:sz w:val="18"/>
              </w:rPr>
              <w:t xml:space="preserve">67.60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879.59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879.59</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2,166.04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2,166.04</w:t>
            </w:r>
          </w:p>
        </w:tc>
        <w:tc>
          <w:tcPr>
            <w:tcW w:w="1420" w:type="dxa"/>
            <w:tcBorders/>
            <w:vAlign w:val="center"/>
          </w:tcPr>
          <w:p>
            <w:pPr>
              <w:jc w:val="right"/>
            </w:pPr>
            <w:r>
              <w:rPr>
                <w:rFonts w:ascii="宋体" w:eastAsia="宋体" w:hAnsi="宋体" w:cs="宋体"/>
                <w:b w:val="0"/>
                <w:i w:val="0"/>
                <w:color w:val="000000"/>
                <w:sz w:val="18"/>
              </w:rPr>
              <w:t xml:space="preserve">1,286.45</w:t>
            </w:r>
          </w:p>
        </w:tc>
        <w:tc>
          <w:tcPr>
            <w:tcW w:w="1420" w:type="dxa"/>
            <w:tcBorders/>
            <w:vAlign w:val="center"/>
          </w:tcPr>
          <w:p>
            <w:pPr>
              <w:jc w:val="right"/>
            </w:pPr>
            <w:r>
              <w:rPr>
                <w:rFonts w:ascii="宋体" w:eastAsia="宋体" w:hAnsi="宋体" w:cs="宋体"/>
                <w:b w:val="0"/>
                <w:i w:val="0"/>
                <w:color w:val="000000"/>
                <w:sz w:val="18"/>
              </w:rPr>
              <w:t xml:space="preserve">879.59</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2,166.04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2,166.04</w:t>
            </w:r>
          </w:p>
        </w:tc>
        <w:tc>
          <w:tcPr>
            <w:tcW w:w="1420" w:type="dxa"/>
            <w:tcBorders/>
            <w:vAlign w:val="center"/>
          </w:tcPr>
          <w:p>
            <w:pPr>
              <w:jc w:val="right"/>
            </w:pPr>
            <w:r>
              <w:rPr>
                <w:rFonts w:ascii="宋体" w:eastAsia="宋体" w:hAnsi="宋体" w:cs="宋体"/>
                <w:b w:val="0"/>
                <w:i w:val="0"/>
                <w:color w:val="000000"/>
                <w:sz w:val="18"/>
              </w:rPr>
              <w:t xml:space="preserve">1,286.45</w:t>
            </w:r>
          </w:p>
        </w:tc>
        <w:tc>
          <w:tcPr>
            <w:tcW w:w="1420" w:type="dxa"/>
            <w:tcBorders/>
            <w:vAlign w:val="center"/>
          </w:tcPr>
          <w:p>
            <w:pPr>
              <w:jc w:val="right"/>
            </w:pPr>
            <w:r>
              <w:rPr>
                <w:rFonts w:ascii="宋体" w:eastAsia="宋体" w:hAnsi="宋体" w:cs="宋体"/>
                <w:b w:val="0"/>
                <w:i w:val="0"/>
                <w:color w:val="000000"/>
                <w:sz w:val="18"/>
              </w:rPr>
              <w:t xml:space="preserve">879.59</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1,286.45</w:t>
            </w:r>
          </w:p>
        </w:tc>
        <w:tc>
          <w:tcPr>
            <w:tcW w:w="2700" w:type="dxa"/>
            <w:tcBorders/>
            <w:vAlign w:val="center"/>
          </w:tcPr>
          <w:p>
            <w:pPr>
              <w:jc w:val="right"/>
            </w:pPr>
            <w:r>
              <w:rPr>
                <w:rFonts w:ascii="宋体" w:eastAsia="宋体" w:hAnsi="宋体" w:cs="宋体"/>
                <w:b/>
                <w:i w:val="0"/>
                <w:color w:val="000000"/>
                <w:sz w:val="25"/>
              </w:rPr>
              <w:t xml:space="preserve">1,286.45</w:t>
            </w:r>
          </w:p>
        </w:tc>
        <w:tc>
          <w:tcPr>
            <w:tcW w:w="2658" w:type="dxa"/>
            <w:tcBorders/>
            <w:vAlign w:val="center"/>
          </w:tcPr>
          <w:p>
            <w:pPr>
              <w:jc w:val="right"/>
            </w:pPr>
            <w:r>
              <w:rPr>
                <w:rFonts w:ascii="宋体" w:eastAsia="宋体" w:hAnsi="宋体" w:cs="宋体"/>
                <w:b/>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38.88</w:t>
            </w:r>
          </w:p>
        </w:tc>
        <w:tc>
          <w:tcPr>
            <w:tcW w:w="2700" w:type="dxa"/>
            <w:tcBorders/>
            <w:vAlign w:val="center"/>
          </w:tcPr>
          <w:p>
            <w:pPr>
              <w:jc w:val="right"/>
            </w:pPr>
            <w:r>
              <w:rPr>
                <w:rFonts w:ascii="宋体" w:eastAsia="宋体" w:hAnsi="宋体" w:cs="宋体"/>
                <w:b w:val="0"/>
                <w:i w:val="0"/>
                <w:color w:val="000000"/>
                <w:sz w:val="25"/>
              </w:rPr>
              <w:t xml:space="preserve">38.88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700" w:type="dxa"/>
            <w:tcBorders/>
            <w:vAlign w:val="center"/>
          </w:tcPr>
          <w:p>
            <w:pPr>
              <w:jc w:val="right"/>
            </w:pPr>
            <w:r>
              <w:rPr>
                <w:rFonts w:ascii="宋体" w:eastAsia="宋体" w:hAnsi="宋体" w:cs="宋体"/>
                <w:b w:val="0"/>
                <w:i w:val="0"/>
                <w:color w:val="000000"/>
                <w:sz w:val="25"/>
              </w:rPr>
              <w:t xml:space="preserve">6.88</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700" w:type="dxa"/>
            <w:tcBorders/>
            <w:vAlign w:val="center"/>
          </w:tcPr>
          <w:p>
            <w:pPr>
              <w:jc w:val="right"/>
            </w:pPr>
            <w:r>
              <w:rPr>
                <w:rFonts w:ascii="宋体" w:eastAsia="宋体" w:hAnsi="宋体" w:cs="宋体"/>
                <w:b w:val="0"/>
                <w:i w:val="0"/>
                <w:color w:val="000000"/>
                <w:sz w:val="25"/>
              </w:rPr>
              <w:t xml:space="preserve">32.00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700" w:type="dxa"/>
            <w:tcBorders/>
            <w:vAlign w:val="center"/>
          </w:tcPr>
          <w:p>
            <w:pPr>
              <w:jc w:val="right"/>
            </w:pPr>
            <w:r>
              <w:rPr>
                <w:rFonts w:ascii="宋体" w:eastAsia="宋体" w:hAnsi="宋体" w:cs="宋体"/>
                <w:b w:val="0"/>
                <w:i w:val="0"/>
                <w:color w:val="000000"/>
                <w:sz w:val="25"/>
              </w:rPr>
              <w:t xml:space="preserve">947.14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197.34</w:t>
            </w:r>
          </w:p>
        </w:tc>
        <w:tc>
          <w:tcPr>
            <w:tcW w:w="2700" w:type="dxa"/>
            <w:tcBorders/>
            <w:vAlign w:val="center"/>
          </w:tcPr>
          <w:p>
            <w:pPr>
              <w:jc w:val="right"/>
            </w:pPr>
            <w:r>
              <w:rPr>
                <w:rFonts w:ascii="宋体" w:eastAsia="宋体" w:hAnsi="宋体" w:cs="宋体"/>
                <w:b w:val="0"/>
                <w:i w:val="0"/>
                <w:color w:val="000000"/>
                <w:sz w:val="25"/>
              </w:rPr>
              <w:t xml:space="preserve">197.34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190.99</w:t>
            </w:r>
          </w:p>
        </w:tc>
        <w:tc>
          <w:tcPr>
            <w:tcW w:w="2700" w:type="dxa"/>
            <w:tcBorders/>
            <w:vAlign w:val="center"/>
          </w:tcPr>
          <w:p>
            <w:pPr>
              <w:jc w:val="right"/>
            </w:pPr>
            <w:r>
              <w:rPr>
                <w:rFonts w:ascii="宋体" w:eastAsia="宋体" w:hAnsi="宋体" w:cs="宋体"/>
                <w:b w:val="0"/>
                <w:i w:val="0"/>
                <w:color w:val="000000"/>
                <w:sz w:val="25"/>
              </w:rPr>
              <w:t xml:space="preserve">190.99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116.99</w:t>
            </w:r>
          </w:p>
        </w:tc>
        <w:tc>
          <w:tcPr>
            <w:tcW w:w="2700" w:type="dxa"/>
            <w:tcBorders/>
            <w:vAlign w:val="center"/>
          </w:tcPr>
          <w:p>
            <w:pPr>
              <w:jc w:val="right"/>
            </w:pPr>
            <w:r>
              <w:rPr>
                <w:rFonts w:ascii="宋体" w:eastAsia="宋体" w:hAnsi="宋体" w:cs="宋体"/>
                <w:b w:val="0"/>
                <w:i w:val="0"/>
                <w:color w:val="000000"/>
                <w:sz w:val="25"/>
              </w:rPr>
              <w:t xml:space="preserve">116.99</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74.00</w:t>
            </w:r>
          </w:p>
        </w:tc>
        <w:tc>
          <w:tcPr>
            <w:tcW w:w="2700" w:type="dxa"/>
            <w:tcBorders/>
            <w:vAlign w:val="center"/>
          </w:tcPr>
          <w:p>
            <w:pPr>
              <w:jc w:val="right"/>
            </w:pPr>
            <w:r>
              <w:rPr>
                <w:rFonts w:ascii="宋体" w:eastAsia="宋体" w:hAnsi="宋体" w:cs="宋体"/>
                <w:b w:val="0"/>
                <w:i w:val="0"/>
                <w:color w:val="000000"/>
                <w:sz w:val="25"/>
              </w:rPr>
              <w:t xml:space="preserve">74.00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6.35</w:t>
            </w:r>
          </w:p>
        </w:tc>
        <w:tc>
          <w:tcPr>
            <w:tcW w:w="2700" w:type="dxa"/>
            <w:tcBorders/>
            <w:vAlign w:val="center"/>
          </w:tcPr>
          <w:p>
            <w:pPr>
              <w:jc w:val="right"/>
            </w:pPr>
            <w:r>
              <w:rPr>
                <w:rFonts w:ascii="宋体" w:eastAsia="宋体" w:hAnsi="宋体" w:cs="宋体"/>
                <w:b w:val="0"/>
                <w:i w:val="0"/>
                <w:color w:val="000000"/>
                <w:sz w:val="25"/>
              </w:rPr>
              <w:t xml:space="preserve">6.35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6.35</w:t>
            </w:r>
          </w:p>
        </w:tc>
        <w:tc>
          <w:tcPr>
            <w:tcW w:w="2700" w:type="dxa"/>
            <w:tcBorders/>
            <w:vAlign w:val="center"/>
          </w:tcPr>
          <w:p>
            <w:pPr>
              <w:jc w:val="right"/>
            </w:pPr>
            <w:r>
              <w:rPr>
                <w:rFonts w:ascii="宋体" w:eastAsia="宋体" w:hAnsi="宋体" w:cs="宋体"/>
                <w:b w:val="0"/>
                <w:i w:val="0"/>
                <w:color w:val="000000"/>
                <w:sz w:val="25"/>
              </w:rPr>
              <w:t xml:space="preserve">6.35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35.51</w:t>
            </w:r>
          </w:p>
        </w:tc>
        <w:tc>
          <w:tcPr>
            <w:tcW w:w="2700" w:type="dxa"/>
            <w:tcBorders/>
            <w:vAlign w:val="center"/>
          </w:tcPr>
          <w:p>
            <w:pPr>
              <w:jc w:val="right"/>
            </w:pPr>
            <w:r>
              <w:rPr>
                <w:rFonts w:ascii="宋体" w:eastAsia="宋体" w:hAnsi="宋体" w:cs="宋体"/>
                <w:b w:val="0"/>
                <w:i w:val="0"/>
                <w:color w:val="000000"/>
                <w:sz w:val="25"/>
              </w:rPr>
              <w:t xml:space="preserve">35.51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35.51</w:t>
            </w:r>
          </w:p>
        </w:tc>
        <w:tc>
          <w:tcPr>
            <w:tcW w:w="2700" w:type="dxa"/>
            <w:tcBorders/>
            <w:vAlign w:val="center"/>
          </w:tcPr>
          <w:p>
            <w:pPr>
              <w:jc w:val="right"/>
            </w:pPr>
            <w:r>
              <w:rPr>
                <w:rFonts w:ascii="宋体" w:eastAsia="宋体" w:hAnsi="宋体" w:cs="宋体"/>
                <w:b w:val="0"/>
                <w:i w:val="0"/>
                <w:color w:val="000000"/>
                <w:sz w:val="25"/>
              </w:rPr>
              <w:t xml:space="preserve">35.51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35.51</w:t>
            </w:r>
          </w:p>
        </w:tc>
        <w:tc>
          <w:tcPr>
            <w:tcW w:w="2700" w:type="dxa"/>
            <w:tcBorders/>
            <w:vAlign w:val="center"/>
          </w:tcPr>
          <w:p>
            <w:pPr>
              <w:jc w:val="right"/>
            </w:pPr>
            <w:r>
              <w:rPr>
                <w:rFonts w:ascii="宋体" w:eastAsia="宋体" w:hAnsi="宋体" w:cs="宋体"/>
                <w:b w:val="0"/>
                <w:i w:val="0"/>
                <w:color w:val="000000"/>
                <w:sz w:val="25"/>
              </w:rPr>
              <w:t xml:space="preserve">35.51</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67.60</w:t>
            </w:r>
          </w:p>
        </w:tc>
        <w:tc>
          <w:tcPr>
            <w:tcW w:w="2700" w:type="dxa"/>
            <w:tcBorders/>
            <w:vAlign w:val="center"/>
          </w:tcPr>
          <w:p>
            <w:pPr>
              <w:jc w:val="right"/>
            </w:pPr>
            <w:r>
              <w:rPr>
                <w:rFonts w:ascii="宋体" w:eastAsia="宋体" w:hAnsi="宋体" w:cs="宋体"/>
                <w:b w:val="0"/>
                <w:i w:val="0"/>
                <w:color w:val="000000"/>
                <w:sz w:val="25"/>
              </w:rPr>
              <w:t xml:space="preserve">67.60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67.60</w:t>
            </w:r>
          </w:p>
        </w:tc>
        <w:tc>
          <w:tcPr>
            <w:tcW w:w="2700" w:type="dxa"/>
            <w:tcBorders/>
            <w:vAlign w:val="center"/>
          </w:tcPr>
          <w:p>
            <w:pPr>
              <w:jc w:val="right"/>
            </w:pPr>
            <w:r>
              <w:rPr>
                <w:rFonts w:ascii="宋体" w:eastAsia="宋体" w:hAnsi="宋体" w:cs="宋体"/>
                <w:b w:val="0"/>
                <w:i w:val="0"/>
                <w:color w:val="000000"/>
                <w:sz w:val="25"/>
              </w:rPr>
              <w:t xml:space="preserve">67.60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67.60</w:t>
            </w:r>
          </w:p>
        </w:tc>
        <w:tc>
          <w:tcPr>
            <w:tcW w:w="2700" w:type="dxa"/>
            <w:tcBorders/>
            <w:vAlign w:val="center"/>
          </w:tcPr>
          <w:p>
            <w:pPr>
              <w:jc w:val="right"/>
            </w:pPr>
            <w:r>
              <w:rPr>
                <w:rFonts w:ascii="宋体" w:eastAsia="宋体" w:hAnsi="宋体" w:cs="宋体"/>
                <w:b w:val="0"/>
                <w:i w:val="0"/>
                <w:color w:val="000000"/>
                <w:sz w:val="25"/>
              </w:rPr>
              <w:t xml:space="preserve">67.60</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1,047.49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109.31</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304.57</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5.80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226.50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179.20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6.00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1.65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148.27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1.38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1.65</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75.18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8.67</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1.20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35.51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31.48</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4.23</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1.08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73.36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37.91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128.02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117.13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6.35</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4.54</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2.36</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1.82</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6.88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1.06</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3.66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1,175.50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110.95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879.59</w:t>
            </w:r>
          </w:p>
        </w:tc>
        <w:tc>
          <w:tcPr>
            <w:tcW w:w="1560" w:type="dxa"/>
            <w:tcBorders/>
            <w:vAlign w:val="center"/>
          </w:tcPr>
          <w:p>
            <w:pPr>
              <w:jc w:val="right"/>
            </w:pPr>
            <w:r>
              <w:rPr>
                <w:rFonts w:ascii="宋体" w:eastAsia="宋体" w:hAnsi="宋体" w:cs="宋体"/>
                <w:b/>
                <w:i w:val="0"/>
                <w:color w:val="000000"/>
                <w:sz w:val="20"/>
              </w:rPr>
              <w:t xml:space="preserve">879.59</w:t>
            </w:r>
          </w:p>
        </w:tc>
        <w:tc>
          <w:tcPr>
            <w:tcW w:w="1560" w:type="dxa"/>
            <w:tcBorders/>
            <w:vAlign w:val="center"/>
          </w:tcPr>
          <w:p>
            <w:pPr>
              <w:jc w:val="right"/>
            </w:pPr>
            <w:r>
              <w:rPr>
                <w:rFonts w:ascii="宋体" w:eastAsia="宋体" w:hAnsi="宋体" w:cs="宋体"/>
                <w:b/>
                <w:i w:val="0"/>
                <w:color w:val="000000"/>
                <w:sz w:val="20"/>
              </w:rPr>
              <w:t xml:space="preserve">0.00</w:t>
            </w:r>
          </w:p>
        </w:tc>
        <w:tc>
          <w:tcPr>
            <w:tcW w:w="1560" w:type="dxa"/>
            <w:tcBorders/>
            <w:vAlign w:val="center"/>
          </w:tcPr>
          <w:p>
            <w:pPr>
              <w:jc w:val="right"/>
            </w:pPr>
            <w:r>
              <w:rPr>
                <w:rFonts w:ascii="宋体" w:eastAsia="宋体" w:hAnsi="宋体" w:cs="宋体"/>
                <w:b/>
                <w:i w:val="0"/>
                <w:color w:val="000000"/>
                <w:sz w:val="20"/>
              </w:rPr>
              <w:t xml:space="preserve">879.59</w:t>
            </w:r>
          </w:p>
        </w:tc>
        <w:tc>
          <w:tcPr>
            <w:tcW w:w="1598" w:type="dxa"/>
            <w:tcBorders/>
            <w:vAlign w:val="center"/>
          </w:tcPr>
          <w:p>
            <w:pPr>
              <w:jc w:val="right"/>
            </w:pPr>
            <w:r>
              <w:rPr>
                <w:rFonts w:ascii="宋体" w:eastAsia="宋体" w:hAnsi="宋体" w:cs="宋体"/>
                <w:b/>
                <w:i w:val="0"/>
                <w:color w:val="000000"/>
                <w:sz w:val="20"/>
              </w:rPr>
              <w:t xml:space="preserve">0.00</w:t>
            </w:r>
          </w:p>
        </w:tc>
      </w:tr>
      <w:tr>
        <w:trPr>
          <w:trHeight w:hRule="exact" w:val="419"/>
          <w:jc w:val="center"/>
        </w:trPr>
        <w:tc>
          <w:tcPr>
            <w:tcW w:w="300" w:type="dxa"/>
            <w:hMerge w:val="restart"/>
            <w:tcBorders/>
            <w:vAlign w:val="center"/>
          </w:tcPr>
          <w:p>
            <w:pPr>
              <w:jc w:val="left"/>
            </w:pPr>
            <w:r>
              <w:rPr>
                <w:rFonts w:ascii="宋体" w:eastAsia="宋体" w:hAnsi="宋体" w:cs="宋体"/>
                <w:b w:val="0"/>
                <w:i w:val="0"/>
                <w:color w:val="000000"/>
                <w:sz w:val="20"/>
              </w:rPr>
              <w:t xml:space="preserve">229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419"/>
          <w:jc w:val="center"/>
        </w:trPr>
        <w:tc>
          <w:tcPr>
            <w:tcW w:w="300" w:type="dxa"/>
            <w:hMerge w:val="restart"/>
            <w:tcBorders/>
            <w:vAlign w:val="center"/>
          </w:tcPr>
          <w:p>
            <w:pPr>
              <w:jc w:val="left"/>
            </w:pPr>
            <w:r>
              <w:rPr>
                <w:rFonts w:ascii="宋体" w:eastAsia="宋体" w:hAnsi="宋体" w:cs="宋体"/>
                <w:b w:val="0"/>
                <w:i w:val="0"/>
                <w:color w:val="000000"/>
                <w:sz w:val="20"/>
              </w:rPr>
              <w:t xml:space="preserve">22960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彩票公益金安排的支出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98" w:type="dxa"/>
            <w:tcBorders/>
            <w:vAlign w:val="center"/>
          </w:tcPr>
          <w:p>
            <w:pPr>
              <w:jc w:val="right"/>
            </w:pPr>
            <w:r>
              <w:rPr>
                <w:rFonts w:ascii="宋体" w:eastAsia="宋体" w:hAnsi="宋体" w:cs="宋体"/>
                <w:b w:val="0"/>
                <w:i w:val="0"/>
                <w:color w:val="000000"/>
                <w:sz w:val="20"/>
              </w:rPr>
              <w:t xml:space="preserve">0.00</w:t>
            </w:r>
          </w:p>
        </w:tc>
      </w:tr>
      <w:tr>
        <w:trPr>
          <w:trHeight w:hRule="exact" w:val="419"/>
          <w:jc w:val="center"/>
        </w:trPr>
        <w:tc>
          <w:tcPr>
            <w:tcW w:w="300" w:type="dxa"/>
            <w:hMerge w:val="restart"/>
            <w:tcBorders/>
            <w:vAlign w:val="center"/>
          </w:tcPr>
          <w:p>
            <w:pPr>
              <w:jc w:val="left"/>
            </w:pPr>
            <w:r>
              <w:rPr>
                <w:rFonts w:ascii="宋体" w:eastAsia="宋体" w:hAnsi="宋体" w:cs="宋体"/>
                <w:b w:val="0"/>
                <w:i w:val="0"/>
                <w:color w:val="000000"/>
                <w:sz w:val="20"/>
              </w:rPr>
              <w:t xml:space="preserve">2296003</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用于体育事业的彩票公益金支出</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60" w:type="dxa"/>
            <w:tcBorders/>
            <w:vAlign w:val="center"/>
          </w:tcPr>
          <w:p>
            <w:pPr>
              <w:jc w:val="right"/>
            </w:pPr>
            <w:r>
              <w:rPr>
                <w:rFonts w:ascii="宋体" w:eastAsia="宋体" w:hAnsi="宋体" w:cs="宋体"/>
                <w:b w:val="0"/>
                <w:i w:val="0"/>
                <w:color w:val="000000"/>
                <w:sz w:val="20"/>
              </w:rPr>
              <w:t xml:space="preserve">0.00</w:t>
            </w:r>
          </w:p>
        </w:tc>
        <w:tc>
          <w:tcPr>
            <w:tcW w:w="1560" w:type="dxa"/>
            <w:tcBorders/>
            <w:vAlign w:val="center"/>
          </w:tcPr>
          <w:p>
            <w:pPr>
              <w:jc w:val="right"/>
            </w:pPr>
            <w:r>
              <w:rPr>
                <w:rFonts w:ascii="宋体" w:eastAsia="宋体" w:hAnsi="宋体" w:cs="宋体"/>
                <w:b w:val="0"/>
                <w:i w:val="0"/>
                <w:color w:val="000000"/>
                <w:sz w:val="20"/>
              </w:rPr>
              <w:t xml:space="preserve">879.59</w:t>
            </w:r>
          </w:p>
        </w:tc>
        <w:tc>
          <w:tcPr>
            <w:tcW w:w="1598" w:type="dxa"/>
            <w:tcBorders/>
            <w:vAlign w:val="center"/>
          </w:tcPr>
          <w:p>
            <w:pPr>
              <w:jc w:val="right"/>
            </w:pPr>
            <w:r>
              <w:rPr>
                <w:rFonts w:ascii="宋体" w:eastAsia="宋体" w:hAnsi="宋体" w:cs="宋体"/>
                <w:b w:val="0"/>
                <w:i w:val="0"/>
                <w:color w:val="000000"/>
                <w:sz w:val="20"/>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单位：许昌市体育运动中心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1.06</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1.06</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1.06</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1.06</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1.06</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1.06</w:t>
            </w:r>
          </w:p>
        </w:tc>
        <w:tc>
          <w:tcPr>
            <w:tcW w:w="11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2166.04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增加448.60万元，增长26.12%</w:t>
      </w:r>
      <w:r>
        <w:rPr>
          <w:rFonts w:ascii="仿宋" w:eastAsia="仿宋" w:hAnsi="仿宋" w:cs="仿宋" w:hint="eastAsia"/>
          <w:kern w:val="0"/>
          <w:sz w:val="32"/>
          <w:szCs w:val="32"/>
          <w:lang w:val="en-US" w:eastAsia="zh-CN"/>
        </w:rPr>
        <w:t xml:space="preserve">。主要原因是今年参加了河南省第十四届运动会并举办了许昌市第九届运动会。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2166.04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财政拨款收入2166.04万元，占100.00%；上级补助收入0.00万元，占0.00%；事业收入0.00万元，占0.00%；经营收入0.00万元，占0.00%；附属单位上缴收入0.00万元，占0.00%；其他收入0.00万元，占0.00%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2166.04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基本支出1286.45万元，占59.39%；项目支出879.59万元，占40.61%；上缴上级支出0.00万元，占0.00%；经营支出0.00万元，占0.00%；对附属单位补助支出0.00万元，占0.00%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2166.04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增加448.60万元，增长26.12%</w:t>
      </w:r>
      <w:r>
        <w:rPr>
          <w:rFonts w:ascii="仿宋" w:eastAsia="仿宋" w:hAnsi="仿宋" w:cs="仿宋" w:hint="eastAsia"/>
          <w:kern w:val="0"/>
          <w:sz w:val="32"/>
          <w:szCs w:val="32"/>
          <w:lang w:val="en-US" w:eastAsia="zh-CN"/>
        </w:rPr>
        <w:t xml:space="preserve">。主要原因是今年参加了河南省第十四届运动会并举办了许昌市第九届运动会。</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1286.45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59.39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增加63.08万元，增长5.16%</w:t>
      </w:r>
      <w:r>
        <w:rPr>
          <w:rFonts w:ascii="仿宋" w:eastAsia="仿宋" w:hAnsi="仿宋" w:cs="仿宋" w:hint="eastAsia"/>
          <w:kern w:val="0"/>
          <w:sz w:val="32"/>
          <w:szCs w:val="32"/>
          <w:lang w:val="en-US" w:eastAsia="zh-CN"/>
        </w:rPr>
        <w:t xml:space="preserve">。主要原因是今年参加了河南省第十四届运动会并举办了许昌市第九届运动会，所以支出增加。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1286.45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一般公共服务支出（类）38.87万元，占3.02%；教育支出（类）947.14万元，占73.62%；社会保障和就业支出（类）197.33万元，占15.34%；卫生健康支出（类）35.51万元，占2.76%；住房保障支出（类）67.60万元，占5.26%</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1335.62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1286.45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96.32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年初预算数为0.00万元，决算数6.88万元,决算数与年初预算数存在差异的主要原因是上交市总工会经费。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年初预算数为0.00万元，决算数32.00万元,决算数与年初预算数存在差异的主要原因是增加一般公共服务支出。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3.教育支出（类）职业教育（款）中等职业教育（项）</w:t>
      </w:r>
      <w:r>
        <w:rPr>
          <w:rFonts w:ascii="仿宋" w:eastAsia="仿宋" w:hAnsi="仿宋" w:cs="仿宋" w:hint="default"/>
          <w:kern w:val="2"/>
          <w:sz w:val="32"/>
          <w:szCs w:val="32"/>
          <w:lang w:val="en-US" w:eastAsia="zh-CN"/>
        </w:rPr>
        <w:t xml:space="preserve">年初预算数为0.00万元，决算数947.14万元,决算数与年初预算数存在差异的主要原因是决算数与年初预算数存在差异的主要原因是业务需要，增加中等职业教育支出。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年初预算数为0.00万元，决算数116.99万元,决算数与年初预算数存在差异的主要原因是决算数与年初预算数存在差异的主要原因是本年度养老保险支出增加。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年初预算数为0.00万元，决算数74.00万元,决算数与年初预算数存在差异的主要原因是决算数与年初预算数存在差异的主要原因是本年度养老保险支出增加。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年初预算数为0.00万元，决算数6.35万元,决算数与年初预算数存在差异的主要原因是决算数与年初预算数存在差异的主要原因是有去世人员。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年初预算数为0.00万元，决算数35.51万元,决算数与年初预算数存在差异的主要原因是决算数与年初预算数存在差异的主要原因是本年度医疗保险支出增加。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年初预算数为0.00万元，决算数67.60万元,决算数与年初预算数存在差异的主要原因是决算数与年初预算数存在差异的主要原因是本年度住房公积金支出增加。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1286.45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其中：人员经费1175.50万元，主要包括：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公用经费110.95万元，主要包括：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2023年度政府性基金预算财政拨款支出年初预算数为0.00万元，支出决算为879.59万元，完成年初预算的0.00%。主要用于体育事业的彩票公益金支出，</w:t>
      </w:r>
      <w:r>
        <w:rPr>
          <w:rFonts w:ascii="仿宋" w:eastAsia="仿宋" w:hAnsi="仿宋" w:cs="仿宋" w:hint="eastAsia"/>
          <w:kern w:val="0"/>
          <w:sz w:val="32"/>
          <w:szCs w:val="32"/>
          <w:lang w:val="en-US" w:eastAsia="zh-CN"/>
        </w:rPr>
        <w:t xml:space="preserve"> </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主要用于公务用车维护费。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1143</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91</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bookmarkStart w:id="0" w:name="_GoBack"/>
      <w:bookmarkEnd w:id="0"/>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达到了预期效果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基于项目预期目标的实现程度，我单位对2023年度单位预算项目支出（含单位参与分配的转移支付项目）开展绩效自评，涉及项目0个，项目金额0万元。其中：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（1）我部门共有0个项目批复了绩效目标，项目金额0.00万元，不需进行项目绩效自评。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从项目绩效自评情况来看，根据工作实际，主管部门未选取我单位项目开展重点绩效评价。</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450"/>
        <w:gridCol w:w="450"/>
        <w:gridCol w:w="1332"/>
        <w:gridCol w:w="1982"/>
        <w:gridCol w:w="949"/>
        <w:gridCol w:w="949"/>
        <w:gridCol w:w="949"/>
        <w:gridCol w:w="949"/>
        <w:gridCol w:w="949"/>
        <w:gridCol w:w="949"/>
      </w:tblGrid>
      <w:tr>
        <w:trPr>
          <w:trHeight w:hRule="exact" w:val="252"/>
          <w:jc w:val="center"/>
        </w:trPr>
        <w:tc>
          <w:tcPr>
            <w:tcW w:w="450" w:type="dxa"/>
            <w:shd w:val="clear" w:color="auto" w:fill="auto"/>
            <w:vAlign w:val="bottom"/>
          </w:tcPr>
          <w:p>
            <w:pPr>
              <w:snapToGrid w:val="0"/>
              <w:spacing w:before="0" w:beforeAutospacing="0" w:after="0" w:afterAutospacing="0" w:line="240" w:lineRule="auto"/>
            </w:pPr>
            <w:r>
              <w:rPr>
                <w:rFonts w:ascii="黑体" w:eastAsia="黑体" w:hAnsi="黑体" w:cs="黑体"/>
                <w:b w:val="0"/>
                <w:i w:val="0"/>
                <w:color w:val="000000"/>
                <w:sz w:val="18"/>
              </w:rPr>
              <w:t xml:space="preserve">附件2</w:t>
            </w:r>
          </w:p>
        </w:tc>
        <w:tc>
          <w:tcPr>
            <w:tcW w:w="450" w:type="dxa"/>
            <w:shd w:val="clear" w:color="auto" w:fill="auto"/>
            <w:vAlign w:val="bottom"/>
          </w:tcPr>
          <w:p>
            <w:pPr>
              <w:snapToGrid w:val="0"/>
              <w:spacing w:before="0" w:beforeAutospacing="0" w:after="0" w:afterAutospacing="0" w:line="240" w:lineRule="auto"/>
            </w:pPr>
          </w:p>
        </w:tc>
        <w:tc>
          <w:tcPr>
            <w:tcW w:w="1332" w:type="dxa"/>
            <w:shd w:val="clear" w:color="auto" w:fill="auto"/>
            <w:vAlign w:val="bottom"/>
          </w:tcPr>
          <w:p>
            <w:pPr>
              <w:snapToGrid w:val="0"/>
              <w:spacing w:before="0" w:beforeAutospacing="0" w:after="0" w:afterAutospacing="0" w:line="240" w:lineRule="auto"/>
            </w:pPr>
          </w:p>
        </w:tc>
        <w:tc>
          <w:tcPr>
            <w:tcW w:w="1982" w:type="dxa"/>
            <w:shd w:val="clear" w:color="auto" w:fill="auto"/>
            <w:vAlign w:val="bottom"/>
          </w:tcPr>
          <w:p>
            <w:pPr>
              <w:snapToGrid w:val="0"/>
              <w:spacing w:before="0" w:beforeAutospacing="0" w:after="0" w:afterAutospacing="0" w:line="240" w:lineRule="auto"/>
            </w:pPr>
          </w:p>
        </w:tc>
        <w:tc>
          <w:tcPr>
            <w:tcW w:w="949" w:type="dxa"/>
            <w:shd w:val="clear" w:color="auto" w:fill="auto"/>
            <w:vAlign w:val="bottom"/>
          </w:tcPr>
          <w:p>
            <w:pPr>
              <w:snapToGrid w:val="0"/>
              <w:spacing w:before="0" w:beforeAutospacing="0" w:after="0" w:afterAutospacing="0" w:line="240" w:lineRule="auto"/>
            </w:pPr>
          </w:p>
        </w:tc>
        <w:tc>
          <w:tcPr>
            <w:tcW w:w="949" w:type="dxa"/>
            <w:shd w:val="clear" w:color="auto" w:fill="auto"/>
            <w:vAlign w:val="bottom"/>
          </w:tcPr>
          <w:p>
            <w:pPr>
              <w:snapToGrid w:val="0"/>
              <w:spacing w:before="0" w:beforeAutospacing="0" w:after="0" w:afterAutospacing="0" w:line="240" w:lineRule="auto"/>
            </w:pPr>
          </w:p>
        </w:tc>
        <w:tc>
          <w:tcPr>
            <w:tcW w:w="949" w:type="dxa"/>
            <w:shd w:val="clear" w:color="auto" w:fill="auto"/>
            <w:vAlign w:val="bottom"/>
          </w:tcPr>
          <w:p>
            <w:pPr>
              <w:snapToGrid w:val="0"/>
              <w:spacing w:before="0" w:beforeAutospacing="0" w:after="0" w:afterAutospacing="0" w:line="240" w:lineRule="auto"/>
            </w:pPr>
          </w:p>
        </w:tc>
        <w:tc>
          <w:tcPr>
            <w:tcW w:w="949" w:type="dxa"/>
            <w:shd w:val="clear" w:color="auto" w:fill="auto"/>
            <w:vAlign w:val="bottom"/>
          </w:tcPr>
          <w:p>
            <w:pPr>
              <w:snapToGrid w:val="0"/>
              <w:spacing w:before="0" w:beforeAutospacing="0" w:after="0" w:afterAutospacing="0" w:line="240" w:lineRule="auto"/>
            </w:pPr>
          </w:p>
        </w:tc>
        <w:tc>
          <w:tcPr>
            <w:tcW w:w="949" w:type="dxa"/>
            <w:shd w:val="clear" w:color="auto" w:fill="auto"/>
            <w:vAlign w:val="bottom"/>
          </w:tcPr>
          <w:p>
            <w:pPr>
              <w:snapToGrid w:val="0"/>
              <w:spacing w:before="0" w:beforeAutospacing="0" w:after="0" w:afterAutospacing="0" w:line="240" w:lineRule="auto"/>
            </w:pPr>
          </w:p>
        </w:tc>
        <w:tc>
          <w:tcPr>
            <w:tcW w:w="949" w:type="dxa"/>
            <w:shd w:val="clear" w:color="auto" w:fill="auto"/>
            <w:vAlign w:val="bottom"/>
          </w:tcPr>
          <w:p>
            <w:pPr>
              <w:snapToGrid w:val="0"/>
              <w:spacing w:before="0" w:beforeAutospacing="0" w:after="0" w:afterAutospacing="0" w:line="240" w:lineRule="auto"/>
            </w:pPr>
          </w:p>
        </w:tc>
      </w:tr>
      <w:tr>
        <w:trPr>
          <w:trHeight w:hRule="exact" w:val="416"/>
          <w:jc w:val="center"/>
        </w:trPr>
        <w:tc>
          <w:tcPr>
            <w:tcW w:w="9908"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7"/>
              </w:rPr>
              <w:t xml:space="preserve">单位整体自评表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65"/>
          <w:jc w:val="center"/>
        </w:trPr>
        <w:tc>
          <w:tcPr>
            <w:tcW w:w="9908"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8"/>
              </w:rPr>
              <w:t xml:space="preserve">（     2023年度）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52"/>
          <w:jc w:val="center"/>
        </w:trPr>
        <w:tc>
          <w:tcPr>
            <w:tcW w:w="450"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5"/>
              </w:rPr>
              <w:t xml:space="preserve">             </w:t>
            </w:r>
          </w:p>
        </w:tc>
        <w:tc>
          <w:tcPr>
            <w:tcW w:w="450"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332"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982"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94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94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898"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5"/>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1898"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赵文平</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78"/>
          <w:jc w:val="center"/>
        </w:trPr>
        <w:tc>
          <w:tcPr>
            <w:tcW w:w="223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6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许昌市体育运动中心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78"/>
          <w:jc w:val="center"/>
        </w:trPr>
        <w:tc>
          <w:tcPr>
            <w:tcW w:w="90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5"/>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5"/>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5"/>
              </w:rPr>
              <w:t xml:space="preserve">年初数</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5"/>
              </w:rPr>
              <w:t xml:space="preserve">全年数</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全年执行数</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分值</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预算执行率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得分</w:t>
            </w: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331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单位预算总额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1143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1143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879.59</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=G7/F7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6</w:t>
            </w: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资金来源</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基本支出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1143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879.59</w:t>
            </w:r>
          </w:p>
        </w:tc>
        <w:tc>
          <w:tcPr>
            <w:tcW w:w="94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=G8/F8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w:t>
            </w:r>
          </w:p>
        </w:tc>
      </w:tr>
      <w:tr>
        <w:trPr>
          <w:trHeight w:hRule="exact" w:val="378"/>
          <w:jc w:val="center"/>
        </w:trPr>
        <w:tc>
          <w:tcPr>
            <w:tcW w:w="90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项目支出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1143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879.59</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=G9/F9</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w:t>
            </w:r>
          </w:p>
        </w:tc>
      </w:tr>
      <w:tr>
        <w:trPr>
          <w:trHeight w:hRule="exact" w:val="378"/>
          <w:jc w:val="center"/>
        </w:trPr>
        <w:tc>
          <w:tcPr>
            <w:tcW w:w="90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5"/>
              </w:rPr>
              <w:t xml:space="preserve">总体</w:t>
            </w:r>
          </w:p>
          <w:p>
            <w:pPr>
              <w:snapToGrid w:val="0"/>
              <w:spacing w:before="0" w:beforeAutospacing="0" w:after="0" w:afterAutospacing="0" w:line="240" w:lineRule="auto"/>
              <w:jc w:val="center"/>
              <w:rPr/>
            </w:pPr>
            <w:r>
              <w:rPr>
                <w:rFonts w:ascii="Calibri" w:eastAsia="Calibri" w:hAnsi="Calibri" w:cs="Calibri"/>
                <w:b w:val="0"/>
                <w:i w:val="0"/>
                <w:color w:val="000000"/>
                <w:sz w:val="15"/>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21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目标名称</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目标1：</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参加2023年河南省第十四届运动会及锦标赛</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完成</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目标2：</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承办许昌市第九届运动会</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完成</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目标3：</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参加全国比赛、观摩，外出选拔运动员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完成</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目标4：</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参加和组织各级体育培训，增加我市体育专项人才规模，更好的服务广大人民群众</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完成</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目标5：</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培养各项目、各阶段的体育后备人才，向省、国家输送优秀运动员和教练员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目标6：</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参加和组织多项目、多级别的体育赛事，为许昌体育事业的发展贡献更多力量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78"/>
          <w:jc w:val="center"/>
        </w:trPr>
        <w:tc>
          <w:tcPr>
            <w:tcW w:w="90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5"/>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5"/>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任务名称</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任务1：</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参加河南省第十四届运动会，包括参赛人员食宿费、代表团服装、训练器材、交通费、保险、体检等。参加多项目多级别的体育赛事，向省和国家输送优秀的运动员和教练员。</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完成</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78"/>
          <w:jc w:val="center"/>
        </w:trPr>
        <w:tc>
          <w:tcPr>
            <w:tcW w:w="90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任务2：</w:t>
            </w:r>
          </w:p>
        </w:tc>
        <w:tc>
          <w:tcPr>
            <w:tcW w:w="388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承办许昌市第九届运动会，包括开幕式、闭幕式、比赛器材、裁判员服装、食宿费、裁判员补助、图文标识、车辆租赁等。培养各项目、各阶段的体育后备人才，增加我市体育专项人才规模，为许昌体育事业的发展贡献更多力量。</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96"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完成</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605"/>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一级指标</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分值</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二级指标</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三级指标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指标值</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指标说明</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实际完成值</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分值</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得分</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未完成原因分析及改进措施</w:t>
            </w:r>
          </w:p>
        </w:tc>
      </w:tr>
      <w:tr>
        <w:trPr>
          <w:trHeight w:hRule="exact" w:val="328"/>
          <w:jc w:val="cent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履职效能</w:t>
            </w:r>
          </w:p>
        </w:tc>
        <w:tc>
          <w:tcPr>
            <w:tcW w:w="4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30分</w:t>
            </w: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5"/>
              </w:rPr>
              <w:t xml:space="preserve">工作目标管理</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年度履职目标相关性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5"/>
              </w:rPr>
              <w:t xml:space="preserve">工作任务科学性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5"/>
              </w:rPr>
              <w:t xml:space="preserve">绩效指标合理性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合理</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合理</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整体工作完成</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总体工作完成率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反映单位年度总体工作完成情况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牵头单位工作完成率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反映承接年度总体工作的各牵头单位工作完成情况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重点工作履行</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重点工作1计划完成率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0.98</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反映本单位负责的重点工作进展情况。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重点工作2计划完成率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0.98</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单位目标实现</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年度工作目标1实现率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0.98</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反映本单位制定的年度工作目标达成情况。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年度工作目标2实现率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0.98</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管理效率</w:t>
            </w:r>
          </w:p>
        </w:tc>
        <w:tc>
          <w:tcPr>
            <w:tcW w:w="4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40分</w:t>
            </w:r>
          </w:p>
        </w:tc>
        <w:tc>
          <w:tcPr>
            <w:tcW w:w="1332"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预算管理</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预算编制完整性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0.98</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反映单位年度预算编制完整性和提前细化情况。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专项资金细化率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0.98</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预算执行率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0.98</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反映单位年度预算执行情况、调整程度和控制结转结余资金的努力程度。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0.189</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预算调整率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0.02</w:t>
            </w:r>
          </w:p>
        </w:tc>
        <w:tc>
          <w:tcPr>
            <w:tcW w:w="94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结转结余率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部门决算编报质量</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项目库完整性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国库集中支付例规性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收支管理</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收管管理规范性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反映单位收入管理和收入结构的情况。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支出管理规范性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反映部门支出管理和支出结构的情况。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财务管理</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财务管理制度的完备性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规范</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反映单位相关财务管理规范性和执行有效性的情况。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银行账户管理规范性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规范</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政府采购执行率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0.97</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反映单位相关财务管理规范性和执行有效性的情况。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内控制度有效性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有效</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资产管理</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资产管理规范性</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有效</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反映单位对资产管理和利用方面的情况。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有效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部门固定资产利用率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规范</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规范</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基础管理</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信息化建设成效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有成效</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反映为保障整体工作和重点工作实施的基础管理情况。</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有成效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管理制度建设成效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有成效</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有成效</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运行成本</w:t>
            </w: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成本控制成效</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在职人员经费变动率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黑体" w:eastAsia="黑体" w:hAnsi="黑体" w:cs="黑体"/>
                <w:b w:val="0"/>
                <w:i w:val="0"/>
                <w:color w:val="000000"/>
                <w:sz w:val="15"/>
              </w:rPr>
              <w:t xml:space="preserve">0.02</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反映单位对在职及离退休人员成本的控制程度。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离退休人员经费变动率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0.02</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人均公用经费变动率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0.02</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反映单位对控制和压缩重点行政成本的努力程度。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“三公经费”变动率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0.02</w:t>
            </w:r>
          </w:p>
        </w:tc>
        <w:tc>
          <w:tcPr>
            <w:tcW w:w="94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厉行节约支出变动率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0.02</w:t>
            </w:r>
          </w:p>
        </w:tc>
        <w:tc>
          <w:tcPr>
            <w:tcW w:w="94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总体成本节约率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0.02</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0.02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服务满意</w:t>
            </w:r>
          </w:p>
        </w:tc>
        <w:tc>
          <w:tcPr>
            <w:tcW w:w="4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20分</w:t>
            </w: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服务对象满意</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群众满意度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0.97</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反映普通用户和对口部门对单位服务的满意度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对口部门满意度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0.97</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利益相关方满意</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企业满意度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0.97</w:t>
            </w:r>
          </w:p>
        </w:tc>
        <w:tc>
          <w:tcPr>
            <w:tcW w:w="94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3"/>
              </w:rPr>
              <w:t xml:space="preserve">反映相关企业、社会组织和行业协会对单位行政审批、管理服务、参与公共服务情况的满意度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社会组织满意度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0.97</w:t>
            </w:r>
          </w:p>
        </w:tc>
        <w:tc>
          <w:tcPr>
            <w:tcW w:w="94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监督部门满意</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外部监督部门满意度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黑体" w:eastAsia="黑体" w:hAnsi="黑体" w:cs="黑体"/>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3"/>
              </w:rPr>
              <w:t xml:space="preserve">反映外部监督单位对部门依法行政情况的满意度</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可持续性</w:t>
            </w: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体制机制改革情况</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重要改革事项1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重要改革事项2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创新能力</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重点创新事项1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重点创新事项2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7"/>
              </w:rPr>
              <w:t xml:space="preserve">人才支撑</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高层次领军人才</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培训计划执行率</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高级职称人才比重</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4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7"/>
              </w:rPr>
              <w:t xml:space="preserve">硕士和博士人才数量</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28"/>
          <w:jc w:val="center"/>
        </w:trPr>
        <w:tc>
          <w:tcPr>
            <w:tcW w:w="706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总分（100分）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=SUM(H22:H68)+H7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5"/>
              </w:rPr>
              <w:t xml:space="preserve">=SUM(I22:I68)+J7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083"/>
          <w:jc w:val="center"/>
        </w:trPr>
        <w:tc>
          <w:tcPr>
            <w:tcW w:w="990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5"/>
              </w:rPr>
              <w:t xml:space="preserve">注：1.自评采取打分评价的形式，满分为100分，各部门（单位）可根据指标的重要程度自主确定各项三级指标的权重分值，各项指标得分加总得出该项目绩效自评的总分。原则上一级指标分值统一设置为：履职效能30分、管理效率和运行成本40分、服务满意和可持续性20分、预算执行率10分。2.未完成原因分析及改进措施：说明偏离目标、不能完成目标的原因及改进措施。3.定性指标根据指标完成情况分为达成预期指标、部分达成预期指标并具有一定效果、未达成预期指标且效果较差三档，分别按照该指标对应分值区间100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2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44</Pages>
  <Words>6691</Words>
  <Characters>19222</Characters>
  <Application>WPS Office_12.1.0.18240_F1E327BC-269C-435d-A152-05C5408002CA</Application>
  <DocSecurity>0</DocSecurity>
  <Lines>1</Lines>
  <Paragraphs>1</Paragraphs>
  <CharactersWithSpaces>19465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2024-09-14T07:12:10Z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