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许昌市体育场馆设施管理中心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许昌市体育场馆设施管理中心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许昌市体育场馆设施管理中心概况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承担市体育馆、市体育场等市体育局负责的公共体育场地、设施的管理维护工作；为培育体育人才和体育运动赛事提供训练、比赛场地，为社会公众提供全民健身活动和国民体质测试场地。</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许昌市体育场馆设施管理中心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综合部、体育场管理办公室、体育馆管理办公室。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许昌市体育场馆设施管理中心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无</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154.28</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109.29</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32.42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7.00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5.56</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0.42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154.28</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154.69</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2.11</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1.70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156.39</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156.39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154.28</w:t>
            </w:r>
          </w:p>
        </w:tc>
        <w:tc>
          <w:tcPr>
            <w:tcW w:w="1440" w:type="dxa"/>
            <w:tcBorders/>
            <w:vAlign w:val="center"/>
          </w:tcPr>
          <w:p>
            <w:pPr>
              <w:jc w:val="right"/>
            </w:pPr>
            <w:r>
              <w:rPr>
                <w:rFonts w:ascii="宋体" w:eastAsia="宋体" w:hAnsi="宋体" w:cs="宋体"/>
                <w:b/>
                <w:i w:val="0"/>
                <w:color w:val="000000"/>
                <w:sz w:val="17"/>
              </w:rPr>
              <w:t xml:space="preserve">154.28</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体育</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2070307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体育场馆</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109.29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32.42</w:t>
            </w:r>
          </w:p>
        </w:tc>
        <w:tc>
          <w:tcPr>
            <w:tcW w:w="1440" w:type="dxa"/>
            <w:tcBorders/>
            <w:vAlign w:val="center"/>
          </w:tcPr>
          <w:p>
            <w:pPr>
              <w:jc w:val="right"/>
            </w:pPr>
            <w:r>
              <w:rPr>
                <w:rFonts w:ascii="宋体" w:eastAsia="宋体" w:hAnsi="宋体" w:cs="宋体"/>
                <w:b w:val="0"/>
                <w:i w:val="0"/>
                <w:color w:val="000000"/>
                <w:sz w:val="17"/>
              </w:rPr>
              <w:t xml:space="preserve">32.42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32.42</w:t>
            </w:r>
          </w:p>
        </w:tc>
        <w:tc>
          <w:tcPr>
            <w:tcW w:w="1440" w:type="dxa"/>
            <w:tcBorders/>
            <w:vAlign w:val="center"/>
          </w:tcPr>
          <w:p>
            <w:pPr>
              <w:jc w:val="right"/>
            </w:pPr>
            <w:r>
              <w:rPr>
                <w:rFonts w:ascii="宋体" w:eastAsia="宋体" w:hAnsi="宋体" w:cs="宋体"/>
                <w:b w:val="0"/>
                <w:i w:val="0"/>
                <w:color w:val="000000"/>
                <w:sz w:val="17"/>
              </w:rPr>
              <w:t xml:space="preserve">32.42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11.58</w:t>
            </w:r>
          </w:p>
        </w:tc>
        <w:tc>
          <w:tcPr>
            <w:tcW w:w="1440" w:type="dxa"/>
            <w:tcBorders/>
            <w:vAlign w:val="center"/>
          </w:tcPr>
          <w:p>
            <w:pPr>
              <w:jc w:val="right"/>
            </w:pPr>
            <w:r>
              <w:rPr>
                <w:rFonts w:ascii="宋体" w:eastAsia="宋体" w:hAnsi="宋体" w:cs="宋体"/>
                <w:b w:val="0"/>
                <w:i w:val="0"/>
                <w:color w:val="000000"/>
                <w:sz w:val="17"/>
              </w:rPr>
              <w:t xml:space="preserve">11.58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18.11</w:t>
            </w:r>
          </w:p>
        </w:tc>
        <w:tc>
          <w:tcPr>
            <w:tcW w:w="1440" w:type="dxa"/>
            <w:tcBorders/>
            <w:vAlign w:val="center"/>
          </w:tcPr>
          <w:p>
            <w:pPr>
              <w:jc w:val="right"/>
            </w:pPr>
            <w:r>
              <w:rPr>
                <w:rFonts w:ascii="宋体" w:eastAsia="宋体" w:hAnsi="宋体" w:cs="宋体"/>
                <w:b w:val="0"/>
                <w:i w:val="0"/>
                <w:color w:val="000000"/>
                <w:sz w:val="17"/>
              </w:rPr>
              <w:t xml:space="preserve">18.11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2.73</w:t>
            </w:r>
          </w:p>
        </w:tc>
        <w:tc>
          <w:tcPr>
            <w:tcW w:w="1440" w:type="dxa"/>
            <w:tcBorders/>
            <w:vAlign w:val="center"/>
          </w:tcPr>
          <w:p>
            <w:pPr>
              <w:jc w:val="right"/>
            </w:pPr>
            <w:r>
              <w:rPr>
                <w:rFonts w:ascii="宋体" w:eastAsia="宋体" w:hAnsi="宋体" w:cs="宋体"/>
                <w:b w:val="0"/>
                <w:i w:val="0"/>
                <w:color w:val="000000"/>
                <w:sz w:val="17"/>
              </w:rPr>
              <w:t xml:space="preserve">2.73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5.56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154.69</w:t>
            </w:r>
          </w:p>
        </w:tc>
        <w:tc>
          <w:tcPr>
            <w:tcW w:w="1600" w:type="dxa"/>
            <w:tcBorders/>
            <w:vAlign w:val="center"/>
          </w:tcPr>
          <w:p>
            <w:pPr>
              <w:jc w:val="right"/>
            </w:pPr>
            <w:r>
              <w:rPr>
                <w:rFonts w:ascii="宋体" w:eastAsia="宋体" w:hAnsi="宋体" w:cs="宋体"/>
                <w:b/>
                <w:i w:val="0"/>
                <w:color w:val="000000"/>
                <w:sz w:val="19"/>
              </w:rPr>
              <w:t xml:space="preserve">134.76</w:t>
            </w:r>
          </w:p>
        </w:tc>
        <w:tc>
          <w:tcPr>
            <w:tcW w:w="1600" w:type="dxa"/>
            <w:tcBorders/>
            <w:vAlign w:val="center"/>
          </w:tcPr>
          <w:p>
            <w:pPr>
              <w:jc w:val="right"/>
            </w:pPr>
            <w:r>
              <w:rPr>
                <w:rFonts w:ascii="宋体" w:eastAsia="宋体" w:hAnsi="宋体" w:cs="宋体"/>
                <w:b/>
                <w:i w:val="0"/>
                <w:color w:val="000000"/>
                <w:sz w:val="19"/>
              </w:rPr>
              <w:t xml:space="preserve">19.93</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109.29</w:t>
            </w:r>
          </w:p>
        </w:tc>
        <w:tc>
          <w:tcPr>
            <w:tcW w:w="1600" w:type="dxa"/>
            <w:tcBorders/>
            <w:vAlign w:val="center"/>
          </w:tcPr>
          <w:p>
            <w:pPr>
              <w:jc w:val="right"/>
            </w:pPr>
            <w:r>
              <w:rPr>
                <w:rFonts w:ascii="宋体" w:eastAsia="宋体" w:hAnsi="宋体" w:cs="宋体"/>
                <w:b w:val="0"/>
                <w:i w:val="0"/>
                <w:color w:val="000000"/>
                <w:sz w:val="19"/>
              </w:rPr>
              <w:t xml:space="preserve">89.36</w:t>
            </w:r>
          </w:p>
        </w:tc>
        <w:tc>
          <w:tcPr>
            <w:tcW w:w="1600" w:type="dxa"/>
            <w:tcBorders/>
            <w:vAlign w:val="center"/>
          </w:tcPr>
          <w:p>
            <w:pPr>
              <w:jc w:val="right"/>
            </w:pPr>
            <w:r>
              <w:rPr>
                <w:rFonts w:ascii="宋体" w:eastAsia="宋体" w:hAnsi="宋体" w:cs="宋体"/>
                <w:b w:val="0"/>
                <w:i w:val="0"/>
                <w:color w:val="000000"/>
                <w:sz w:val="19"/>
              </w:rPr>
              <w:t xml:space="preserve">19.93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体育</w:t>
            </w:r>
          </w:p>
        </w:tc>
        <w:tc>
          <w:tcPr>
            <w:tcW w:w="1600" w:type="dxa"/>
            <w:tcBorders/>
            <w:vAlign w:val="center"/>
          </w:tcPr>
          <w:p>
            <w:pPr>
              <w:jc w:val="right"/>
            </w:pPr>
            <w:r>
              <w:rPr>
                <w:rFonts w:ascii="宋体" w:eastAsia="宋体" w:hAnsi="宋体" w:cs="宋体"/>
                <w:b w:val="0"/>
                <w:i w:val="0"/>
                <w:color w:val="000000"/>
                <w:sz w:val="19"/>
              </w:rPr>
              <w:t xml:space="preserve">109.29</w:t>
            </w:r>
          </w:p>
        </w:tc>
        <w:tc>
          <w:tcPr>
            <w:tcW w:w="1600" w:type="dxa"/>
            <w:tcBorders/>
            <w:vAlign w:val="center"/>
          </w:tcPr>
          <w:p>
            <w:pPr>
              <w:jc w:val="right"/>
            </w:pPr>
            <w:r>
              <w:rPr>
                <w:rFonts w:ascii="宋体" w:eastAsia="宋体" w:hAnsi="宋体" w:cs="宋体"/>
                <w:b w:val="0"/>
                <w:i w:val="0"/>
                <w:color w:val="000000"/>
                <w:sz w:val="19"/>
              </w:rPr>
              <w:t xml:space="preserve">89.36</w:t>
            </w:r>
          </w:p>
        </w:tc>
        <w:tc>
          <w:tcPr>
            <w:tcW w:w="1600" w:type="dxa"/>
            <w:tcBorders/>
            <w:vAlign w:val="center"/>
          </w:tcPr>
          <w:p>
            <w:pPr>
              <w:jc w:val="right"/>
            </w:pPr>
            <w:r>
              <w:rPr>
                <w:rFonts w:ascii="宋体" w:eastAsia="宋体" w:hAnsi="宋体" w:cs="宋体"/>
                <w:b w:val="0"/>
                <w:i w:val="0"/>
                <w:color w:val="000000"/>
                <w:sz w:val="19"/>
              </w:rPr>
              <w:t xml:space="preserve">19.93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2070307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体育场馆</w:t>
            </w:r>
          </w:p>
        </w:tc>
        <w:tc>
          <w:tcPr>
            <w:tcW w:w="1600" w:type="dxa"/>
            <w:tcBorders/>
            <w:vAlign w:val="center"/>
          </w:tcPr>
          <w:p>
            <w:pPr>
              <w:jc w:val="right"/>
            </w:pPr>
            <w:r>
              <w:rPr>
                <w:rFonts w:ascii="宋体" w:eastAsia="宋体" w:hAnsi="宋体" w:cs="宋体"/>
                <w:b w:val="0"/>
                <w:i w:val="0"/>
                <w:color w:val="000000"/>
                <w:sz w:val="19"/>
              </w:rPr>
              <w:t xml:space="preserve">109.29</w:t>
            </w:r>
          </w:p>
        </w:tc>
        <w:tc>
          <w:tcPr>
            <w:tcW w:w="1600" w:type="dxa"/>
            <w:tcBorders/>
            <w:vAlign w:val="center"/>
          </w:tcPr>
          <w:p>
            <w:pPr>
              <w:jc w:val="right"/>
            </w:pPr>
            <w:r>
              <w:rPr>
                <w:rFonts w:ascii="宋体" w:eastAsia="宋体" w:hAnsi="宋体" w:cs="宋体"/>
                <w:b w:val="0"/>
                <w:i w:val="0"/>
                <w:color w:val="000000"/>
                <w:sz w:val="19"/>
              </w:rPr>
              <w:t xml:space="preserve">89.36</w:t>
            </w:r>
          </w:p>
        </w:tc>
        <w:tc>
          <w:tcPr>
            <w:tcW w:w="1600" w:type="dxa"/>
            <w:tcBorders/>
            <w:vAlign w:val="center"/>
          </w:tcPr>
          <w:p>
            <w:pPr>
              <w:jc w:val="right"/>
            </w:pPr>
            <w:r>
              <w:rPr>
                <w:rFonts w:ascii="宋体" w:eastAsia="宋体" w:hAnsi="宋体" w:cs="宋体"/>
                <w:b w:val="0"/>
                <w:i w:val="0"/>
                <w:color w:val="000000"/>
                <w:sz w:val="19"/>
              </w:rPr>
              <w:t xml:space="preserve">19.93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32.42</w:t>
            </w:r>
          </w:p>
        </w:tc>
        <w:tc>
          <w:tcPr>
            <w:tcW w:w="1600" w:type="dxa"/>
            <w:tcBorders/>
            <w:vAlign w:val="center"/>
          </w:tcPr>
          <w:p>
            <w:pPr>
              <w:jc w:val="right"/>
            </w:pPr>
            <w:r>
              <w:rPr>
                <w:rFonts w:ascii="宋体" w:eastAsia="宋体" w:hAnsi="宋体" w:cs="宋体"/>
                <w:b w:val="0"/>
                <w:i w:val="0"/>
                <w:color w:val="000000"/>
                <w:sz w:val="19"/>
              </w:rPr>
              <w:t xml:space="preserve">32.42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32.42</w:t>
            </w:r>
          </w:p>
        </w:tc>
        <w:tc>
          <w:tcPr>
            <w:tcW w:w="1600" w:type="dxa"/>
            <w:tcBorders/>
            <w:vAlign w:val="center"/>
          </w:tcPr>
          <w:p>
            <w:pPr>
              <w:jc w:val="right"/>
            </w:pPr>
            <w:r>
              <w:rPr>
                <w:rFonts w:ascii="宋体" w:eastAsia="宋体" w:hAnsi="宋体" w:cs="宋体"/>
                <w:b w:val="0"/>
                <w:i w:val="0"/>
                <w:color w:val="000000"/>
                <w:sz w:val="19"/>
              </w:rPr>
              <w:t xml:space="preserve">32.42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11.58</w:t>
            </w:r>
          </w:p>
        </w:tc>
        <w:tc>
          <w:tcPr>
            <w:tcW w:w="1600" w:type="dxa"/>
            <w:tcBorders/>
            <w:vAlign w:val="center"/>
          </w:tcPr>
          <w:p>
            <w:pPr>
              <w:jc w:val="right"/>
            </w:pPr>
            <w:r>
              <w:rPr>
                <w:rFonts w:ascii="宋体" w:eastAsia="宋体" w:hAnsi="宋体" w:cs="宋体"/>
                <w:b w:val="0"/>
                <w:i w:val="0"/>
                <w:color w:val="000000"/>
                <w:sz w:val="19"/>
              </w:rPr>
              <w:t xml:space="preserve">11.58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18.11</w:t>
            </w:r>
          </w:p>
        </w:tc>
        <w:tc>
          <w:tcPr>
            <w:tcW w:w="1600" w:type="dxa"/>
            <w:tcBorders/>
            <w:vAlign w:val="center"/>
          </w:tcPr>
          <w:p>
            <w:pPr>
              <w:jc w:val="right"/>
            </w:pPr>
            <w:r>
              <w:rPr>
                <w:rFonts w:ascii="宋体" w:eastAsia="宋体" w:hAnsi="宋体" w:cs="宋体"/>
                <w:b w:val="0"/>
                <w:i w:val="0"/>
                <w:color w:val="000000"/>
                <w:sz w:val="19"/>
              </w:rPr>
              <w:t xml:space="preserve">18.11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2.73</w:t>
            </w:r>
          </w:p>
        </w:tc>
        <w:tc>
          <w:tcPr>
            <w:tcW w:w="1600" w:type="dxa"/>
            <w:tcBorders/>
            <w:vAlign w:val="center"/>
          </w:tcPr>
          <w:p>
            <w:pPr>
              <w:jc w:val="right"/>
            </w:pPr>
            <w:r>
              <w:rPr>
                <w:rFonts w:ascii="宋体" w:eastAsia="宋体" w:hAnsi="宋体" w:cs="宋体"/>
                <w:b w:val="0"/>
                <w:i w:val="0"/>
                <w:color w:val="000000"/>
                <w:sz w:val="19"/>
              </w:rPr>
              <w:t xml:space="preserve">2.73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5.56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109.29</w:t>
            </w:r>
          </w:p>
        </w:tc>
        <w:tc>
          <w:tcPr>
            <w:tcW w:w="1420" w:type="dxa"/>
            <w:tcBorders/>
            <w:vAlign w:val="center"/>
          </w:tcPr>
          <w:p>
            <w:pPr>
              <w:jc w:val="right"/>
            </w:pPr>
            <w:r>
              <w:rPr>
                <w:rFonts w:ascii="宋体" w:eastAsia="宋体" w:hAnsi="宋体" w:cs="宋体"/>
                <w:b w:val="0"/>
                <w:i w:val="0"/>
                <w:color w:val="000000"/>
                <w:sz w:val="18"/>
              </w:rPr>
              <w:t xml:space="preserve">109.29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32.42</w:t>
            </w:r>
          </w:p>
        </w:tc>
        <w:tc>
          <w:tcPr>
            <w:tcW w:w="1420" w:type="dxa"/>
            <w:tcBorders/>
            <w:vAlign w:val="center"/>
          </w:tcPr>
          <w:p>
            <w:pPr>
              <w:jc w:val="right"/>
            </w:pPr>
            <w:r>
              <w:rPr>
                <w:rFonts w:ascii="宋体" w:eastAsia="宋体" w:hAnsi="宋体" w:cs="宋体"/>
                <w:b w:val="0"/>
                <w:i w:val="0"/>
                <w:color w:val="000000"/>
                <w:sz w:val="18"/>
              </w:rPr>
              <w:t xml:space="preserve">32.42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7.00</w:t>
            </w:r>
          </w:p>
        </w:tc>
        <w:tc>
          <w:tcPr>
            <w:tcW w:w="1420" w:type="dxa"/>
            <w:tcBorders/>
            <w:vAlign w:val="center"/>
          </w:tcPr>
          <w:p>
            <w:pPr>
              <w:jc w:val="right"/>
            </w:pPr>
            <w:r>
              <w:rPr>
                <w:rFonts w:ascii="宋体" w:eastAsia="宋体" w:hAnsi="宋体" w:cs="宋体"/>
                <w:b w:val="0"/>
                <w:i w:val="0"/>
                <w:color w:val="000000"/>
                <w:sz w:val="18"/>
              </w:rPr>
              <w:t xml:space="preserve">7.00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5.56</w:t>
            </w:r>
          </w:p>
        </w:tc>
        <w:tc>
          <w:tcPr>
            <w:tcW w:w="1420" w:type="dxa"/>
            <w:tcBorders/>
            <w:vAlign w:val="center"/>
          </w:tcPr>
          <w:p>
            <w:pPr>
              <w:jc w:val="right"/>
            </w:pPr>
            <w:r>
              <w:rPr>
                <w:rFonts w:ascii="宋体" w:eastAsia="宋体" w:hAnsi="宋体" w:cs="宋体"/>
                <w:b w:val="0"/>
                <w:i w:val="0"/>
                <w:color w:val="000000"/>
                <w:sz w:val="18"/>
              </w:rPr>
              <w:t xml:space="preserve">5.56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1420" w:type="dxa"/>
            <w:tcBorders/>
            <w:vAlign w:val="center"/>
          </w:tcPr>
          <w:p>
            <w:pPr>
              <w:jc w:val="right"/>
            </w:pPr>
            <w:r>
              <w:rPr>
                <w:rFonts w:ascii="宋体" w:eastAsia="宋体" w:hAnsi="宋体" w:cs="宋体"/>
                <w:b w:val="0"/>
                <w:i w:val="0"/>
                <w:color w:val="000000"/>
                <w:sz w:val="18"/>
              </w:rPr>
              <w:t xml:space="preserve">154.28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154.28</w:t>
            </w:r>
          </w:p>
        </w:tc>
        <w:tc>
          <w:tcPr>
            <w:tcW w:w="2700" w:type="dxa"/>
            <w:tcBorders/>
            <w:vAlign w:val="center"/>
          </w:tcPr>
          <w:p>
            <w:pPr>
              <w:jc w:val="right"/>
            </w:pPr>
            <w:r>
              <w:rPr>
                <w:rFonts w:ascii="宋体" w:eastAsia="宋体" w:hAnsi="宋体" w:cs="宋体"/>
                <w:b/>
                <w:i w:val="0"/>
                <w:color w:val="000000"/>
                <w:sz w:val="25"/>
              </w:rPr>
              <w:t xml:space="preserve">134.35</w:t>
            </w:r>
          </w:p>
        </w:tc>
        <w:tc>
          <w:tcPr>
            <w:tcW w:w="2658" w:type="dxa"/>
            <w:tcBorders/>
            <w:vAlign w:val="center"/>
          </w:tcPr>
          <w:p>
            <w:pPr>
              <w:jc w:val="right"/>
            </w:pPr>
            <w:r>
              <w:rPr>
                <w:rFonts w:ascii="宋体" w:eastAsia="宋体" w:hAnsi="宋体" w:cs="宋体"/>
                <w:b/>
                <w:i w:val="0"/>
                <w:color w:val="000000"/>
                <w:sz w:val="25"/>
              </w:rPr>
              <w:t xml:space="preserve">19.93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109.29</w:t>
            </w:r>
          </w:p>
        </w:tc>
        <w:tc>
          <w:tcPr>
            <w:tcW w:w="2700" w:type="dxa"/>
            <w:tcBorders/>
            <w:vAlign w:val="center"/>
          </w:tcPr>
          <w:p>
            <w:pPr>
              <w:jc w:val="right"/>
            </w:pPr>
            <w:r>
              <w:rPr>
                <w:rFonts w:ascii="宋体" w:eastAsia="宋体" w:hAnsi="宋体" w:cs="宋体"/>
                <w:b w:val="0"/>
                <w:i w:val="0"/>
                <w:color w:val="000000"/>
                <w:sz w:val="25"/>
              </w:rPr>
              <w:t xml:space="preserve">89.36</w:t>
            </w:r>
          </w:p>
        </w:tc>
        <w:tc>
          <w:tcPr>
            <w:tcW w:w="2658" w:type="dxa"/>
            <w:tcBorders/>
            <w:vAlign w:val="center"/>
          </w:tcPr>
          <w:p>
            <w:pPr>
              <w:jc w:val="right"/>
            </w:pPr>
            <w:r>
              <w:rPr>
                <w:rFonts w:ascii="宋体" w:eastAsia="宋体" w:hAnsi="宋体" w:cs="宋体"/>
                <w:b w:val="0"/>
                <w:i w:val="0"/>
                <w:color w:val="000000"/>
                <w:sz w:val="25"/>
              </w:rPr>
              <w:t xml:space="preserve">19.93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体育</w:t>
            </w:r>
          </w:p>
        </w:tc>
        <w:tc>
          <w:tcPr>
            <w:tcW w:w="2700" w:type="dxa"/>
            <w:tcBorders/>
            <w:vAlign w:val="center"/>
          </w:tcPr>
          <w:p>
            <w:pPr>
              <w:jc w:val="right"/>
            </w:pPr>
            <w:r>
              <w:rPr>
                <w:rFonts w:ascii="宋体" w:eastAsia="宋体" w:hAnsi="宋体" w:cs="宋体"/>
                <w:b w:val="0"/>
                <w:i w:val="0"/>
                <w:color w:val="000000"/>
                <w:sz w:val="25"/>
              </w:rPr>
              <w:t xml:space="preserve">109.29</w:t>
            </w:r>
          </w:p>
        </w:tc>
        <w:tc>
          <w:tcPr>
            <w:tcW w:w="2700" w:type="dxa"/>
            <w:tcBorders/>
            <w:vAlign w:val="center"/>
          </w:tcPr>
          <w:p>
            <w:pPr>
              <w:jc w:val="right"/>
            </w:pPr>
            <w:r>
              <w:rPr>
                <w:rFonts w:ascii="宋体" w:eastAsia="宋体" w:hAnsi="宋体" w:cs="宋体"/>
                <w:b w:val="0"/>
                <w:i w:val="0"/>
                <w:color w:val="000000"/>
                <w:sz w:val="25"/>
              </w:rPr>
              <w:t xml:space="preserve">89.36</w:t>
            </w:r>
          </w:p>
        </w:tc>
        <w:tc>
          <w:tcPr>
            <w:tcW w:w="2658" w:type="dxa"/>
            <w:tcBorders/>
            <w:vAlign w:val="center"/>
          </w:tcPr>
          <w:p>
            <w:pPr>
              <w:jc w:val="right"/>
            </w:pPr>
            <w:r>
              <w:rPr>
                <w:rFonts w:ascii="宋体" w:eastAsia="宋体" w:hAnsi="宋体" w:cs="宋体"/>
                <w:b w:val="0"/>
                <w:i w:val="0"/>
                <w:color w:val="000000"/>
                <w:sz w:val="25"/>
              </w:rPr>
              <w:t xml:space="preserve">19.93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2070307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体育场馆</w:t>
            </w:r>
          </w:p>
        </w:tc>
        <w:tc>
          <w:tcPr>
            <w:tcW w:w="2700" w:type="dxa"/>
            <w:tcBorders/>
            <w:vAlign w:val="center"/>
          </w:tcPr>
          <w:p>
            <w:pPr>
              <w:jc w:val="right"/>
            </w:pPr>
            <w:r>
              <w:rPr>
                <w:rFonts w:ascii="宋体" w:eastAsia="宋体" w:hAnsi="宋体" w:cs="宋体"/>
                <w:b w:val="0"/>
                <w:i w:val="0"/>
                <w:color w:val="000000"/>
                <w:sz w:val="25"/>
              </w:rPr>
              <w:t xml:space="preserve">109.29</w:t>
            </w:r>
          </w:p>
        </w:tc>
        <w:tc>
          <w:tcPr>
            <w:tcW w:w="2700" w:type="dxa"/>
            <w:tcBorders/>
            <w:vAlign w:val="center"/>
          </w:tcPr>
          <w:p>
            <w:pPr>
              <w:jc w:val="right"/>
            </w:pPr>
            <w:r>
              <w:rPr>
                <w:rFonts w:ascii="宋体" w:eastAsia="宋体" w:hAnsi="宋体" w:cs="宋体"/>
                <w:b w:val="0"/>
                <w:i w:val="0"/>
                <w:color w:val="000000"/>
                <w:sz w:val="25"/>
              </w:rPr>
              <w:t xml:space="preserve">89.36</w:t>
            </w:r>
          </w:p>
        </w:tc>
        <w:tc>
          <w:tcPr>
            <w:tcW w:w="2658" w:type="dxa"/>
            <w:tcBorders/>
            <w:vAlign w:val="center"/>
          </w:tcPr>
          <w:p>
            <w:pPr>
              <w:jc w:val="right"/>
            </w:pPr>
            <w:r>
              <w:rPr>
                <w:rFonts w:ascii="宋体" w:eastAsia="宋体" w:hAnsi="宋体" w:cs="宋体"/>
                <w:b w:val="0"/>
                <w:i w:val="0"/>
                <w:color w:val="000000"/>
                <w:sz w:val="25"/>
              </w:rPr>
              <w:t xml:space="preserve">19.93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32.42</w:t>
            </w:r>
          </w:p>
        </w:tc>
        <w:tc>
          <w:tcPr>
            <w:tcW w:w="2700" w:type="dxa"/>
            <w:tcBorders/>
            <w:vAlign w:val="center"/>
          </w:tcPr>
          <w:p>
            <w:pPr>
              <w:jc w:val="right"/>
            </w:pPr>
            <w:r>
              <w:rPr>
                <w:rFonts w:ascii="宋体" w:eastAsia="宋体" w:hAnsi="宋体" w:cs="宋体"/>
                <w:b w:val="0"/>
                <w:i w:val="0"/>
                <w:color w:val="000000"/>
                <w:sz w:val="25"/>
              </w:rPr>
              <w:t xml:space="preserve">32.42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32.42</w:t>
            </w:r>
          </w:p>
        </w:tc>
        <w:tc>
          <w:tcPr>
            <w:tcW w:w="2700" w:type="dxa"/>
            <w:tcBorders/>
            <w:vAlign w:val="center"/>
          </w:tcPr>
          <w:p>
            <w:pPr>
              <w:jc w:val="right"/>
            </w:pPr>
            <w:r>
              <w:rPr>
                <w:rFonts w:ascii="宋体" w:eastAsia="宋体" w:hAnsi="宋体" w:cs="宋体"/>
                <w:b w:val="0"/>
                <w:i w:val="0"/>
                <w:color w:val="000000"/>
                <w:sz w:val="25"/>
              </w:rPr>
              <w:t xml:space="preserve">32.42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11.58</w:t>
            </w:r>
          </w:p>
        </w:tc>
        <w:tc>
          <w:tcPr>
            <w:tcW w:w="2700" w:type="dxa"/>
            <w:tcBorders/>
            <w:vAlign w:val="center"/>
          </w:tcPr>
          <w:p>
            <w:pPr>
              <w:jc w:val="right"/>
            </w:pPr>
            <w:r>
              <w:rPr>
                <w:rFonts w:ascii="宋体" w:eastAsia="宋体" w:hAnsi="宋体" w:cs="宋体"/>
                <w:b w:val="0"/>
                <w:i w:val="0"/>
                <w:color w:val="000000"/>
                <w:sz w:val="25"/>
              </w:rPr>
              <w:t xml:space="preserve">11.58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18.11</w:t>
            </w:r>
          </w:p>
        </w:tc>
        <w:tc>
          <w:tcPr>
            <w:tcW w:w="2700" w:type="dxa"/>
            <w:tcBorders/>
            <w:vAlign w:val="center"/>
          </w:tcPr>
          <w:p>
            <w:pPr>
              <w:jc w:val="right"/>
            </w:pPr>
            <w:r>
              <w:rPr>
                <w:rFonts w:ascii="宋体" w:eastAsia="宋体" w:hAnsi="宋体" w:cs="宋体"/>
                <w:b w:val="0"/>
                <w:i w:val="0"/>
                <w:color w:val="000000"/>
                <w:sz w:val="25"/>
              </w:rPr>
              <w:t xml:space="preserve">18.11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2.73</w:t>
            </w:r>
          </w:p>
        </w:tc>
        <w:tc>
          <w:tcPr>
            <w:tcW w:w="2700" w:type="dxa"/>
            <w:tcBorders/>
            <w:vAlign w:val="center"/>
          </w:tcPr>
          <w:p>
            <w:pPr>
              <w:jc w:val="right"/>
            </w:pPr>
            <w:r>
              <w:rPr>
                <w:rFonts w:ascii="宋体" w:eastAsia="宋体" w:hAnsi="宋体" w:cs="宋体"/>
                <w:b w:val="0"/>
                <w:i w:val="0"/>
                <w:color w:val="000000"/>
                <w:sz w:val="25"/>
              </w:rPr>
              <w:t xml:space="preserve">2.73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700" w:type="dxa"/>
            <w:tcBorders/>
            <w:vAlign w:val="center"/>
          </w:tcPr>
          <w:p>
            <w:pPr>
              <w:jc w:val="right"/>
            </w:pPr>
            <w:r>
              <w:rPr>
                <w:rFonts w:ascii="宋体" w:eastAsia="宋体" w:hAnsi="宋体" w:cs="宋体"/>
                <w:b w:val="0"/>
                <w:i w:val="0"/>
                <w:color w:val="000000"/>
                <w:sz w:val="25"/>
              </w:rPr>
              <w:t xml:space="preserve">5.56</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115.17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6.97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29.58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22.20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0.87</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18.00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2.60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2.73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6.81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5.56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29.33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12.21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1.79</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9.61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2.85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127.38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6.97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单位：许昌市体育场馆设施管理中心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0.68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0.68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0.68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0.68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0.68</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0.68</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156.39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减少82.78万元，下降34.61%</w:t>
      </w:r>
      <w:r>
        <w:rPr>
          <w:rFonts w:ascii="仿宋" w:eastAsia="仿宋" w:hAnsi="仿宋" w:cs="仿宋" w:hint="eastAsia"/>
          <w:kern w:val="0"/>
          <w:sz w:val="32"/>
          <w:szCs w:val="32"/>
          <w:lang w:val="en-US" w:eastAsia="zh-CN"/>
        </w:rPr>
        <w:t xml:space="preserve">。主要原因是人员经费减少。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154.28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财政拨款收入154.28万元，占100.00%；上级补助收入0.00万元，占0.00%；事业收入0.00万元，占0.00%；经营收入0.00万元，占0.00%；附属单位上缴收入0.00万元，占0.00%；其他收入0.00万元，占0.00%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154.69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基本支出134.76万元，占87.12%；项目支出19.93万元，占12.88%；上缴上级支出0.00万元，占0.00%；经营支出0.00万元，占0.00%；对附属单位补助支出0.00万元，占0.00%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154.28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减少57.38万元，下降27.11%</w:t>
      </w:r>
      <w:r>
        <w:rPr>
          <w:rFonts w:ascii="仿宋" w:eastAsia="仿宋" w:hAnsi="仿宋" w:cs="仿宋" w:hint="eastAsia"/>
          <w:kern w:val="0"/>
          <w:sz w:val="32"/>
          <w:szCs w:val="32"/>
          <w:lang w:val="en-US" w:eastAsia="zh-CN"/>
        </w:rPr>
        <w:t xml:space="preserve">。主要原因是人员经费减少。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154.28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99.73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增加10.76万元，增长7.50%</w:t>
      </w:r>
      <w:r>
        <w:rPr>
          <w:rFonts w:ascii="仿宋" w:eastAsia="仿宋" w:hAnsi="仿宋" w:cs="仿宋" w:hint="eastAsia"/>
          <w:kern w:val="0"/>
          <w:sz w:val="32"/>
          <w:szCs w:val="32"/>
          <w:lang w:val="en-US" w:eastAsia="zh-CN"/>
        </w:rPr>
        <w:t xml:space="preserve">。主要原因是补缴以前年度欠缴社保费。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154.28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文化旅游体育与传媒支出（类）109.29万元，占70.84%；社会保障和就业支出（类）32.42万元，占21.01%；卫生健康支出（类）7.00万元，占4.54%；住房保障支出（类）5.56万元，占3.61%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266.79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154.28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57.83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1.文化旅游体育与传媒支出（类）体育（款）体育场馆（项）</w:t>
      </w:r>
      <w:r>
        <w:rPr>
          <w:rFonts w:ascii="仿宋" w:eastAsia="仿宋" w:hAnsi="仿宋" w:cs="仿宋" w:hint="default"/>
          <w:kern w:val="2"/>
          <w:sz w:val="32"/>
          <w:szCs w:val="32"/>
          <w:lang w:val="en-US" w:eastAsia="zh-CN"/>
        </w:rPr>
        <w:t xml:space="preserve">年初预算数为168.20万元，决算数109.29万元,完成年初预算的64.98%，决算数与年初预算数存在差异的主要原因是单位人员经费减少。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年初预算数为19.00万元，决算数11.58万元,完成年初预算的60.95%，决算数与年初预算数存在差异的主要原因是退休人员离退休费减少。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年初预算数为20.20万元，决算数18.11万元,完成年初预算的89.65%，决算数与年初预算数存在差异的主要原因是单位基本养老保险缴费支出减少。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4.社会保障和就业支出（类）行政事业单位养老支出（款）机关事业单位职业年金缴费支出（项）</w:t>
      </w:r>
      <w:r>
        <w:rPr>
          <w:rFonts w:ascii="仿宋" w:eastAsia="仿宋" w:hAnsi="仿宋" w:cs="仿宋" w:hint="default"/>
          <w:kern w:val="2"/>
          <w:sz w:val="32"/>
          <w:szCs w:val="32"/>
          <w:lang w:val="en-US" w:eastAsia="zh-CN"/>
        </w:rPr>
        <w:t xml:space="preserve">年初预算数为9.00万元，决算数2.73万元,完成年初预算的30.33%，决算数与年初预算数存在差异的主要原因是单位欠缴职业年金。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年初预算数为7.40万元，决算数7.00万元,完成年初预算的94.59%，决算数与年初预算数存在差异的主要原因是事业单位医疗减少。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年初预算数为19.70万元，决算数5.56万元,完成年初预算的28.22%，决算数与年初预算数存在差异的主要原因是单位欠缴住房公积金。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134.35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其中：人员经费127.38万元，主要包括：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公用经费6.97万元，主要包括：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主要用于单位公车的日常维护及运行。</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266.79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我单位整体自评合格</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基于项目预期目标的实现程度，我单位对2023年度单位预算项目支出（含单位参与分配的转移支付项目）开展绩效自评，涉及项目1个，项目金额22万元。其中：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公共体育场馆向社会免费或低收费开放中央补助资金，自评得分为92.6分，等级为“优”。我单位根据年初制定工作任务，严格按照国库集中支付制度有关规定支付资金，圆满完成本年度工作，预算完成执行度较高。但因资金拨付较晚，个别运动健身设施更换不及时，无法完全满足群众健身活动，接下来我单位会重点关注，努力解决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根据部门预算编制和资金管理办法的要求，进行项目论证、评审、立项等必要程序。严格按照国库集中支付制度有关规定支付资金，未出现违规将资金从国库转入财政专户或支付到预算单位实有资金账户等问题。将资金纳入绩效管理，设置绩效目标，开展绩效监控。科学制定预算绩效管理目标，合理支付及使用资金，保证预算绩效良好开展。</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b1eddc05-ef9f-407b-9e01-720809aae208"/>
        <w:tblW w:w="0" w:type="auto"/>
        <w:tblInd w:w="93" w:type="dxa"/>
        <w:tblCellMar>
          <w:top w:w="0" w:type="dxa"/>
          <w:left w:w="108" w:type="dxa"/>
          <w:bottom w:w="0" w:type="dxa"/>
          <w:right w:w="108" w:type="dxa"/>
        </w:tblCellMar>
        <w:tblLook w:firstRow="0" w:lastRow="0" w:firstColumn="0" w:lastColumn="0" w:noHBand="1" w:noVBand="1"/>
      </w:tblPr>
      <w:tblGrid>
        <w:gridCol w:w="425"/>
        <w:gridCol w:w="402"/>
        <w:gridCol w:w="786"/>
        <w:gridCol w:w="651"/>
        <w:gridCol w:w="762"/>
        <w:gridCol w:w="1959"/>
        <w:gridCol w:w="1116"/>
        <w:gridCol w:w="576"/>
        <w:gridCol w:w="1116"/>
        <w:gridCol w:w="636"/>
      </w:tblGrid>
      <w:tr>
        <w:tblPrEx>
          <w:tblW w:w="0" w:type="auto"/>
          <w:tblInd w:w="93" w:type="dxa"/>
          <w:tblBorders/>
          <w:shd w:val="clear" w:color="auto" w:fill="auto"/>
          <w:tblCellMar>
            <w:top w:w="0" w:type="dxa"/>
            <w:left w:w="108" w:type="dxa"/>
            <w:bottom w:w="0" w:type="dxa"/>
            <w:right w:w="108" w:type="dxa"/>
          </w:tblCellMar>
        </w:tblPrEx>
        <w:trPr>
          <w:trHeight w:val="660"/>
        </w:trPr>
        <w:tc>
          <w:tcPr>
            <w:tcW w:type="auto" w:w="0"/>
            <w:gridSpan w:val="10"/>
            <w:tcBorders>
              <w:top w:val="nil"/>
              <w:left w:val="nil"/>
              <w:bottom w:val="nil"/>
              <w:right w:val="nil"/>
            </w:tcBorders>
            <w:shd w:val="clear" w:color="auto" w:fill="auto"/>
            <w:vAlign w:val="bottom"/>
          </w:tcPr>
          <w:p>
            <w:pPr>
              <w:pStyle w:val="Normal_22128656-b579-4aa5-9255-cd1128fb53bf"/>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单位整体自评表</w:t>
            </w:r>
          </w:p>
        </w:tc>
      </w:tr>
      <w:tr>
        <w:tblPrEx>
          <w:tblW w:w="0" w:type="auto"/>
          <w:tblInd w:w="93" w:type="dxa"/>
          <w:tblBorders/>
          <w:shd w:val="clear" w:color="auto" w:fill="auto"/>
          <w:tblCellMar>
            <w:top w:w="0" w:type="dxa"/>
            <w:left w:w="108" w:type="dxa"/>
            <w:bottom w:w="0" w:type="dxa"/>
            <w:right w:w="108" w:type="dxa"/>
          </w:tblCellMar>
        </w:tblPrEx>
        <w:trPr>
          <w:trHeight w:val="660"/>
        </w:trPr>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p>
        </w:tc>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p>
        </w:tc>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p>
        </w:tc>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p>
        </w:tc>
        <w:tc>
          <w:tcPr>
            <w:tcW w:type="auto" w:w="0"/>
            <w:tcBorders>
              <w:top w:val="nil"/>
              <w:left w:val="nil"/>
              <w:bottom w:val="single" w:sz="4" w:space="0" w:color="000000"/>
              <w:right w:val="nil"/>
            </w:tcBorders>
            <w:shd w:val="clear" w:color="auto" w:fill="auto"/>
            <w:vAlign w:val="bottom"/>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nil"/>
              <w:left w:val="nil"/>
              <w:bottom w:val="single" w:sz="4" w:space="0" w:color="000000"/>
              <w:right w:val="nil"/>
            </w:tcBorders>
            <w:shd w:val="clear" w:color="auto" w:fill="auto"/>
            <w:vAlign w:val="bottom"/>
          </w:tcPr>
          <w:p>
            <w:pPr>
              <w:pStyle w:val="Normal_22128656-b579-4aa5-9255-cd1128fb53bf"/>
              <w:widowControl/>
              <w:jc w:val="right"/>
              <w:rPr>
                <w:rFonts w:ascii="宋体" w:eastAsia="宋体" w:hAnsi="宋体" w:cs="宋体"/>
                <w:color w:val="000000"/>
                <w:kern w:val="0"/>
                <w:sz w:val="18"/>
                <w:szCs w:val="18"/>
              </w:rPr>
            </w:pPr>
          </w:p>
        </w:tc>
        <w:tc>
          <w:tcPr>
            <w:tcW w:type="auto" w:w="0"/>
            <w:gridSpan w:val="2"/>
            <w:tcBorders>
              <w:top w:val="nil"/>
              <w:left w:val="nil"/>
              <w:bottom w:val="single" w:sz="4" w:space="0" w:color="000000"/>
              <w:right w:val="nil"/>
            </w:tcBorders>
            <w:shd w:val="clear" w:color="auto" w:fill="auto"/>
            <w:vAlign w:val="bottom"/>
          </w:tcPr>
          <w:p>
            <w:pPr>
              <w:pStyle w:val="Normal_22128656-b579-4aa5-9255-cd1128fb53bf"/>
              <w:widowControl/>
              <w:jc w:val="center"/>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许昌市体育场馆设施管理中心</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3"/>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gridSpan w:val="7"/>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w:t>
            </w:r>
            <w:r>
              <w:rPr/>
              <w:br/>
            </w:r>
            <w:r>
              <w:rPr>
                <w:rFonts w:ascii="宋体" w:eastAsia="宋体" w:hAnsi="宋体" w:cs="宋体" w:hint="eastAsia"/>
                <w:color w:val="000000"/>
                <w:kern w:val="0"/>
                <w:sz w:val="18"/>
                <w:szCs w:val="18"/>
              </w:rPr>
              <w:t xml:space="preserve">执行</w:t>
            </w:r>
            <w:r>
              <w:rPr/>
              <w:br/>
            </w:r>
            <w:r>
              <w:rPr>
                <w:rFonts w:ascii="宋体" w:eastAsia="宋体" w:hAnsi="宋体" w:cs="宋体" w:hint="eastAsia"/>
                <w:color w:val="000000"/>
                <w:kern w:val="0"/>
                <w:sz w:val="18"/>
                <w:szCs w:val="18"/>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年初数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eastAsia="zh-CN"/>
              </w:rPr>
              <w:t xml:space="preserve">单位</w:t>
            </w:r>
            <w:r>
              <w:rPr>
                <w:rFonts w:ascii="宋体" w:eastAsia="宋体" w:hAnsi="宋体" w:cs="宋体" w:hint="eastAsia"/>
                <w:color w:val="000000"/>
                <w:kern w:val="0"/>
                <w:sz w:val="18"/>
                <w:szCs w:val="18"/>
              </w:rPr>
              <w:t xml:space="preserve">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266.79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266.79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154.69</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57.98%</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6</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财政性资金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266.79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266.79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154.69</w:t>
            </w: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57.98%</w:t>
            </w: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20"/>
                <w:szCs w:val="20"/>
              </w:rPr>
            </w:pP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其他资金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20"/>
                <w:szCs w:val="20"/>
              </w:rPr>
            </w:pP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w:t>
            </w:r>
            <w:r>
              <w:rPr/>
              <w:br/>
            </w:r>
            <w:r>
              <w:rPr>
                <w:rFonts w:ascii="宋体" w:eastAsia="宋体" w:hAnsi="宋体" w:cs="宋体" w:hint="eastAsia"/>
                <w:color w:val="000000"/>
                <w:kern w:val="0"/>
                <w:sz w:val="18"/>
                <w:szCs w:val="18"/>
              </w:rPr>
              <w:t xml:space="preserve">履职</w:t>
            </w:r>
            <w:r>
              <w:rPr/>
              <w:br/>
            </w:r>
            <w:r>
              <w:rPr>
                <w:rFonts w:ascii="宋体" w:eastAsia="宋体" w:hAnsi="宋体" w:cs="宋体" w:hint="eastAsia"/>
                <w:color w:val="000000"/>
                <w:kern w:val="0"/>
                <w:sz w:val="18"/>
                <w:szCs w:val="18"/>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实际完成情况</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目标完成情况</w:t>
            </w:r>
          </w:p>
        </w:tc>
      </w:tr>
      <w:tr>
        <w:tblPrEx>
          <w:tblW w:w="0" w:type="auto"/>
          <w:tblInd w:w="93" w:type="dxa"/>
          <w:tblBorders/>
          <w:shd w:val="clear" w:color="auto" w:fill="auto"/>
          <w:tblCellMar>
            <w:top w:w="0" w:type="dxa"/>
            <w:left w:w="108" w:type="dxa"/>
            <w:bottom w:w="0" w:type="dxa"/>
            <w:right w:w="108" w:type="dxa"/>
          </w:tblCellMar>
        </w:tblPrEx>
        <w:trPr>
          <w:trHeight w:val="600"/>
        </w:trPr>
        <w:tc>
          <w:tcPr>
            <w:tcW w:type="auto" w:w="0"/>
            <w:gridSpan w:val="2"/>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1、场馆对外开放不低于300天。</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已完成</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w:t>
            </w:r>
            <w:r>
              <w:rPr/>
              <w:br/>
            </w:r>
            <w:r>
              <w:rPr>
                <w:rFonts w:ascii="宋体" w:eastAsia="宋体" w:hAnsi="宋体" w:cs="宋体" w:hint="eastAsia"/>
                <w:color w:val="000000"/>
                <w:kern w:val="0"/>
                <w:sz w:val="18"/>
                <w:szCs w:val="18"/>
              </w:rPr>
              <w:t xml:space="preserve">主要</w:t>
            </w:r>
            <w:r>
              <w:rPr/>
              <w:br/>
            </w:r>
            <w:r>
              <w:rPr>
                <w:rFonts w:ascii="宋体" w:eastAsia="宋体" w:hAnsi="宋体" w:cs="宋体" w:hint="eastAsia"/>
                <w:color w:val="000000"/>
                <w:kern w:val="0"/>
                <w:sz w:val="18"/>
                <w:szCs w:val="18"/>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任务完成情况</w:t>
            </w:r>
          </w:p>
        </w:tc>
      </w:tr>
      <w:tr>
        <w:tblPrEx>
          <w:tblW w:w="0" w:type="auto"/>
          <w:tblInd w:w="93" w:type="dxa"/>
          <w:tblBorders/>
          <w:shd w:val="clear" w:color="auto" w:fill="auto"/>
          <w:tblCellMar>
            <w:top w:w="0" w:type="dxa"/>
            <w:left w:w="108" w:type="dxa"/>
            <w:bottom w:w="0" w:type="dxa"/>
            <w:right w:w="108" w:type="dxa"/>
          </w:tblCellMar>
        </w:tblPrEx>
        <w:trPr>
          <w:trHeight w:val="1720"/>
        </w:trPr>
        <w:tc>
          <w:tcPr>
            <w:tcW w:type="auto" w:w="0"/>
            <w:gridSpan w:val="2"/>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任务1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室内羽毛球场周一至周日上午8:30-11:30免费。周一至周日下午会员专场；2.室外篮球场、室外健身器全年免费开放，每天开放时间8:00-18:00；3.体育馆室内场馆对学生、老年人、半价收费，残疾人免费；4.全年健身日全面免费对外开放；5.每天开放时间10小时，每周开放时间70小时，全年开放时间365天。6.体育场馆日常维护、能源损耗、公益性活动举办、设备更新、运营环境改善。</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已完成</w:t>
            </w:r>
          </w:p>
        </w:tc>
      </w:tr>
      <w:tr>
        <w:tblPrEx>
          <w:tblW w:w="0" w:type="auto"/>
          <w:tblInd w:w="93" w:type="dxa"/>
          <w:tblBorders/>
          <w:shd w:val="clear" w:color="auto" w:fill="auto"/>
          <w:tblCellMar>
            <w:top w:w="0" w:type="dxa"/>
            <w:left w:w="108" w:type="dxa"/>
            <w:bottom w:w="0" w:type="dxa"/>
            <w:right w:w="108" w:type="dxa"/>
          </w:tblCellMar>
        </w:tblPrEx>
        <w:trPr>
          <w:trHeight w:val="460"/>
        </w:trPr>
        <w:tc>
          <w:tcPr>
            <w:tcW w:type="auto" w:w="0"/>
            <w:gridSpan w:val="2"/>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22128656-b579-4aa5-9255-cd1128fb53bf"/>
              <w:widowControl/>
              <w:jc w:val="center"/>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3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指标说明</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未完成原因分析及改进措施</w:t>
            </w:r>
          </w:p>
        </w:tc>
      </w:tr>
      <w:tr>
        <w:tblPrEx>
          <w:tblW w:w="0" w:type="auto"/>
          <w:tblInd w:w="93" w:type="dxa"/>
          <w:tblBorders/>
          <w:shd w:val="clear" w:color="auto" w:fill="auto"/>
          <w:tblCellMar>
            <w:top w:w="0" w:type="dxa"/>
            <w:left w:w="108" w:type="dxa"/>
            <w:bottom w:w="0" w:type="dxa"/>
            <w:right w:w="108" w:type="dxa"/>
          </w:tblCellMar>
        </w:tblPrEx>
        <w:trPr>
          <w:trHeight w:val="3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1.部门所有收入是否全部纳入部门预算；2.部门支出预算是否统筹各类资金来源，全部纳入部门预算管理。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专项资金细化率=（已细化到具体市县和承担单位的资金数/部门参与分配资金总数）×100%。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预算执行率=（预算完成数/预算数）×100%。预算完成数指部门实际执行的预算数；预算数指财政部门批复的本年度部门的（调整）预算数。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结转结余率=结转结余总额/预算数*100%。结转结余总额是指部门本年度的结转结余资金之和。预算数是指财政部门批复的本年度部门的（调整）预算数。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≤100&amp;</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“三公经费”控制率=本年度“三公经费”实际支出数/“三公经费”预算数*100%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政府采购执行率=（实际政府采购金额/政府采购预算数）×100%。政府采购预算：采购机关根据事业发展计划和行政任务编制的、并经过规定程序批准的年度政府采购计划。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反映本部门决算工作情况。决算编制数据是否账表一致，即决算报表数据与会计账簿数据是否一致。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的资产配置、使用是否合规，处置是否规范，收入是否及时足额上缴，用以反映和考核部门（单位）资产管理的规范程度。1.是否建立资产台账，资产报表数据与会计账簿数据是否相符；2.新增资产是否符合规定程序和规定标准；3.资产对外使用（出租等）、资产处置事项是否按规定报批；4.资产收益是否及时足额上交财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部门（单位）按要求实施绩效监控的项目数量占应实施绩效监控项目总数的比重。部门绩效监控完成率=已完成绩效监控项目数量/部门项目总数*100%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部门（单位）按要求实施绩效自评的项目数量占应实施绩效自评项目总数的比重。部门绩效自评完成率=已完成评价项目数量/部门项目总数*100%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部门重点绩效评价项目评价完成情况。部门绩效评价完成率=已完成评价项目数量/部门重点绩效评价项目数*100%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绩效监控、单位自评、部门绩效评价、财政重点绩效评价结果应用情况。评价结果应用率=评价提出的意见建议采纳数/提出的意见建议总数*100%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产出指标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许昌市体育场馆对外开放运营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反映本部门负责的重点工作进展情况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许昌市体育场馆对外开放运营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反映本部门制定的年度工作目标达成情况。分项具体列示本部门年度工作目标达成情况，相关情况应予以细化、量化表述。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效益指标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35</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带动体育事业发展影响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积极影响</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反映部门履职对经济社会发展等所带来的直接或间接影响。可根据部门实际情况有选择的进行设置，并将三级指标细化为相应的个性化指标。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公共体育服务质量提升情况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提升</w:t>
            </w: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满意</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反映普通用户和对口部门对部门服务的满意度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r>
        <w:tblPrEx>
          <w:tblW w:w="0" w:type="auto"/>
          <w:tblInd w:w="93" w:type="dxa"/>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nil"/>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对口部门满意度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满意</w:t>
            </w: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2128656-b579-4aa5-9255-cd1128fb53bf"/>
              <w:widowControl/>
              <w:jc w:val="left"/>
              <w:rPr>
                <w:rFonts w:ascii="宋体" w:eastAsia="宋体" w:hAnsi="宋体" w:cs="宋体"/>
                <w:color w:val="000000"/>
                <w:kern w:val="0"/>
                <w:sz w:val="18"/>
                <w:szCs w:val="18"/>
              </w:rPr>
            </w:pPr>
          </w:p>
        </w:tc>
      </w:tr>
    </w:tbl>
    <w:p>
      <w:pPr>
        <w:pStyle w:val="Normal_22128656-b579-4aa5-9255-cd1128fb53bf"/>
        <w:sectPr>
          <w:pgSz w:w="11906" w:h="16838" w:orient="portrait"/>
          <w:pgMar w:top="1440" w:right="1800" w:bottom="1440" w:left="1800" w:header="851" w:footer="992" w:gutter="0"/>
          <w:cols w:num="1" w:space="425">
            <w:col w:w="8306" w:space="425"/>
          </w:cols>
          <w:docGrid w:type="lines" w:linePitch="312" w:charSpace="0"/>
        </w:sectPr>
      </w:pPr>
    </w:p>
    <w:tbl>
      <w:tblPr>
        <w:tblStyle w:val="NormalTable_b1eddc05-ef9f-407b-9e01-720809aae208"/>
        <w:tblW w:w="0" w:type="auto"/>
        <w:tblInd w:w="93" w:type="dxa"/>
        <w:tblLook w:val="04A0" w:firstRow="1" w:lastRow="0" w:firstColumn="1" w:lastColumn="0" w:noHBand="0" w:noVBand="1"/>
      </w:tblPr>
      <w:tblGrid>
        <w:gridCol w:w="483"/>
        <w:gridCol w:w="466"/>
        <w:gridCol w:w="896"/>
        <w:gridCol w:w="303"/>
        <w:gridCol w:w="303"/>
        <w:gridCol w:w="1555"/>
        <w:gridCol w:w="710"/>
        <w:gridCol w:w="495"/>
        <w:gridCol w:w="576"/>
        <w:gridCol w:w="413"/>
        <w:gridCol w:w="692"/>
        <w:gridCol w:w="1537"/>
      </w:tblGrid>
      <w:tr w:rsidTr="006D378F">
        <w:trPr>
          <w:trHeight w:val="570"/>
        </w:trPr>
        <w:tc>
          <w:tcPr>
            <w:tcW w:type="auto" w:w="0"/>
            <w:gridSpan w:val="12"/>
            <w:tcBorders>
              <w:top w:val="nil"/>
              <w:left w:val="nil"/>
              <w:bottom w:val="nil"/>
              <w:right w:val="nil"/>
            </w:tcBorders>
            <w:shd w:val="clear" w:color="auto" w:fill="auto"/>
            <w:vAlign w:val="center"/>
            <w:hideMark/>
          </w:tcPr>
          <w:p>
            <w:pPr>
              <w:pStyle w:val="Normal_22128656-b579-4aa5-9255-cd1128fb53bf"/>
              <w:widowControl/>
              <w:jc w:val="center"/>
              <w:rPr>
                <w:rFonts w:ascii="宋体" w:eastAsia="宋体" w:hAnsi="宋体" w:cs="宋体"/>
                <w:b/>
                <w:bCs/>
                <w:color w:val="000000"/>
                <w:kern w:val="0"/>
                <w:sz w:val="38"/>
                <w:szCs w:val="38"/>
              </w:rPr>
            </w:pPr>
            <w:r w:rsidRPr="006D378F">
              <w:rPr>
                <w:rFonts w:ascii="宋体" w:eastAsia="宋体" w:hAnsi="宋体" w:cs="宋体" w:hint="eastAsia"/>
                <w:b/>
                <w:bCs/>
                <w:color w:val="000000"/>
                <w:kern w:val="0"/>
                <w:sz w:val="38"/>
                <w:szCs w:val="38"/>
              </w:rPr>
              <w:t xml:space="preserve">项目单位自评表</w:t>
            </w:r>
          </w:p>
        </w:tc>
      </w:tr>
      <w:tr w:rsidTr="006D378F">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公共体育场馆向社会免费或低收费开放中央补助资金（上级提前下达）</w:t>
            </w:r>
          </w:p>
        </w:tc>
      </w:tr>
      <w:tr w:rsidTr="006D378F">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许昌市体育局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许昌市体育场馆设施管理中心</w:t>
            </w:r>
          </w:p>
        </w:tc>
      </w:tr>
      <w:tr w:rsidTr="006D378F">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得分</w:t>
            </w:r>
          </w:p>
        </w:tc>
      </w:tr>
      <w:tr w:rsidTr="006D378F">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19.93</w:t>
            </w:r>
          </w:p>
        </w:tc>
        <w:tc>
          <w:tcPr>
            <w:tcW w:type="auto" w:w="0"/>
            <w:tcBorders>
              <w:top w:val="nil"/>
              <w:left w:val="nil"/>
              <w:bottom w:val="nil"/>
              <w:right w:val="nil"/>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90.59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9.06</w:t>
            </w:r>
          </w:p>
        </w:tc>
      </w:tr>
      <w:tr w:rsidTr="006D378F">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19.93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90.59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r>
      <w:tr w:rsidTr="006D378F">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r>
      <w:tr w:rsidTr="006D378F">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w:t>
            </w:r>
          </w:p>
        </w:tc>
      </w:tr>
      <w:tr w:rsidTr="006D378F">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存在问题和改进措施</w:t>
            </w:r>
          </w:p>
        </w:tc>
      </w:tr>
      <w:tr w:rsidTr="006D378F">
        <w:trPr>
          <w:trHeight w:val="454"/>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p>
        </w:tc>
      </w:tr>
      <w:tr w:rsidTr="006D378F">
        <w:trPr>
          <w:trHeight w:val="679"/>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拨付合</w:t>
            </w:r>
            <w:r w:rsidRPr="006D378F">
              <w:rPr>
                <w:rFonts w:ascii="宋体" w:eastAsia="宋体" w:hAnsi="宋体" w:cs="宋体" w:hint="eastAsia"/>
                <w:color w:val="000000"/>
                <w:kern w:val="0"/>
                <w:sz w:val="18"/>
                <w:szCs w:val="18"/>
              </w:rPr>
              <w:t xml:space="preserve">规</w:t>
            </w:r>
            <w:r w:rsidRPr="006D378F">
              <w:rPr>
                <w:rFonts w:ascii="宋体" w:eastAsia="宋体" w:hAnsi="宋体" w:cs="宋体" w:hint="eastAsia"/>
                <w:color w:val="000000"/>
                <w:kern w:val="0"/>
                <w:sz w:val="18"/>
                <w:szCs w:val="18"/>
              </w:rPr>
              <w:t xml:space="preserve">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p>
        </w:tc>
      </w:tr>
      <w:tr w:rsidTr="006D378F">
        <w:trPr>
          <w:trHeight w:val="454"/>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p>
        </w:tc>
      </w:tr>
      <w:tr w:rsidTr="006D378F">
        <w:trPr>
          <w:trHeight w:val="679"/>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将资金纳入绩效管理，设置绩效目标，开展绩效监控。科学制定预算绩效管理目标，合理支付及使用资金，保证预算绩效良好开展。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p>
        </w:tc>
      </w:tr>
      <w:tr w:rsidTr="006D378F">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年</w:t>
            </w:r>
            <w:r w:rsidRPr="006D378F">
              <w:rPr>
                <w:rFonts w:ascii="宋体" w:eastAsia="宋体" w:hAnsi="宋体" w:cs="宋体" w:hint="eastAsia"/>
                <w:color w:val="000000"/>
                <w:kern w:val="0"/>
                <w:sz w:val="18"/>
                <w:szCs w:val="18"/>
              </w:rPr>
              <w:t xml:space="preserve">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实际完成情况</w:t>
            </w:r>
          </w:p>
        </w:tc>
      </w:tr>
      <w:tr w:rsidTr="006D378F">
        <w:trPr>
          <w:trHeight w:val="2037"/>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1.室内羽毛球场周一至周日上午8：30-11:30免费。周一至周日下午会员专场；</w:t>
            </w:r>
            <w:r>
              <w:rPr/>
              <w:br/>
            </w:r>
            <w:r w:rsidRPr="006D378F">
              <w:rPr>
                <w:rFonts w:ascii="宋体" w:eastAsia="宋体" w:hAnsi="宋体" w:cs="宋体" w:hint="eastAsia"/>
                <w:color w:val="000000"/>
                <w:kern w:val="0"/>
                <w:sz w:val="18"/>
                <w:szCs w:val="18"/>
              </w:rPr>
              <w:t xml:space="preserve">2.室外篮球场、室外健身器全年免费开放，每天开放时间8:00-18:00；</w:t>
            </w:r>
            <w:r>
              <w:rPr/>
              <w:br/>
            </w:r>
            <w:r w:rsidRPr="006D378F">
              <w:rPr>
                <w:rFonts w:ascii="宋体" w:eastAsia="宋体" w:hAnsi="宋体" w:cs="宋体" w:hint="eastAsia"/>
                <w:color w:val="000000"/>
                <w:kern w:val="0"/>
                <w:sz w:val="18"/>
                <w:szCs w:val="18"/>
              </w:rPr>
              <w:t xml:space="preserve">3.体育馆室内场馆对学生、老年人、半价收费，残疾人免费；</w:t>
            </w:r>
            <w:r>
              <w:rPr/>
              <w:br/>
            </w:r>
            <w:r w:rsidRPr="006D378F">
              <w:rPr>
                <w:rFonts w:ascii="宋体" w:eastAsia="宋体" w:hAnsi="宋体" w:cs="宋体" w:hint="eastAsia"/>
                <w:color w:val="000000"/>
                <w:kern w:val="0"/>
                <w:sz w:val="18"/>
                <w:szCs w:val="18"/>
              </w:rPr>
              <w:t xml:space="preserve">4.全年健身</w:t>
            </w:r>
            <w:r w:rsidRPr="006D378F">
              <w:rPr>
                <w:rFonts w:ascii="宋体" w:eastAsia="宋体" w:hAnsi="宋体" w:cs="宋体" w:hint="eastAsia"/>
                <w:color w:val="000000"/>
                <w:kern w:val="0"/>
                <w:sz w:val="18"/>
                <w:szCs w:val="18"/>
              </w:rPr>
              <w:t xml:space="preserve">日全面</w:t>
            </w:r>
            <w:r w:rsidRPr="006D378F">
              <w:rPr>
                <w:rFonts w:ascii="宋体" w:eastAsia="宋体" w:hAnsi="宋体" w:cs="宋体" w:hint="eastAsia"/>
                <w:color w:val="000000"/>
                <w:kern w:val="0"/>
                <w:sz w:val="18"/>
                <w:szCs w:val="18"/>
              </w:rPr>
              <w:t xml:space="preserve">免费对外开放；</w:t>
            </w:r>
            <w:r>
              <w:rPr/>
              <w:br/>
            </w:r>
            <w:r w:rsidRPr="006D378F">
              <w:rPr>
                <w:rFonts w:ascii="宋体" w:eastAsia="宋体" w:hAnsi="宋体" w:cs="宋体" w:hint="eastAsia"/>
                <w:color w:val="000000"/>
                <w:kern w:val="0"/>
                <w:sz w:val="18"/>
                <w:szCs w:val="18"/>
              </w:rPr>
              <w:t xml:space="preserve">5.每天开放时间10小时，每周开放时间70小时，全年开放时间365天;</w:t>
            </w:r>
            <w:r>
              <w:rPr/>
              <w:br/>
            </w:r>
            <w:r w:rsidRPr="006D378F">
              <w:rPr>
                <w:rFonts w:ascii="宋体" w:eastAsia="宋体" w:hAnsi="宋体" w:cs="宋体" w:hint="eastAsia"/>
                <w:color w:val="000000"/>
                <w:kern w:val="0"/>
                <w:sz w:val="18"/>
                <w:szCs w:val="18"/>
              </w:rPr>
              <w:t xml:space="preserve">6.体育场馆日常维护、能源损耗、公益性体育活动举办、设备更新、运营环境改善。</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1.室内羽毛球场周一至周日上午8：30-11:30免费。周一至周日下午会员专场；</w:t>
            </w:r>
            <w:r>
              <w:rPr/>
              <w:br/>
            </w:r>
            <w:r w:rsidRPr="006D378F">
              <w:rPr>
                <w:rFonts w:ascii="宋体" w:eastAsia="宋体" w:hAnsi="宋体" w:cs="宋体" w:hint="eastAsia"/>
                <w:color w:val="000000"/>
                <w:kern w:val="0"/>
                <w:sz w:val="18"/>
                <w:szCs w:val="18"/>
              </w:rPr>
              <w:t xml:space="preserve">2.室外篮球场、室外健身器全年免费开放，每天开放时间8:00-18:00；</w:t>
            </w:r>
            <w:r>
              <w:rPr/>
              <w:br/>
            </w:r>
            <w:r w:rsidRPr="006D378F">
              <w:rPr>
                <w:rFonts w:ascii="宋体" w:eastAsia="宋体" w:hAnsi="宋体" w:cs="宋体" w:hint="eastAsia"/>
                <w:color w:val="000000"/>
                <w:kern w:val="0"/>
                <w:sz w:val="18"/>
                <w:szCs w:val="18"/>
              </w:rPr>
              <w:t xml:space="preserve">3.体育馆室内场馆对学生、老年人、半价收费，残疾人免费；</w:t>
            </w:r>
            <w:r>
              <w:rPr/>
              <w:br/>
            </w:r>
            <w:r w:rsidRPr="006D378F">
              <w:rPr>
                <w:rFonts w:ascii="宋体" w:eastAsia="宋体" w:hAnsi="宋体" w:cs="宋体" w:hint="eastAsia"/>
                <w:color w:val="000000"/>
                <w:kern w:val="0"/>
                <w:sz w:val="18"/>
                <w:szCs w:val="18"/>
              </w:rPr>
              <w:t xml:space="preserve">4.全年健身</w:t>
            </w:r>
            <w:r w:rsidRPr="006D378F">
              <w:rPr>
                <w:rFonts w:ascii="宋体" w:eastAsia="宋体" w:hAnsi="宋体" w:cs="宋体" w:hint="eastAsia"/>
                <w:color w:val="000000"/>
                <w:kern w:val="0"/>
                <w:sz w:val="18"/>
                <w:szCs w:val="18"/>
              </w:rPr>
              <w:t xml:space="preserve">日全面</w:t>
            </w:r>
            <w:r w:rsidRPr="006D378F">
              <w:rPr>
                <w:rFonts w:ascii="宋体" w:eastAsia="宋体" w:hAnsi="宋体" w:cs="宋体" w:hint="eastAsia"/>
                <w:color w:val="000000"/>
                <w:kern w:val="0"/>
                <w:sz w:val="18"/>
                <w:szCs w:val="18"/>
              </w:rPr>
              <w:t xml:space="preserve">免费对外开放；</w:t>
            </w:r>
            <w:r>
              <w:rPr/>
              <w:br/>
            </w:r>
            <w:r w:rsidRPr="006D378F">
              <w:rPr>
                <w:rFonts w:ascii="宋体" w:eastAsia="宋体" w:hAnsi="宋体" w:cs="宋体" w:hint="eastAsia"/>
                <w:color w:val="000000"/>
                <w:kern w:val="0"/>
                <w:sz w:val="18"/>
                <w:szCs w:val="18"/>
              </w:rPr>
              <w:t xml:space="preserve">5.每天开放时间10小时，每周开放时间70小时，全年开放时间365天;</w:t>
            </w:r>
            <w:r>
              <w:rPr/>
              <w:br/>
            </w:r>
            <w:r w:rsidRPr="006D378F">
              <w:rPr>
                <w:rFonts w:ascii="宋体" w:eastAsia="宋体" w:hAnsi="宋体" w:cs="宋体" w:hint="eastAsia"/>
                <w:color w:val="000000"/>
                <w:kern w:val="0"/>
                <w:sz w:val="18"/>
                <w:szCs w:val="18"/>
              </w:rPr>
              <w:t xml:space="preserve">6.体育场馆日常维护、能源损耗、公益性体育活动举办、设备更新、运营环境改善。</w:t>
            </w:r>
          </w:p>
        </w:tc>
      </w:tr>
      <w:tr w:rsidTr="006D378F">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偏差原因分析及改进措施</w:t>
            </w:r>
          </w:p>
        </w:tc>
      </w:tr>
      <w:tr w:rsidTr="006D378F">
        <w:trPr>
          <w:trHeight w:val="904"/>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日常维护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19.93万元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9.06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-9.41%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由于资金拨付时间较晚，造成资金未使用完成。希望以后资金拨付时间可以加快。</w:t>
            </w: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left"/>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454"/>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体育场馆维护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16.73万元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904"/>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能源损耗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3.2万元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-60.00%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由于资金拨付时间较晚，半年的水电费已由其他资金支付。希望以后资金拨付时间可以加快。</w:t>
            </w: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体育场馆维护合格率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904"/>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能源损耗保障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2.53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-49.49%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由于资金拨付时间较晚，半年的水电费已由其他资金支付。希望</w:t>
            </w:r>
            <w:r w:rsidRPr="006D378F">
              <w:rPr>
                <w:rFonts w:ascii="宋体" w:eastAsia="宋体" w:hAnsi="宋体" w:cs="宋体" w:hint="eastAsia"/>
                <w:color w:val="000000"/>
                <w:kern w:val="0"/>
                <w:sz w:val="18"/>
                <w:szCs w:val="18"/>
              </w:rPr>
              <w:t xml:space="preserve">以后资金拨付时间可以加快。</w:t>
            </w: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≤365天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365天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促进全民健身</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r w:rsidTr="006D378F">
        <w:trPr>
          <w:trHeight w:val="1358"/>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群众对体育馆体育服务满意度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4.95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因场馆老旧，一些运动设施无法满足部分群众的运动活动。希望有关部门可以重视并支持我单位更换及维修相关老化设施、设备。</w:t>
            </w:r>
          </w:p>
        </w:tc>
      </w:tr>
      <w:tr w:rsidTr="006D378F">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22128656-b579-4aa5-9255-cd1128fb53bf"/>
              <w:widowControl/>
              <w:jc w:val="left"/>
              <w:rPr>
                <w:rFonts w:ascii="宋体" w:eastAsia="宋体" w:hAnsi="宋体" w:cs="宋体"/>
                <w:color w:val="000000"/>
                <w:kern w:val="0"/>
                <w:sz w:val="18"/>
                <w:szCs w:val="18"/>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r w:rsidRPr="006D378F">
              <w:rPr>
                <w:rFonts w:ascii="宋体" w:eastAsia="宋体" w:hAnsi="宋体" w:cs="宋体" w:hint="eastAsia"/>
                <w:color w:val="000000"/>
                <w:kern w:val="0"/>
                <w:sz w:val="18"/>
                <w:szCs w:val="18"/>
              </w:rPr>
              <w:t xml:space="preserve">92.6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22128656-b579-4aa5-9255-cd1128fb53bf"/>
              <w:widowControl/>
              <w:jc w:val="center"/>
              <w:rPr>
                <w:rFonts w:ascii="宋体" w:eastAsia="宋体" w:hAnsi="宋体" w:cs="宋体"/>
                <w:color w:val="000000"/>
                <w:kern w:val="0"/>
                <w:sz w:val="18"/>
                <w:szCs w:val="18"/>
              </w:rPr>
            </w:pPr>
          </w:p>
        </w:tc>
      </w:tr>
    </w:tbl>
    <w:p>
      <w:pPr>
        <w:pStyle w:val="Normal_22128656-b579-4aa5-9255-cd1128fb53bf"/>
        <w:rPr/>
        <w:sectPr>
          <w:pgSz w:w="11906" w:h="16838" w:orient="portrait"/>
          <w:pgMar w:top="1440" w:right="1800" w:bottom="1440" w:left="1800" w:header="851" w:footer="992" w:gutter="0"/>
          <w:cols w:num="1" w:space="425">
            <w:col w:w="8306"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0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2128656-b579-4aa5-9255-cd1128fb53bf">
    <w:name w:val="Normal_22128656-b579-4aa5-9255-cd1128fb53bf"/>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table" w:styleId="NormalTable_b1eddc05-ef9f-407b-9e01-720809aae208">
    <w:name w:val="Normal Table_b1eddc05-ef9f-407b-9e01-720809aae208"/>
    <w:uiPriority w:val="99"/>
    <w:semiHidden/>
    <w:unhideWhenUsed/>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