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许昌市人力资源和社会保障局（本级）单位决算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bookmarkStart w:id="0" w:name="_GoBack"/>
      <w:bookmarkEnd w:id="0"/>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许昌市人力资源和社会保障局（本级）概况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许昌市人力资源和社会保障局（本级）概况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（一）贯彻执行国家人力资源和社会保障法律法规、政策,拟订全市人力资源和社会保障事业发展规划和相关规范性文件并负责组织实施和监督检查。</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（二）拟订全市人力资源市场发展规划和人力资源服务业发展、人力资源流动相关规范性文件,推动建立统一开放、竞争有序的人力资源市场体系,促进人力资源合理流动和优化配置。</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负责全市促进就业工作,贯彻落实全省统筹城乡的就业发展规划和政策,完善公共就业创业服务体系,统筹建立全市面向城乡劳动者的职业技能培训制度,贯彻落实就业援助制度,牵头拟订全市高校毕业生就业的规范性文件。会同有关部门拟订高技能人才、农村实用人才培养和激励的相关规范性文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统筹推进建立全市覆盖城乡的多层次社会保障体系。贯彻落实全省养老、失业、工伤等社会保险及其补充保险政策和标准。贯彻落实养老保险全省统筹办法和全省统一的养老、失业、工伤保险关系转续办法。组织拟订养老、失业、工伤等社会保险及其补充保险基金管理和监督制度,编制相关社会保险基金预决算草案,贯彻落实相关社会保障基金投资政策。会同有关部门实施全民参保计划并建立统一的社会保险公共服务平台。</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（五）负责全市就业、失业和相关社会保险基金预警机制和信息引导,拟订应对预案,实施预防、调节和控制,保持就业形势稳定和相关社会保险基金总体收支平衡。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贯彻落实全省劳动人事争议调解仲裁制度和劳动关系政策,完善劳动关系协商协调机制,贯彻执行国家、省关于国家工作时间、休息休假和假期的相关规定以及特殊劳动保护政策实施细则并监督实施。组织实施劳动保障监察，协调劳动者维权工作,依法查处重大案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牵头推进深化职称制度改革,贯彻执行省专业技术人员管理、继续教育和博士后管理等政策,负责高层次专业技术人才选拔和培训工作,拟订吸引留学人员来许工作或定居的规范性文件。拟订全市技能人才培养、评价、使用和激励制度的相关规范性文件。完善职业资格制度,健全职业技能多元化评价政策。</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（八）会同有关部门指导全市事业单位人事制度改革，按照管理权限负责规范事业单位岗位设置、公开招聘、聘用管理、考核奖惩等人事综合管理工作,贯执行全省事业单位工作人员和机关工勤人员管理政策。</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（九）会同有关部门贯彻落实国家、省表彰奖励制度，综合管理市委、市政府表彰奖励工作,根据授权承办以市委、市政府名义开展的表彰奖励工作,承办部分市管领导干部的行政任免手续。</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贯彻落实全省事业单位人员和机关工勤人员工资收入分配政策,建立全市企事业单位人员工资决定、正常增长和支付保障机制。贯彻落实全省企事业单位人员、机关工勤人员福利和离退休政策的实施细则。贯彻执行全省机关、事业单位工勤人员技术等级考核政策。</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（十一）会同有关部门贯彻落实全省农民工工作的综合性政策和规划,推动相关政策落实,协调解决重点难点问题,维护农民工合法权益。统筹指导全市农民工就业创业和发展家庭服务业促进就业工作。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（十二）完成市委、市政府交办的其他任务。</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人力资源和社会保障局（本级）内设机构19个,包括：办公室(信访工作科)、政策法规科(政务服务科)、规划和基金监督科、就业促进工作办公室、人力资源流动管理科、职业能力建设科、人才评价开发科(市职称改革领导小组办公室)、专业技术人员管理科、事业单位人事管理科、农民工工作科、工资福利科、养老保险科、失业保险科、工伤保险科、调解仲裁管理和劳动关系科、劳动保障监察科、人事科(任免奖励科)、机关党委、离退休干部工作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从决算单位构成看，许昌市人力资源和社会保障局（本级）单位决算包括：本级决算（1个）。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许昌市人力资源和社会保障局</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单位：许昌市人力资源和社会保障局（本级）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1,704.14</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54.13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95.20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19.81</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1,435.11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79.26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55.25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28.39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1,723.95</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1,749.84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27.92</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2.04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1,751.88</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1,751.88</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单位：许昌市人力资源和社会保障局（本级）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1,723.95</w:t>
            </w:r>
          </w:p>
        </w:tc>
        <w:tc>
          <w:tcPr>
            <w:tcW w:w="1440" w:type="dxa"/>
            <w:vAlign w:val="center"/>
          </w:tcPr>
          <w:p>
            <w:pPr>
              <w:jc w:val="right"/>
            </w:pPr>
            <w:r>
              <w:rPr>
                <w:rFonts w:ascii="宋体" w:hAnsi="宋体" w:eastAsia="宋体" w:cs="宋体"/>
                <w:b/>
                <w:i w:val="0"/>
                <w:color w:val="000000"/>
                <w:sz w:val="17"/>
              </w:rPr>
              <w:t>1,704.14</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19.81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54.13</w:t>
            </w:r>
          </w:p>
        </w:tc>
        <w:tc>
          <w:tcPr>
            <w:tcW w:w="1440" w:type="dxa"/>
            <w:vAlign w:val="center"/>
          </w:tcPr>
          <w:p>
            <w:pPr>
              <w:jc w:val="right"/>
            </w:pPr>
            <w:r>
              <w:rPr>
                <w:rFonts w:ascii="宋体" w:hAnsi="宋体" w:eastAsia="宋体" w:cs="宋体"/>
                <w:b w:val="0"/>
                <w:i w:val="0"/>
                <w:color w:val="000000"/>
                <w:sz w:val="17"/>
              </w:rPr>
              <w:t>54.13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4.83</w:t>
            </w:r>
          </w:p>
        </w:tc>
        <w:tc>
          <w:tcPr>
            <w:tcW w:w="1440" w:type="dxa"/>
            <w:vAlign w:val="center"/>
          </w:tcPr>
          <w:p>
            <w:pPr>
              <w:jc w:val="right"/>
            </w:pPr>
            <w:r>
              <w:rPr>
                <w:rFonts w:ascii="宋体" w:hAnsi="宋体" w:eastAsia="宋体" w:cs="宋体"/>
                <w:b w:val="0"/>
                <w:i w:val="0"/>
                <w:color w:val="000000"/>
                <w:sz w:val="17"/>
              </w:rPr>
              <w:t>4.83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4.83</w:t>
            </w:r>
          </w:p>
        </w:tc>
        <w:tc>
          <w:tcPr>
            <w:tcW w:w="1440" w:type="dxa"/>
            <w:vAlign w:val="center"/>
          </w:tcPr>
          <w:p>
            <w:pPr>
              <w:jc w:val="right"/>
            </w:pPr>
            <w:r>
              <w:rPr>
                <w:rFonts w:ascii="宋体" w:hAnsi="宋体" w:eastAsia="宋体" w:cs="宋体"/>
                <w:b w:val="0"/>
                <w:i w:val="0"/>
                <w:color w:val="000000"/>
                <w:sz w:val="17"/>
              </w:rPr>
              <w:t>4.83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49.30</w:t>
            </w:r>
          </w:p>
        </w:tc>
        <w:tc>
          <w:tcPr>
            <w:tcW w:w="1440" w:type="dxa"/>
            <w:vAlign w:val="center"/>
          </w:tcPr>
          <w:p>
            <w:pPr>
              <w:jc w:val="right"/>
            </w:pPr>
            <w:r>
              <w:rPr>
                <w:rFonts w:ascii="宋体" w:hAnsi="宋体" w:eastAsia="宋体" w:cs="宋体"/>
                <w:b w:val="0"/>
                <w:i w:val="0"/>
                <w:color w:val="000000"/>
                <w:sz w:val="17"/>
              </w:rPr>
              <w:t>49.30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49.30</w:t>
            </w:r>
          </w:p>
        </w:tc>
        <w:tc>
          <w:tcPr>
            <w:tcW w:w="1440" w:type="dxa"/>
            <w:vAlign w:val="center"/>
          </w:tcPr>
          <w:p>
            <w:pPr>
              <w:jc w:val="right"/>
            </w:pPr>
            <w:r>
              <w:rPr>
                <w:rFonts w:ascii="宋体" w:hAnsi="宋体" w:eastAsia="宋体" w:cs="宋体"/>
                <w:b w:val="0"/>
                <w:i w:val="0"/>
                <w:color w:val="000000"/>
                <w:sz w:val="17"/>
              </w:rPr>
              <w:t>49.30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205</w:t>
            </w:r>
          </w:p>
        </w:tc>
        <w:tc>
          <w:tcPr>
            <w:tcW w:w="3140" w:type="dxa"/>
            <w:vAlign w:val="center"/>
          </w:tcPr>
          <w:p>
            <w:pPr>
              <w:jc w:val="left"/>
            </w:pPr>
            <w:r>
              <w:rPr>
                <w:rFonts w:ascii="宋体" w:hAnsi="宋体" w:eastAsia="宋体" w:cs="宋体"/>
                <w:b w:val="0"/>
                <w:i w:val="0"/>
                <w:color w:val="000000"/>
                <w:sz w:val="17"/>
              </w:rPr>
              <w:t>教育支出</w:t>
            </w:r>
          </w:p>
        </w:tc>
        <w:tc>
          <w:tcPr>
            <w:tcW w:w="1440" w:type="dxa"/>
            <w:vAlign w:val="center"/>
          </w:tcPr>
          <w:p>
            <w:pPr>
              <w:jc w:val="right"/>
            </w:pPr>
            <w:r>
              <w:rPr>
                <w:rFonts w:ascii="宋体" w:hAnsi="宋体" w:eastAsia="宋体" w:cs="宋体"/>
                <w:b w:val="0"/>
                <w:i w:val="0"/>
                <w:color w:val="000000"/>
                <w:sz w:val="17"/>
              </w:rPr>
              <w:t>95.20</w:t>
            </w:r>
          </w:p>
        </w:tc>
        <w:tc>
          <w:tcPr>
            <w:tcW w:w="1440" w:type="dxa"/>
            <w:vAlign w:val="center"/>
          </w:tcPr>
          <w:p>
            <w:pPr>
              <w:jc w:val="right"/>
            </w:pPr>
            <w:r>
              <w:rPr>
                <w:rFonts w:ascii="宋体" w:hAnsi="宋体" w:eastAsia="宋体" w:cs="宋体"/>
                <w:b w:val="0"/>
                <w:i w:val="0"/>
                <w:color w:val="000000"/>
                <w:sz w:val="17"/>
              </w:rPr>
              <w:t>95.20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20503</w:t>
            </w:r>
          </w:p>
        </w:tc>
        <w:tc>
          <w:tcPr>
            <w:tcW w:w="3140" w:type="dxa"/>
            <w:vAlign w:val="center"/>
          </w:tcPr>
          <w:p>
            <w:pPr>
              <w:jc w:val="left"/>
            </w:pPr>
            <w:r>
              <w:rPr>
                <w:rFonts w:ascii="宋体" w:hAnsi="宋体" w:eastAsia="宋体" w:cs="宋体"/>
                <w:b w:val="0"/>
                <w:i w:val="0"/>
                <w:color w:val="000000"/>
                <w:sz w:val="17"/>
              </w:rPr>
              <w:t>职业教育</w:t>
            </w:r>
          </w:p>
        </w:tc>
        <w:tc>
          <w:tcPr>
            <w:tcW w:w="1440" w:type="dxa"/>
            <w:vAlign w:val="center"/>
          </w:tcPr>
          <w:p>
            <w:pPr>
              <w:jc w:val="right"/>
            </w:pPr>
            <w:r>
              <w:rPr>
                <w:rFonts w:ascii="宋体" w:hAnsi="宋体" w:eastAsia="宋体" w:cs="宋体"/>
                <w:b w:val="0"/>
                <w:i w:val="0"/>
                <w:color w:val="000000"/>
                <w:sz w:val="17"/>
              </w:rPr>
              <w:t>95.20</w:t>
            </w:r>
          </w:p>
        </w:tc>
        <w:tc>
          <w:tcPr>
            <w:tcW w:w="1440" w:type="dxa"/>
            <w:vAlign w:val="center"/>
          </w:tcPr>
          <w:p>
            <w:pPr>
              <w:jc w:val="right"/>
            </w:pPr>
            <w:r>
              <w:rPr>
                <w:rFonts w:ascii="宋体" w:hAnsi="宋体" w:eastAsia="宋体" w:cs="宋体"/>
                <w:b w:val="0"/>
                <w:i w:val="0"/>
                <w:color w:val="000000"/>
                <w:sz w:val="17"/>
              </w:rPr>
              <w:t>95.20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2050302</w:t>
            </w:r>
          </w:p>
        </w:tc>
        <w:tc>
          <w:tcPr>
            <w:tcW w:w="3140" w:type="dxa"/>
            <w:vAlign w:val="center"/>
          </w:tcPr>
          <w:p>
            <w:pPr>
              <w:jc w:val="left"/>
            </w:pPr>
            <w:r>
              <w:rPr>
                <w:rFonts w:ascii="宋体" w:hAnsi="宋体" w:eastAsia="宋体" w:cs="宋体"/>
                <w:b w:val="0"/>
                <w:i w:val="0"/>
                <w:color w:val="000000"/>
                <w:sz w:val="17"/>
              </w:rPr>
              <w:t>中等职业教育</w:t>
            </w:r>
          </w:p>
        </w:tc>
        <w:tc>
          <w:tcPr>
            <w:tcW w:w="1440" w:type="dxa"/>
            <w:vAlign w:val="center"/>
          </w:tcPr>
          <w:p>
            <w:pPr>
              <w:jc w:val="right"/>
            </w:pPr>
            <w:r>
              <w:rPr>
                <w:rFonts w:ascii="宋体" w:hAnsi="宋体" w:eastAsia="宋体" w:cs="宋体"/>
                <w:b w:val="0"/>
                <w:i w:val="0"/>
                <w:color w:val="000000"/>
                <w:sz w:val="17"/>
              </w:rPr>
              <w:t>95.20</w:t>
            </w:r>
          </w:p>
        </w:tc>
        <w:tc>
          <w:tcPr>
            <w:tcW w:w="1440" w:type="dxa"/>
            <w:vAlign w:val="center"/>
          </w:tcPr>
          <w:p>
            <w:pPr>
              <w:jc w:val="right"/>
            </w:pPr>
            <w:r>
              <w:rPr>
                <w:rFonts w:ascii="宋体" w:hAnsi="宋体" w:eastAsia="宋体" w:cs="宋体"/>
                <w:b w:val="0"/>
                <w:i w:val="0"/>
                <w:color w:val="000000"/>
                <w:sz w:val="17"/>
              </w:rPr>
              <w:t>95.20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1,417.80</w:t>
            </w:r>
          </w:p>
        </w:tc>
        <w:tc>
          <w:tcPr>
            <w:tcW w:w="1440" w:type="dxa"/>
            <w:vAlign w:val="center"/>
          </w:tcPr>
          <w:p>
            <w:pPr>
              <w:jc w:val="right"/>
            </w:pPr>
            <w:r>
              <w:rPr>
                <w:rFonts w:ascii="宋体" w:hAnsi="宋体" w:eastAsia="宋体" w:cs="宋体"/>
                <w:b w:val="0"/>
                <w:i w:val="0"/>
                <w:color w:val="000000"/>
                <w:sz w:val="17"/>
              </w:rPr>
              <w:t>1,417.80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20801</w:t>
            </w:r>
          </w:p>
        </w:tc>
        <w:tc>
          <w:tcPr>
            <w:tcW w:w="3140" w:type="dxa"/>
            <w:vAlign w:val="center"/>
          </w:tcPr>
          <w:p>
            <w:pPr>
              <w:jc w:val="left"/>
            </w:pPr>
            <w:r>
              <w:rPr>
                <w:rFonts w:ascii="宋体" w:hAnsi="宋体" w:eastAsia="宋体" w:cs="宋体"/>
                <w:b w:val="0"/>
                <w:i w:val="0"/>
                <w:color w:val="000000"/>
                <w:sz w:val="17"/>
              </w:rPr>
              <w:t>人力资源和社会保障管理事务</w:t>
            </w:r>
          </w:p>
        </w:tc>
        <w:tc>
          <w:tcPr>
            <w:tcW w:w="1440" w:type="dxa"/>
            <w:vAlign w:val="center"/>
          </w:tcPr>
          <w:p>
            <w:pPr>
              <w:jc w:val="right"/>
            </w:pPr>
            <w:r>
              <w:rPr>
                <w:rFonts w:ascii="宋体" w:hAnsi="宋体" w:eastAsia="宋体" w:cs="宋体"/>
                <w:b w:val="0"/>
                <w:i w:val="0"/>
                <w:color w:val="000000"/>
                <w:sz w:val="17"/>
              </w:rPr>
              <w:t>1,043.68</w:t>
            </w:r>
          </w:p>
        </w:tc>
        <w:tc>
          <w:tcPr>
            <w:tcW w:w="1440" w:type="dxa"/>
            <w:vAlign w:val="center"/>
          </w:tcPr>
          <w:p>
            <w:pPr>
              <w:jc w:val="right"/>
            </w:pPr>
            <w:r>
              <w:rPr>
                <w:rFonts w:ascii="宋体" w:hAnsi="宋体" w:eastAsia="宋体" w:cs="宋体"/>
                <w:b w:val="0"/>
                <w:i w:val="0"/>
                <w:color w:val="000000"/>
                <w:sz w:val="17"/>
              </w:rPr>
              <w:t>1,043.68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941.44</w:t>
            </w:r>
          </w:p>
        </w:tc>
        <w:tc>
          <w:tcPr>
            <w:tcW w:w="1440" w:type="dxa"/>
            <w:vAlign w:val="center"/>
          </w:tcPr>
          <w:p>
            <w:pPr>
              <w:jc w:val="right"/>
            </w:pPr>
            <w:r>
              <w:rPr>
                <w:rFonts w:ascii="宋体" w:hAnsi="宋体" w:eastAsia="宋体" w:cs="宋体"/>
                <w:b w:val="0"/>
                <w:i w:val="0"/>
                <w:color w:val="000000"/>
                <w:sz w:val="17"/>
              </w:rPr>
              <w:t>941.44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2080102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86.00</w:t>
            </w:r>
          </w:p>
        </w:tc>
        <w:tc>
          <w:tcPr>
            <w:tcW w:w="1440" w:type="dxa"/>
            <w:vAlign w:val="center"/>
          </w:tcPr>
          <w:p>
            <w:pPr>
              <w:jc w:val="right"/>
            </w:pPr>
            <w:r>
              <w:rPr>
                <w:rFonts w:ascii="宋体" w:hAnsi="宋体" w:eastAsia="宋体" w:cs="宋体"/>
                <w:b w:val="0"/>
                <w:i w:val="0"/>
                <w:color w:val="000000"/>
                <w:sz w:val="17"/>
              </w:rPr>
              <w:t>86.00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2080199</w:t>
            </w:r>
          </w:p>
        </w:tc>
        <w:tc>
          <w:tcPr>
            <w:tcW w:w="3140" w:type="dxa"/>
            <w:vAlign w:val="center"/>
          </w:tcPr>
          <w:p>
            <w:pPr>
              <w:jc w:val="left"/>
            </w:pPr>
            <w:r>
              <w:rPr>
                <w:rFonts w:ascii="宋体" w:hAnsi="宋体" w:eastAsia="宋体" w:cs="宋体"/>
                <w:b w:val="0"/>
                <w:i w:val="0"/>
                <w:color w:val="000000"/>
                <w:sz w:val="17"/>
              </w:rPr>
              <w:t>其他人力资源和社会保障管理事务支出</w:t>
            </w:r>
          </w:p>
        </w:tc>
        <w:tc>
          <w:tcPr>
            <w:tcW w:w="1440" w:type="dxa"/>
            <w:vAlign w:val="center"/>
          </w:tcPr>
          <w:p>
            <w:pPr>
              <w:jc w:val="right"/>
            </w:pPr>
            <w:r>
              <w:rPr>
                <w:rFonts w:ascii="宋体" w:hAnsi="宋体" w:eastAsia="宋体" w:cs="宋体"/>
                <w:b w:val="0"/>
                <w:i w:val="0"/>
                <w:color w:val="000000"/>
                <w:sz w:val="17"/>
              </w:rPr>
              <w:t>16.24</w:t>
            </w:r>
          </w:p>
        </w:tc>
        <w:tc>
          <w:tcPr>
            <w:tcW w:w="1440" w:type="dxa"/>
            <w:vAlign w:val="center"/>
          </w:tcPr>
          <w:p>
            <w:pPr>
              <w:jc w:val="right"/>
            </w:pPr>
            <w:r>
              <w:rPr>
                <w:rFonts w:ascii="宋体" w:hAnsi="宋体" w:eastAsia="宋体" w:cs="宋体"/>
                <w:b w:val="0"/>
                <w:i w:val="0"/>
                <w:color w:val="000000"/>
                <w:sz w:val="17"/>
              </w:rPr>
              <w:t>16.24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323.38</w:t>
            </w:r>
          </w:p>
        </w:tc>
        <w:tc>
          <w:tcPr>
            <w:tcW w:w="1440" w:type="dxa"/>
            <w:vAlign w:val="center"/>
          </w:tcPr>
          <w:p>
            <w:pPr>
              <w:jc w:val="right"/>
            </w:pPr>
            <w:r>
              <w:rPr>
                <w:rFonts w:ascii="宋体" w:hAnsi="宋体" w:eastAsia="宋体" w:cs="宋体"/>
                <w:b w:val="0"/>
                <w:i w:val="0"/>
                <w:color w:val="000000"/>
                <w:sz w:val="17"/>
              </w:rPr>
              <w:t>323.38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265.68</w:t>
            </w:r>
          </w:p>
        </w:tc>
        <w:tc>
          <w:tcPr>
            <w:tcW w:w="1440" w:type="dxa"/>
            <w:vAlign w:val="center"/>
          </w:tcPr>
          <w:p>
            <w:pPr>
              <w:jc w:val="right"/>
            </w:pPr>
            <w:r>
              <w:rPr>
                <w:rFonts w:ascii="宋体" w:hAnsi="宋体" w:eastAsia="宋体" w:cs="宋体"/>
                <w:b w:val="0"/>
                <w:i w:val="0"/>
                <w:color w:val="000000"/>
                <w:sz w:val="17"/>
              </w:rPr>
              <w:t>265.68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57.71</w:t>
            </w:r>
          </w:p>
        </w:tc>
        <w:tc>
          <w:tcPr>
            <w:tcW w:w="1440" w:type="dxa"/>
            <w:vAlign w:val="center"/>
          </w:tcPr>
          <w:p>
            <w:pPr>
              <w:jc w:val="right"/>
            </w:pPr>
            <w:r>
              <w:rPr>
                <w:rFonts w:ascii="宋体" w:hAnsi="宋体" w:eastAsia="宋体" w:cs="宋体"/>
                <w:b w:val="0"/>
                <w:i w:val="0"/>
                <w:color w:val="000000"/>
                <w:sz w:val="17"/>
              </w:rPr>
              <w:t>57.71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w:t>
            </w:r>
          </w:p>
        </w:tc>
        <w:tc>
          <w:tcPr>
            <w:tcW w:w="3140" w:type="dxa"/>
            <w:vAlign w:val="center"/>
          </w:tcPr>
          <w:p>
            <w:pPr>
              <w:jc w:val="left"/>
            </w:pPr>
            <w:r>
              <w:rPr>
                <w:rFonts w:ascii="宋体" w:hAnsi="宋体" w:eastAsia="宋体" w:cs="宋体"/>
                <w:b w:val="0"/>
                <w:i w:val="0"/>
                <w:color w:val="000000"/>
                <w:sz w:val="17"/>
              </w:rPr>
              <w:t>就业补助</w:t>
            </w:r>
          </w:p>
        </w:tc>
        <w:tc>
          <w:tcPr>
            <w:tcW w:w="1440" w:type="dxa"/>
            <w:vAlign w:val="center"/>
          </w:tcPr>
          <w:p>
            <w:pPr>
              <w:jc w:val="right"/>
            </w:pPr>
            <w:r>
              <w:rPr>
                <w:rFonts w:ascii="宋体" w:hAnsi="宋体" w:eastAsia="宋体" w:cs="宋体"/>
                <w:b w:val="0"/>
                <w:i w:val="0"/>
                <w:color w:val="000000"/>
                <w:sz w:val="17"/>
              </w:rPr>
              <w:t>4.99</w:t>
            </w:r>
          </w:p>
        </w:tc>
        <w:tc>
          <w:tcPr>
            <w:tcW w:w="1440" w:type="dxa"/>
            <w:vAlign w:val="center"/>
          </w:tcPr>
          <w:p>
            <w:pPr>
              <w:jc w:val="right"/>
            </w:pPr>
            <w:r>
              <w:rPr>
                <w:rFonts w:ascii="宋体" w:hAnsi="宋体" w:eastAsia="宋体" w:cs="宋体"/>
                <w:b w:val="0"/>
                <w:i w:val="0"/>
                <w:color w:val="000000"/>
                <w:sz w:val="17"/>
              </w:rPr>
              <w:t>4.99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2080799</w:t>
            </w:r>
          </w:p>
        </w:tc>
        <w:tc>
          <w:tcPr>
            <w:tcW w:w="3140" w:type="dxa"/>
            <w:vAlign w:val="center"/>
          </w:tcPr>
          <w:p>
            <w:pPr>
              <w:jc w:val="left"/>
            </w:pPr>
            <w:r>
              <w:rPr>
                <w:rFonts w:ascii="宋体" w:hAnsi="宋体" w:eastAsia="宋体" w:cs="宋体"/>
                <w:b w:val="0"/>
                <w:i w:val="0"/>
                <w:color w:val="000000"/>
                <w:sz w:val="17"/>
              </w:rPr>
              <w:t>其他就业补助支出</w:t>
            </w:r>
          </w:p>
        </w:tc>
        <w:tc>
          <w:tcPr>
            <w:tcW w:w="1440" w:type="dxa"/>
            <w:vAlign w:val="center"/>
          </w:tcPr>
          <w:p>
            <w:pPr>
              <w:jc w:val="right"/>
            </w:pPr>
            <w:r>
              <w:rPr>
                <w:rFonts w:ascii="宋体" w:hAnsi="宋体" w:eastAsia="宋体" w:cs="宋体"/>
                <w:b w:val="0"/>
                <w:i w:val="0"/>
                <w:color w:val="000000"/>
                <w:sz w:val="17"/>
              </w:rPr>
              <w:t>4.99</w:t>
            </w:r>
          </w:p>
        </w:tc>
        <w:tc>
          <w:tcPr>
            <w:tcW w:w="1440" w:type="dxa"/>
            <w:vAlign w:val="center"/>
          </w:tcPr>
          <w:p>
            <w:pPr>
              <w:jc w:val="right"/>
            </w:pPr>
            <w:r>
              <w:rPr>
                <w:rFonts w:ascii="宋体" w:hAnsi="宋体" w:eastAsia="宋体" w:cs="宋体"/>
                <w:b w:val="0"/>
                <w:i w:val="0"/>
                <w:color w:val="000000"/>
                <w:sz w:val="17"/>
              </w:rPr>
              <w:t>4.99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45.76</w:t>
            </w:r>
          </w:p>
        </w:tc>
        <w:tc>
          <w:tcPr>
            <w:tcW w:w="1440" w:type="dxa"/>
            <w:vAlign w:val="center"/>
          </w:tcPr>
          <w:p>
            <w:pPr>
              <w:jc w:val="right"/>
            </w:pPr>
            <w:r>
              <w:rPr>
                <w:rFonts w:ascii="宋体" w:hAnsi="宋体" w:eastAsia="宋体" w:cs="宋体"/>
                <w:b w:val="0"/>
                <w:i w:val="0"/>
                <w:color w:val="000000"/>
                <w:sz w:val="17"/>
              </w:rPr>
              <w:t>45.76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45.76</w:t>
            </w:r>
          </w:p>
        </w:tc>
        <w:tc>
          <w:tcPr>
            <w:tcW w:w="1440" w:type="dxa"/>
            <w:vAlign w:val="center"/>
          </w:tcPr>
          <w:p>
            <w:pPr>
              <w:jc w:val="right"/>
            </w:pPr>
            <w:r>
              <w:rPr>
                <w:rFonts w:ascii="宋体" w:hAnsi="宋体" w:eastAsia="宋体" w:cs="宋体"/>
                <w:b w:val="0"/>
                <w:i w:val="0"/>
                <w:color w:val="000000"/>
                <w:sz w:val="17"/>
              </w:rPr>
              <w:t>45.76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79.26</w:t>
            </w:r>
          </w:p>
        </w:tc>
        <w:tc>
          <w:tcPr>
            <w:tcW w:w="1440" w:type="dxa"/>
            <w:vAlign w:val="center"/>
          </w:tcPr>
          <w:p>
            <w:pPr>
              <w:jc w:val="right"/>
            </w:pPr>
            <w:r>
              <w:rPr>
                <w:rFonts w:ascii="宋体" w:hAnsi="宋体" w:eastAsia="宋体" w:cs="宋体"/>
                <w:b w:val="0"/>
                <w:i w:val="0"/>
                <w:color w:val="000000"/>
                <w:sz w:val="17"/>
              </w:rPr>
              <w:t>79.26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79.26</w:t>
            </w:r>
          </w:p>
        </w:tc>
        <w:tc>
          <w:tcPr>
            <w:tcW w:w="1440" w:type="dxa"/>
            <w:vAlign w:val="center"/>
          </w:tcPr>
          <w:p>
            <w:pPr>
              <w:jc w:val="right"/>
            </w:pPr>
            <w:r>
              <w:rPr>
                <w:rFonts w:ascii="宋体" w:hAnsi="宋体" w:eastAsia="宋体" w:cs="宋体"/>
                <w:b w:val="0"/>
                <w:i w:val="0"/>
                <w:color w:val="000000"/>
                <w:sz w:val="17"/>
              </w:rPr>
              <w:t>79.26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47.44</w:t>
            </w:r>
          </w:p>
        </w:tc>
        <w:tc>
          <w:tcPr>
            <w:tcW w:w="1440" w:type="dxa"/>
            <w:vAlign w:val="center"/>
          </w:tcPr>
          <w:p>
            <w:pPr>
              <w:jc w:val="right"/>
            </w:pPr>
            <w:r>
              <w:rPr>
                <w:rFonts w:ascii="宋体" w:hAnsi="宋体" w:eastAsia="宋体" w:cs="宋体"/>
                <w:b w:val="0"/>
                <w:i w:val="0"/>
                <w:color w:val="000000"/>
                <w:sz w:val="17"/>
              </w:rPr>
              <w:t>47.44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31.82</w:t>
            </w:r>
          </w:p>
        </w:tc>
        <w:tc>
          <w:tcPr>
            <w:tcW w:w="1440" w:type="dxa"/>
            <w:vAlign w:val="center"/>
          </w:tcPr>
          <w:p>
            <w:pPr>
              <w:jc w:val="right"/>
            </w:pPr>
            <w:r>
              <w:rPr>
                <w:rFonts w:ascii="宋体" w:hAnsi="宋体" w:eastAsia="宋体" w:cs="宋体"/>
                <w:b w:val="0"/>
                <w:i w:val="0"/>
                <w:color w:val="000000"/>
                <w:sz w:val="17"/>
              </w:rPr>
              <w:t>31.82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55.25</w:t>
            </w:r>
          </w:p>
        </w:tc>
        <w:tc>
          <w:tcPr>
            <w:tcW w:w="1440" w:type="dxa"/>
            <w:vAlign w:val="center"/>
          </w:tcPr>
          <w:p>
            <w:pPr>
              <w:jc w:val="right"/>
            </w:pPr>
            <w:r>
              <w:rPr>
                <w:rFonts w:ascii="宋体" w:hAnsi="宋体" w:eastAsia="宋体" w:cs="宋体"/>
                <w:b w:val="0"/>
                <w:i w:val="0"/>
                <w:color w:val="000000"/>
                <w:sz w:val="17"/>
              </w:rPr>
              <w:t>55.25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55.25</w:t>
            </w:r>
          </w:p>
        </w:tc>
        <w:tc>
          <w:tcPr>
            <w:tcW w:w="1440" w:type="dxa"/>
            <w:vAlign w:val="center"/>
          </w:tcPr>
          <w:p>
            <w:pPr>
              <w:jc w:val="right"/>
            </w:pPr>
            <w:r>
              <w:rPr>
                <w:rFonts w:ascii="宋体" w:hAnsi="宋体" w:eastAsia="宋体" w:cs="宋体"/>
                <w:b w:val="0"/>
                <w:i w:val="0"/>
                <w:color w:val="000000"/>
                <w:sz w:val="17"/>
              </w:rPr>
              <w:t>55.25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55.25</w:t>
            </w:r>
          </w:p>
        </w:tc>
        <w:tc>
          <w:tcPr>
            <w:tcW w:w="1440" w:type="dxa"/>
            <w:vAlign w:val="center"/>
          </w:tcPr>
          <w:p>
            <w:pPr>
              <w:jc w:val="right"/>
            </w:pPr>
            <w:r>
              <w:rPr>
                <w:rFonts w:ascii="宋体" w:hAnsi="宋体" w:eastAsia="宋体" w:cs="宋体"/>
                <w:b w:val="0"/>
                <w:i w:val="0"/>
                <w:color w:val="000000"/>
                <w:sz w:val="17"/>
              </w:rPr>
              <w:t>55.25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19.81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19.81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22999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19.81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19.81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2299999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19.81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19.81</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单位：许昌市人力资源和社会保障局（本级）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1,749.84</w:t>
            </w:r>
          </w:p>
        </w:tc>
        <w:tc>
          <w:tcPr>
            <w:tcW w:w="1600" w:type="dxa"/>
            <w:vAlign w:val="center"/>
          </w:tcPr>
          <w:p>
            <w:pPr>
              <w:jc w:val="right"/>
            </w:pPr>
            <w:r>
              <w:rPr>
                <w:rFonts w:ascii="宋体" w:hAnsi="宋体" w:eastAsia="宋体" w:cs="宋体"/>
                <w:b/>
                <w:i w:val="0"/>
                <w:color w:val="000000"/>
                <w:sz w:val="19"/>
              </w:rPr>
              <w:t>1,499.21</w:t>
            </w:r>
          </w:p>
        </w:tc>
        <w:tc>
          <w:tcPr>
            <w:tcW w:w="1600" w:type="dxa"/>
            <w:vAlign w:val="center"/>
          </w:tcPr>
          <w:p>
            <w:pPr>
              <w:jc w:val="right"/>
            </w:pPr>
            <w:r>
              <w:rPr>
                <w:rFonts w:ascii="宋体" w:hAnsi="宋体" w:eastAsia="宋体" w:cs="宋体"/>
                <w:b/>
                <w:i w:val="0"/>
                <w:color w:val="000000"/>
                <w:sz w:val="19"/>
              </w:rPr>
              <w:t>250.63</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54.13</w:t>
            </w:r>
          </w:p>
        </w:tc>
        <w:tc>
          <w:tcPr>
            <w:tcW w:w="1600" w:type="dxa"/>
            <w:vAlign w:val="center"/>
          </w:tcPr>
          <w:p>
            <w:pPr>
              <w:jc w:val="right"/>
            </w:pPr>
            <w:r>
              <w:rPr>
                <w:rFonts w:ascii="宋体" w:hAnsi="宋体" w:eastAsia="宋体" w:cs="宋体"/>
                <w:b w:val="0"/>
                <w:i w:val="0"/>
                <w:color w:val="000000"/>
                <w:sz w:val="19"/>
              </w:rPr>
              <w:t>54.13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4.83</w:t>
            </w:r>
          </w:p>
        </w:tc>
        <w:tc>
          <w:tcPr>
            <w:tcW w:w="1600" w:type="dxa"/>
            <w:vAlign w:val="center"/>
          </w:tcPr>
          <w:p>
            <w:pPr>
              <w:jc w:val="right"/>
            </w:pPr>
            <w:r>
              <w:rPr>
                <w:rFonts w:ascii="宋体" w:hAnsi="宋体" w:eastAsia="宋体" w:cs="宋体"/>
                <w:b w:val="0"/>
                <w:i w:val="0"/>
                <w:color w:val="000000"/>
                <w:sz w:val="19"/>
              </w:rPr>
              <w:t>4.83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4.83</w:t>
            </w:r>
          </w:p>
        </w:tc>
        <w:tc>
          <w:tcPr>
            <w:tcW w:w="1600" w:type="dxa"/>
            <w:vAlign w:val="center"/>
          </w:tcPr>
          <w:p>
            <w:pPr>
              <w:jc w:val="right"/>
            </w:pPr>
            <w:r>
              <w:rPr>
                <w:rFonts w:ascii="宋体" w:hAnsi="宋体" w:eastAsia="宋体" w:cs="宋体"/>
                <w:b w:val="0"/>
                <w:i w:val="0"/>
                <w:color w:val="000000"/>
                <w:sz w:val="19"/>
              </w:rPr>
              <w:t>4.83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49.30</w:t>
            </w:r>
          </w:p>
        </w:tc>
        <w:tc>
          <w:tcPr>
            <w:tcW w:w="1600" w:type="dxa"/>
            <w:vAlign w:val="center"/>
          </w:tcPr>
          <w:p>
            <w:pPr>
              <w:jc w:val="right"/>
            </w:pPr>
            <w:r>
              <w:rPr>
                <w:rFonts w:ascii="宋体" w:hAnsi="宋体" w:eastAsia="宋体" w:cs="宋体"/>
                <w:b w:val="0"/>
                <w:i w:val="0"/>
                <w:color w:val="000000"/>
                <w:sz w:val="19"/>
              </w:rPr>
              <w:t>49.30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49.30</w:t>
            </w:r>
          </w:p>
        </w:tc>
        <w:tc>
          <w:tcPr>
            <w:tcW w:w="1600" w:type="dxa"/>
            <w:vAlign w:val="center"/>
          </w:tcPr>
          <w:p>
            <w:pPr>
              <w:jc w:val="right"/>
            </w:pPr>
            <w:r>
              <w:rPr>
                <w:rFonts w:ascii="宋体" w:hAnsi="宋体" w:eastAsia="宋体" w:cs="宋体"/>
                <w:b w:val="0"/>
                <w:i w:val="0"/>
                <w:color w:val="000000"/>
                <w:sz w:val="19"/>
              </w:rPr>
              <w:t>49.30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205</w:t>
            </w:r>
          </w:p>
        </w:tc>
        <w:tc>
          <w:tcPr>
            <w:tcW w:w="3480" w:type="dxa"/>
            <w:vAlign w:val="center"/>
          </w:tcPr>
          <w:p>
            <w:pPr>
              <w:jc w:val="left"/>
            </w:pPr>
            <w:r>
              <w:rPr>
                <w:rFonts w:ascii="宋体" w:hAnsi="宋体" w:eastAsia="宋体" w:cs="宋体"/>
                <w:b w:val="0"/>
                <w:i w:val="0"/>
                <w:color w:val="000000"/>
                <w:sz w:val="19"/>
              </w:rPr>
              <w:t>教育支出</w:t>
            </w:r>
          </w:p>
        </w:tc>
        <w:tc>
          <w:tcPr>
            <w:tcW w:w="1600" w:type="dxa"/>
            <w:vAlign w:val="center"/>
          </w:tcPr>
          <w:p>
            <w:pPr>
              <w:jc w:val="right"/>
            </w:pPr>
            <w:r>
              <w:rPr>
                <w:rFonts w:ascii="宋体" w:hAnsi="宋体" w:eastAsia="宋体" w:cs="宋体"/>
                <w:b w:val="0"/>
                <w:i w:val="0"/>
                <w:color w:val="000000"/>
                <w:sz w:val="19"/>
              </w:rPr>
              <w:t>95.20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95.20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20503</w:t>
            </w:r>
          </w:p>
        </w:tc>
        <w:tc>
          <w:tcPr>
            <w:tcW w:w="3480" w:type="dxa"/>
            <w:vAlign w:val="center"/>
          </w:tcPr>
          <w:p>
            <w:pPr>
              <w:jc w:val="left"/>
            </w:pPr>
            <w:r>
              <w:rPr>
                <w:rFonts w:ascii="宋体" w:hAnsi="宋体" w:eastAsia="宋体" w:cs="宋体"/>
                <w:b w:val="0"/>
                <w:i w:val="0"/>
                <w:color w:val="000000"/>
                <w:sz w:val="19"/>
              </w:rPr>
              <w:t>职业教育</w:t>
            </w:r>
          </w:p>
        </w:tc>
        <w:tc>
          <w:tcPr>
            <w:tcW w:w="1600" w:type="dxa"/>
            <w:vAlign w:val="center"/>
          </w:tcPr>
          <w:p>
            <w:pPr>
              <w:jc w:val="right"/>
            </w:pPr>
            <w:r>
              <w:rPr>
                <w:rFonts w:ascii="宋体" w:hAnsi="宋体" w:eastAsia="宋体" w:cs="宋体"/>
                <w:b w:val="0"/>
                <w:i w:val="0"/>
                <w:color w:val="000000"/>
                <w:sz w:val="19"/>
              </w:rPr>
              <w:t>95.20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95.20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2050302</w:t>
            </w:r>
          </w:p>
        </w:tc>
        <w:tc>
          <w:tcPr>
            <w:tcW w:w="3480" w:type="dxa"/>
            <w:vAlign w:val="center"/>
          </w:tcPr>
          <w:p>
            <w:pPr>
              <w:jc w:val="left"/>
            </w:pPr>
            <w:r>
              <w:rPr>
                <w:rFonts w:ascii="宋体" w:hAnsi="宋体" w:eastAsia="宋体" w:cs="宋体"/>
                <w:b w:val="0"/>
                <w:i w:val="0"/>
                <w:color w:val="000000"/>
                <w:sz w:val="19"/>
              </w:rPr>
              <w:t>中等职业教育</w:t>
            </w:r>
          </w:p>
        </w:tc>
        <w:tc>
          <w:tcPr>
            <w:tcW w:w="1600" w:type="dxa"/>
            <w:vAlign w:val="center"/>
          </w:tcPr>
          <w:p>
            <w:pPr>
              <w:jc w:val="right"/>
            </w:pPr>
            <w:r>
              <w:rPr>
                <w:rFonts w:ascii="宋体" w:hAnsi="宋体" w:eastAsia="宋体" w:cs="宋体"/>
                <w:b w:val="0"/>
                <w:i w:val="0"/>
                <w:color w:val="000000"/>
                <w:sz w:val="19"/>
              </w:rPr>
              <w:t>95.20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95.20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1,435.11</w:t>
            </w:r>
          </w:p>
        </w:tc>
        <w:tc>
          <w:tcPr>
            <w:tcW w:w="1600" w:type="dxa"/>
            <w:vAlign w:val="center"/>
          </w:tcPr>
          <w:p>
            <w:pPr>
              <w:jc w:val="right"/>
            </w:pPr>
            <w:r>
              <w:rPr>
                <w:rFonts w:ascii="宋体" w:hAnsi="宋体" w:eastAsia="宋体" w:cs="宋体"/>
                <w:b w:val="0"/>
                <w:i w:val="0"/>
                <w:color w:val="000000"/>
                <w:sz w:val="19"/>
              </w:rPr>
              <w:t>1,310.57</w:t>
            </w:r>
          </w:p>
        </w:tc>
        <w:tc>
          <w:tcPr>
            <w:tcW w:w="1600" w:type="dxa"/>
            <w:vAlign w:val="center"/>
          </w:tcPr>
          <w:p>
            <w:pPr>
              <w:jc w:val="right"/>
            </w:pPr>
            <w:r>
              <w:rPr>
                <w:rFonts w:ascii="宋体" w:hAnsi="宋体" w:eastAsia="宋体" w:cs="宋体"/>
                <w:b w:val="0"/>
                <w:i w:val="0"/>
                <w:color w:val="000000"/>
                <w:sz w:val="19"/>
              </w:rPr>
              <w:t>124.54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20801</w:t>
            </w:r>
          </w:p>
        </w:tc>
        <w:tc>
          <w:tcPr>
            <w:tcW w:w="3480" w:type="dxa"/>
            <w:vAlign w:val="center"/>
          </w:tcPr>
          <w:p>
            <w:pPr>
              <w:jc w:val="left"/>
            </w:pPr>
            <w:r>
              <w:rPr>
                <w:rFonts w:ascii="宋体" w:hAnsi="宋体" w:eastAsia="宋体" w:cs="宋体"/>
                <w:b w:val="0"/>
                <w:i w:val="0"/>
                <w:color w:val="000000"/>
                <w:sz w:val="19"/>
              </w:rPr>
              <w:t>人力资源和社会保障管理事务</w:t>
            </w:r>
          </w:p>
        </w:tc>
        <w:tc>
          <w:tcPr>
            <w:tcW w:w="1600" w:type="dxa"/>
            <w:vAlign w:val="center"/>
          </w:tcPr>
          <w:p>
            <w:pPr>
              <w:jc w:val="right"/>
            </w:pPr>
            <w:r>
              <w:rPr>
                <w:rFonts w:ascii="宋体" w:hAnsi="宋体" w:eastAsia="宋体" w:cs="宋体"/>
                <w:b w:val="0"/>
                <w:i w:val="0"/>
                <w:color w:val="000000"/>
                <w:sz w:val="19"/>
              </w:rPr>
              <w:t>1,060.99</w:t>
            </w:r>
          </w:p>
        </w:tc>
        <w:tc>
          <w:tcPr>
            <w:tcW w:w="1600" w:type="dxa"/>
            <w:vAlign w:val="center"/>
          </w:tcPr>
          <w:p>
            <w:pPr>
              <w:jc w:val="right"/>
            </w:pPr>
            <w:r>
              <w:rPr>
                <w:rFonts w:ascii="宋体" w:hAnsi="宋体" w:eastAsia="宋体" w:cs="宋体"/>
                <w:b w:val="0"/>
                <w:i w:val="0"/>
                <w:color w:val="000000"/>
                <w:sz w:val="19"/>
              </w:rPr>
              <w:t>941.44</w:t>
            </w:r>
          </w:p>
        </w:tc>
        <w:tc>
          <w:tcPr>
            <w:tcW w:w="1600" w:type="dxa"/>
            <w:vAlign w:val="center"/>
          </w:tcPr>
          <w:p>
            <w:pPr>
              <w:jc w:val="right"/>
            </w:pPr>
            <w:r>
              <w:rPr>
                <w:rFonts w:ascii="宋体" w:hAnsi="宋体" w:eastAsia="宋体" w:cs="宋体"/>
                <w:b w:val="0"/>
                <w:i w:val="0"/>
                <w:color w:val="000000"/>
                <w:sz w:val="19"/>
              </w:rPr>
              <w:t>119.55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941.44</w:t>
            </w:r>
          </w:p>
        </w:tc>
        <w:tc>
          <w:tcPr>
            <w:tcW w:w="1600" w:type="dxa"/>
            <w:vAlign w:val="center"/>
          </w:tcPr>
          <w:p>
            <w:pPr>
              <w:jc w:val="right"/>
            </w:pPr>
            <w:r>
              <w:rPr>
                <w:rFonts w:ascii="宋体" w:hAnsi="宋体" w:eastAsia="宋体" w:cs="宋体"/>
                <w:b w:val="0"/>
                <w:i w:val="0"/>
                <w:color w:val="000000"/>
                <w:sz w:val="19"/>
              </w:rPr>
              <w:t>941.44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2080102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103.31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103.31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2080199</w:t>
            </w:r>
          </w:p>
        </w:tc>
        <w:tc>
          <w:tcPr>
            <w:tcW w:w="3480" w:type="dxa"/>
            <w:vAlign w:val="center"/>
          </w:tcPr>
          <w:p>
            <w:pPr>
              <w:jc w:val="left"/>
            </w:pPr>
            <w:r>
              <w:rPr>
                <w:rFonts w:ascii="宋体" w:hAnsi="宋体" w:eastAsia="宋体" w:cs="宋体"/>
                <w:b w:val="0"/>
                <w:i w:val="0"/>
                <w:color w:val="000000"/>
                <w:sz w:val="19"/>
              </w:rPr>
              <w:t>其他人力资源和社会保障管理事务支出</w:t>
            </w:r>
          </w:p>
        </w:tc>
        <w:tc>
          <w:tcPr>
            <w:tcW w:w="1600" w:type="dxa"/>
            <w:vAlign w:val="center"/>
          </w:tcPr>
          <w:p>
            <w:pPr>
              <w:jc w:val="right"/>
            </w:pPr>
            <w:r>
              <w:rPr>
                <w:rFonts w:ascii="宋体" w:hAnsi="宋体" w:eastAsia="宋体" w:cs="宋体"/>
                <w:b w:val="0"/>
                <w:i w:val="0"/>
                <w:color w:val="000000"/>
                <w:sz w:val="19"/>
              </w:rPr>
              <w:t>16.24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16.24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323.38</w:t>
            </w:r>
          </w:p>
        </w:tc>
        <w:tc>
          <w:tcPr>
            <w:tcW w:w="1600" w:type="dxa"/>
            <w:vAlign w:val="center"/>
          </w:tcPr>
          <w:p>
            <w:pPr>
              <w:jc w:val="right"/>
            </w:pPr>
            <w:r>
              <w:rPr>
                <w:rFonts w:ascii="宋体" w:hAnsi="宋体" w:eastAsia="宋体" w:cs="宋体"/>
                <w:b w:val="0"/>
                <w:i w:val="0"/>
                <w:color w:val="000000"/>
                <w:sz w:val="19"/>
              </w:rPr>
              <w:t>323.38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265.68</w:t>
            </w:r>
          </w:p>
        </w:tc>
        <w:tc>
          <w:tcPr>
            <w:tcW w:w="1600" w:type="dxa"/>
            <w:vAlign w:val="center"/>
          </w:tcPr>
          <w:p>
            <w:pPr>
              <w:jc w:val="right"/>
            </w:pPr>
            <w:r>
              <w:rPr>
                <w:rFonts w:ascii="宋体" w:hAnsi="宋体" w:eastAsia="宋体" w:cs="宋体"/>
                <w:b w:val="0"/>
                <w:i w:val="0"/>
                <w:color w:val="000000"/>
                <w:sz w:val="19"/>
              </w:rPr>
              <w:t>265.68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57.71</w:t>
            </w:r>
          </w:p>
        </w:tc>
        <w:tc>
          <w:tcPr>
            <w:tcW w:w="1600" w:type="dxa"/>
            <w:vAlign w:val="center"/>
          </w:tcPr>
          <w:p>
            <w:pPr>
              <w:jc w:val="right"/>
            </w:pPr>
            <w:r>
              <w:rPr>
                <w:rFonts w:ascii="宋体" w:hAnsi="宋体" w:eastAsia="宋体" w:cs="宋体"/>
                <w:b w:val="0"/>
                <w:i w:val="0"/>
                <w:color w:val="000000"/>
                <w:sz w:val="19"/>
              </w:rPr>
              <w:t>57.71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w:t>
            </w:r>
          </w:p>
        </w:tc>
        <w:tc>
          <w:tcPr>
            <w:tcW w:w="3480" w:type="dxa"/>
            <w:vAlign w:val="center"/>
          </w:tcPr>
          <w:p>
            <w:pPr>
              <w:jc w:val="left"/>
            </w:pPr>
            <w:r>
              <w:rPr>
                <w:rFonts w:ascii="宋体" w:hAnsi="宋体" w:eastAsia="宋体" w:cs="宋体"/>
                <w:b w:val="0"/>
                <w:i w:val="0"/>
                <w:color w:val="000000"/>
                <w:sz w:val="19"/>
              </w:rPr>
              <w:t>就业补助</w:t>
            </w:r>
          </w:p>
        </w:tc>
        <w:tc>
          <w:tcPr>
            <w:tcW w:w="1600" w:type="dxa"/>
            <w:vAlign w:val="center"/>
          </w:tcPr>
          <w:p>
            <w:pPr>
              <w:jc w:val="right"/>
            </w:pPr>
            <w:r>
              <w:rPr>
                <w:rFonts w:ascii="宋体" w:hAnsi="宋体" w:eastAsia="宋体" w:cs="宋体"/>
                <w:b w:val="0"/>
                <w:i w:val="0"/>
                <w:color w:val="000000"/>
                <w:sz w:val="19"/>
              </w:rPr>
              <w:t>4.99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4.99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2080799</w:t>
            </w:r>
          </w:p>
        </w:tc>
        <w:tc>
          <w:tcPr>
            <w:tcW w:w="3480" w:type="dxa"/>
            <w:vAlign w:val="center"/>
          </w:tcPr>
          <w:p>
            <w:pPr>
              <w:jc w:val="left"/>
            </w:pPr>
            <w:r>
              <w:rPr>
                <w:rFonts w:ascii="宋体" w:hAnsi="宋体" w:eastAsia="宋体" w:cs="宋体"/>
                <w:b w:val="0"/>
                <w:i w:val="0"/>
                <w:color w:val="000000"/>
                <w:sz w:val="19"/>
              </w:rPr>
              <w:t>其他就业补助支出</w:t>
            </w:r>
          </w:p>
        </w:tc>
        <w:tc>
          <w:tcPr>
            <w:tcW w:w="1600" w:type="dxa"/>
            <w:vAlign w:val="center"/>
          </w:tcPr>
          <w:p>
            <w:pPr>
              <w:jc w:val="right"/>
            </w:pPr>
            <w:r>
              <w:rPr>
                <w:rFonts w:ascii="宋体" w:hAnsi="宋体" w:eastAsia="宋体" w:cs="宋体"/>
                <w:b w:val="0"/>
                <w:i w:val="0"/>
                <w:color w:val="000000"/>
                <w:sz w:val="19"/>
              </w:rPr>
              <w:t>4.99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4.99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45.76</w:t>
            </w:r>
          </w:p>
        </w:tc>
        <w:tc>
          <w:tcPr>
            <w:tcW w:w="1600" w:type="dxa"/>
            <w:vAlign w:val="center"/>
          </w:tcPr>
          <w:p>
            <w:pPr>
              <w:jc w:val="right"/>
            </w:pPr>
            <w:r>
              <w:rPr>
                <w:rFonts w:ascii="宋体" w:hAnsi="宋体" w:eastAsia="宋体" w:cs="宋体"/>
                <w:b w:val="0"/>
                <w:i w:val="0"/>
                <w:color w:val="000000"/>
                <w:sz w:val="19"/>
              </w:rPr>
              <w:t>45.76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45.76</w:t>
            </w:r>
          </w:p>
        </w:tc>
        <w:tc>
          <w:tcPr>
            <w:tcW w:w="1600" w:type="dxa"/>
            <w:vAlign w:val="center"/>
          </w:tcPr>
          <w:p>
            <w:pPr>
              <w:jc w:val="right"/>
            </w:pPr>
            <w:r>
              <w:rPr>
                <w:rFonts w:ascii="宋体" w:hAnsi="宋体" w:eastAsia="宋体" w:cs="宋体"/>
                <w:b w:val="0"/>
                <w:i w:val="0"/>
                <w:color w:val="000000"/>
                <w:sz w:val="19"/>
              </w:rPr>
              <w:t>45.76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79.26</w:t>
            </w:r>
          </w:p>
        </w:tc>
        <w:tc>
          <w:tcPr>
            <w:tcW w:w="1600" w:type="dxa"/>
            <w:vAlign w:val="center"/>
          </w:tcPr>
          <w:p>
            <w:pPr>
              <w:jc w:val="right"/>
            </w:pPr>
            <w:r>
              <w:rPr>
                <w:rFonts w:ascii="宋体" w:hAnsi="宋体" w:eastAsia="宋体" w:cs="宋体"/>
                <w:b w:val="0"/>
                <w:i w:val="0"/>
                <w:color w:val="000000"/>
                <w:sz w:val="19"/>
              </w:rPr>
              <w:t>79.26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79.26</w:t>
            </w:r>
          </w:p>
        </w:tc>
        <w:tc>
          <w:tcPr>
            <w:tcW w:w="1600" w:type="dxa"/>
            <w:vAlign w:val="center"/>
          </w:tcPr>
          <w:p>
            <w:pPr>
              <w:jc w:val="right"/>
            </w:pPr>
            <w:r>
              <w:rPr>
                <w:rFonts w:ascii="宋体" w:hAnsi="宋体" w:eastAsia="宋体" w:cs="宋体"/>
                <w:b w:val="0"/>
                <w:i w:val="0"/>
                <w:color w:val="000000"/>
                <w:sz w:val="19"/>
              </w:rPr>
              <w:t>79.26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47.44</w:t>
            </w:r>
          </w:p>
        </w:tc>
        <w:tc>
          <w:tcPr>
            <w:tcW w:w="1600" w:type="dxa"/>
            <w:vAlign w:val="center"/>
          </w:tcPr>
          <w:p>
            <w:pPr>
              <w:jc w:val="right"/>
            </w:pPr>
            <w:r>
              <w:rPr>
                <w:rFonts w:ascii="宋体" w:hAnsi="宋体" w:eastAsia="宋体" w:cs="宋体"/>
                <w:b w:val="0"/>
                <w:i w:val="0"/>
                <w:color w:val="000000"/>
                <w:sz w:val="19"/>
              </w:rPr>
              <w:t>47.44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31.82</w:t>
            </w:r>
          </w:p>
        </w:tc>
        <w:tc>
          <w:tcPr>
            <w:tcW w:w="1600" w:type="dxa"/>
            <w:vAlign w:val="center"/>
          </w:tcPr>
          <w:p>
            <w:pPr>
              <w:jc w:val="right"/>
            </w:pPr>
            <w:r>
              <w:rPr>
                <w:rFonts w:ascii="宋体" w:hAnsi="宋体" w:eastAsia="宋体" w:cs="宋体"/>
                <w:b w:val="0"/>
                <w:i w:val="0"/>
                <w:color w:val="000000"/>
                <w:sz w:val="19"/>
              </w:rPr>
              <w:t>31.82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55.25</w:t>
            </w:r>
          </w:p>
        </w:tc>
        <w:tc>
          <w:tcPr>
            <w:tcW w:w="1600" w:type="dxa"/>
            <w:vAlign w:val="center"/>
          </w:tcPr>
          <w:p>
            <w:pPr>
              <w:jc w:val="right"/>
            </w:pPr>
            <w:r>
              <w:rPr>
                <w:rFonts w:ascii="宋体" w:hAnsi="宋体" w:eastAsia="宋体" w:cs="宋体"/>
                <w:b w:val="0"/>
                <w:i w:val="0"/>
                <w:color w:val="000000"/>
                <w:sz w:val="19"/>
              </w:rPr>
              <w:t>55.25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55.25</w:t>
            </w:r>
          </w:p>
        </w:tc>
        <w:tc>
          <w:tcPr>
            <w:tcW w:w="1600" w:type="dxa"/>
            <w:vAlign w:val="center"/>
          </w:tcPr>
          <w:p>
            <w:pPr>
              <w:jc w:val="right"/>
            </w:pPr>
            <w:r>
              <w:rPr>
                <w:rFonts w:ascii="宋体" w:hAnsi="宋体" w:eastAsia="宋体" w:cs="宋体"/>
                <w:b w:val="0"/>
                <w:i w:val="0"/>
                <w:color w:val="000000"/>
                <w:sz w:val="19"/>
              </w:rPr>
              <w:t>55.25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55.25</w:t>
            </w:r>
          </w:p>
        </w:tc>
        <w:tc>
          <w:tcPr>
            <w:tcW w:w="1600" w:type="dxa"/>
            <w:vAlign w:val="center"/>
          </w:tcPr>
          <w:p>
            <w:pPr>
              <w:jc w:val="right"/>
            </w:pPr>
            <w:r>
              <w:rPr>
                <w:rFonts w:ascii="宋体" w:hAnsi="宋体" w:eastAsia="宋体" w:cs="宋体"/>
                <w:b w:val="0"/>
                <w:i w:val="0"/>
                <w:color w:val="000000"/>
                <w:sz w:val="19"/>
              </w:rPr>
              <w:t>55.25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28.39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28.39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22999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28.39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28.39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2299999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28.39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28.39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单位：许昌市人力资源和社会保障局（本级）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1,704.14</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54.13</w:t>
            </w:r>
          </w:p>
        </w:tc>
        <w:tc>
          <w:tcPr>
            <w:tcW w:w="1420" w:type="dxa"/>
            <w:vAlign w:val="center"/>
          </w:tcPr>
          <w:p>
            <w:pPr>
              <w:jc w:val="right"/>
            </w:pPr>
            <w:r>
              <w:rPr>
                <w:rFonts w:ascii="宋体" w:hAnsi="宋体" w:eastAsia="宋体" w:cs="宋体"/>
                <w:b w:val="0"/>
                <w:i w:val="0"/>
                <w:color w:val="000000"/>
                <w:sz w:val="18"/>
              </w:rPr>
              <w:t>54.13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95.20</w:t>
            </w:r>
          </w:p>
        </w:tc>
        <w:tc>
          <w:tcPr>
            <w:tcW w:w="1420" w:type="dxa"/>
            <w:vAlign w:val="center"/>
          </w:tcPr>
          <w:p>
            <w:pPr>
              <w:jc w:val="right"/>
            </w:pPr>
            <w:r>
              <w:rPr>
                <w:rFonts w:ascii="宋体" w:hAnsi="宋体" w:eastAsia="宋体" w:cs="宋体"/>
                <w:b w:val="0"/>
                <w:i w:val="0"/>
                <w:color w:val="000000"/>
                <w:sz w:val="18"/>
              </w:rPr>
              <w:t>95.20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1,435.11</w:t>
            </w:r>
          </w:p>
        </w:tc>
        <w:tc>
          <w:tcPr>
            <w:tcW w:w="1420" w:type="dxa"/>
            <w:vAlign w:val="center"/>
          </w:tcPr>
          <w:p>
            <w:pPr>
              <w:jc w:val="right"/>
            </w:pPr>
            <w:r>
              <w:rPr>
                <w:rFonts w:ascii="宋体" w:hAnsi="宋体" w:eastAsia="宋体" w:cs="宋体"/>
                <w:b w:val="0"/>
                <w:i w:val="0"/>
                <w:color w:val="000000"/>
                <w:sz w:val="18"/>
              </w:rPr>
              <w:t>1,435.11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79.26</w:t>
            </w:r>
          </w:p>
        </w:tc>
        <w:tc>
          <w:tcPr>
            <w:tcW w:w="1420" w:type="dxa"/>
            <w:vAlign w:val="center"/>
          </w:tcPr>
          <w:p>
            <w:pPr>
              <w:jc w:val="right"/>
            </w:pPr>
            <w:r>
              <w:rPr>
                <w:rFonts w:ascii="宋体" w:hAnsi="宋体" w:eastAsia="宋体" w:cs="宋体"/>
                <w:b w:val="0"/>
                <w:i w:val="0"/>
                <w:color w:val="000000"/>
                <w:sz w:val="18"/>
              </w:rPr>
              <w:t>79.26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55.25</w:t>
            </w:r>
          </w:p>
        </w:tc>
        <w:tc>
          <w:tcPr>
            <w:tcW w:w="1420" w:type="dxa"/>
            <w:vAlign w:val="center"/>
          </w:tcPr>
          <w:p>
            <w:pPr>
              <w:jc w:val="right"/>
            </w:pPr>
            <w:r>
              <w:rPr>
                <w:rFonts w:ascii="宋体" w:hAnsi="宋体" w:eastAsia="宋体" w:cs="宋体"/>
                <w:b w:val="0"/>
                <w:i w:val="0"/>
                <w:color w:val="000000"/>
                <w:sz w:val="18"/>
              </w:rPr>
              <w:t>55.25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1,704.14</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1,721.45</w:t>
            </w:r>
          </w:p>
        </w:tc>
        <w:tc>
          <w:tcPr>
            <w:tcW w:w="1420" w:type="dxa"/>
            <w:vAlign w:val="center"/>
          </w:tcPr>
          <w:p>
            <w:pPr>
              <w:jc w:val="right"/>
            </w:pPr>
            <w:r>
              <w:rPr>
                <w:rFonts w:ascii="宋体" w:hAnsi="宋体" w:eastAsia="宋体" w:cs="宋体"/>
                <w:b w:val="0"/>
                <w:i w:val="0"/>
                <w:color w:val="000000"/>
                <w:sz w:val="18"/>
              </w:rPr>
              <w:t>1,721.45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17.31</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17.31</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1,721.45</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1,721.45</w:t>
            </w:r>
          </w:p>
        </w:tc>
        <w:tc>
          <w:tcPr>
            <w:tcW w:w="1420" w:type="dxa"/>
            <w:vAlign w:val="center"/>
          </w:tcPr>
          <w:p>
            <w:pPr>
              <w:jc w:val="right"/>
            </w:pPr>
            <w:r>
              <w:rPr>
                <w:rFonts w:ascii="宋体" w:hAnsi="宋体" w:eastAsia="宋体" w:cs="宋体"/>
                <w:b w:val="0"/>
                <w:i w:val="0"/>
                <w:color w:val="000000"/>
                <w:sz w:val="18"/>
              </w:rPr>
              <w:t>1,721.45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单位：许昌市人力资源和社会保障局（本级）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1,721.45</w:t>
            </w:r>
          </w:p>
        </w:tc>
        <w:tc>
          <w:tcPr>
            <w:tcW w:w="2700" w:type="dxa"/>
            <w:vAlign w:val="center"/>
          </w:tcPr>
          <w:p>
            <w:pPr>
              <w:jc w:val="right"/>
            </w:pPr>
            <w:r>
              <w:rPr>
                <w:rFonts w:ascii="宋体" w:hAnsi="宋体" w:eastAsia="宋体" w:cs="宋体"/>
                <w:b/>
                <w:i w:val="0"/>
                <w:color w:val="000000"/>
                <w:sz w:val="25"/>
              </w:rPr>
              <w:t>1,499.21</w:t>
            </w:r>
          </w:p>
        </w:tc>
        <w:tc>
          <w:tcPr>
            <w:tcW w:w="2658" w:type="dxa"/>
            <w:vAlign w:val="center"/>
          </w:tcPr>
          <w:p>
            <w:pPr>
              <w:jc w:val="right"/>
            </w:pPr>
            <w:r>
              <w:rPr>
                <w:rFonts w:ascii="宋体" w:hAnsi="宋体" w:eastAsia="宋体" w:cs="宋体"/>
                <w:b/>
                <w:i w:val="0"/>
                <w:color w:val="000000"/>
                <w:sz w:val="25"/>
              </w:rPr>
              <w:t>222.24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54.13</w:t>
            </w:r>
          </w:p>
        </w:tc>
        <w:tc>
          <w:tcPr>
            <w:tcW w:w="2700" w:type="dxa"/>
            <w:vAlign w:val="center"/>
          </w:tcPr>
          <w:p>
            <w:pPr>
              <w:jc w:val="right"/>
            </w:pPr>
            <w:r>
              <w:rPr>
                <w:rFonts w:ascii="宋体" w:hAnsi="宋体" w:eastAsia="宋体" w:cs="宋体"/>
                <w:b w:val="0"/>
                <w:i w:val="0"/>
                <w:color w:val="000000"/>
                <w:sz w:val="25"/>
              </w:rPr>
              <w:t>54.13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4.83</w:t>
            </w:r>
          </w:p>
        </w:tc>
        <w:tc>
          <w:tcPr>
            <w:tcW w:w="2700" w:type="dxa"/>
            <w:vAlign w:val="center"/>
          </w:tcPr>
          <w:p>
            <w:pPr>
              <w:jc w:val="right"/>
            </w:pPr>
            <w:r>
              <w:rPr>
                <w:rFonts w:ascii="宋体" w:hAnsi="宋体" w:eastAsia="宋体" w:cs="宋体"/>
                <w:b w:val="0"/>
                <w:i w:val="0"/>
                <w:color w:val="000000"/>
                <w:sz w:val="25"/>
              </w:rPr>
              <w:t>4.83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4.83</w:t>
            </w:r>
          </w:p>
        </w:tc>
        <w:tc>
          <w:tcPr>
            <w:tcW w:w="2700" w:type="dxa"/>
            <w:vAlign w:val="center"/>
          </w:tcPr>
          <w:p>
            <w:pPr>
              <w:jc w:val="right"/>
            </w:pPr>
            <w:r>
              <w:rPr>
                <w:rFonts w:ascii="宋体" w:hAnsi="宋体" w:eastAsia="宋体" w:cs="宋体"/>
                <w:b w:val="0"/>
                <w:i w:val="0"/>
                <w:color w:val="000000"/>
                <w:sz w:val="25"/>
              </w:rPr>
              <w:t>4.83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49.30</w:t>
            </w:r>
          </w:p>
        </w:tc>
        <w:tc>
          <w:tcPr>
            <w:tcW w:w="2700" w:type="dxa"/>
            <w:vAlign w:val="center"/>
          </w:tcPr>
          <w:p>
            <w:pPr>
              <w:jc w:val="right"/>
            </w:pPr>
            <w:r>
              <w:rPr>
                <w:rFonts w:ascii="宋体" w:hAnsi="宋体" w:eastAsia="宋体" w:cs="宋体"/>
                <w:b w:val="0"/>
                <w:i w:val="0"/>
                <w:color w:val="000000"/>
                <w:sz w:val="25"/>
              </w:rPr>
              <w:t>49.30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49.30</w:t>
            </w:r>
          </w:p>
        </w:tc>
        <w:tc>
          <w:tcPr>
            <w:tcW w:w="2700" w:type="dxa"/>
            <w:vAlign w:val="center"/>
          </w:tcPr>
          <w:p>
            <w:pPr>
              <w:jc w:val="right"/>
            </w:pPr>
            <w:r>
              <w:rPr>
                <w:rFonts w:ascii="宋体" w:hAnsi="宋体" w:eastAsia="宋体" w:cs="宋体"/>
                <w:b w:val="0"/>
                <w:i w:val="0"/>
                <w:color w:val="000000"/>
                <w:sz w:val="25"/>
              </w:rPr>
              <w:t>49.30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205</w:t>
            </w:r>
          </w:p>
        </w:tc>
        <w:tc>
          <w:tcPr>
            <w:tcW w:w="4700" w:type="dxa"/>
            <w:vAlign w:val="center"/>
          </w:tcPr>
          <w:p>
            <w:pPr>
              <w:jc w:val="left"/>
            </w:pPr>
            <w:r>
              <w:rPr>
                <w:rFonts w:ascii="宋体" w:hAnsi="宋体" w:eastAsia="宋体" w:cs="宋体"/>
                <w:b w:val="0"/>
                <w:i w:val="0"/>
                <w:color w:val="000000"/>
                <w:sz w:val="25"/>
              </w:rPr>
              <w:t>教育支出</w:t>
            </w:r>
          </w:p>
        </w:tc>
        <w:tc>
          <w:tcPr>
            <w:tcW w:w="2700" w:type="dxa"/>
            <w:vAlign w:val="center"/>
          </w:tcPr>
          <w:p>
            <w:pPr>
              <w:jc w:val="right"/>
            </w:pPr>
            <w:r>
              <w:rPr>
                <w:rFonts w:ascii="宋体" w:hAnsi="宋体" w:eastAsia="宋体" w:cs="宋体"/>
                <w:b w:val="0"/>
                <w:i w:val="0"/>
                <w:color w:val="000000"/>
                <w:sz w:val="25"/>
              </w:rPr>
              <w:t>95.20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95.20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20503</w:t>
            </w:r>
          </w:p>
        </w:tc>
        <w:tc>
          <w:tcPr>
            <w:tcW w:w="4700" w:type="dxa"/>
            <w:vAlign w:val="center"/>
          </w:tcPr>
          <w:p>
            <w:pPr>
              <w:jc w:val="left"/>
            </w:pPr>
            <w:r>
              <w:rPr>
                <w:rFonts w:ascii="宋体" w:hAnsi="宋体" w:eastAsia="宋体" w:cs="宋体"/>
                <w:b w:val="0"/>
                <w:i w:val="0"/>
                <w:color w:val="000000"/>
                <w:sz w:val="25"/>
              </w:rPr>
              <w:t>职业教育</w:t>
            </w:r>
          </w:p>
        </w:tc>
        <w:tc>
          <w:tcPr>
            <w:tcW w:w="2700" w:type="dxa"/>
            <w:vAlign w:val="center"/>
          </w:tcPr>
          <w:p>
            <w:pPr>
              <w:jc w:val="right"/>
            </w:pPr>
            <w:r>
              <w:rPr>
                <w:rFonts w:ascii="宋体" w:hAnsi="宋体" w:eastAsia="宋体" w:cs="宋体"/>
                <w:b w:val="0"/>
                <w:i w:val="0"/>
                <w:color w:val="000000"/>
                <w:sz w:val="25"/>
              </w:rPr>
              <w:t>95.20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95.20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2050302</w:t>
            </w:r>
          </w:p>
        </w:tc>
        <w:tc>
          <w:tcPr>
            <w:tcW w:w="4700" w:type="dxa"/>
            <w:vAlign w:val="center"/>
          </w:tcPr>
          <w:p>
            <w:pPr>
              <w:jc w:val="left"/>
            </w:pPr>
            <w:r>
              <w:rPr>
                <w:rFonts w:ascii="宋体" w:hAnsi="宋体" w:eastAsia="宋体" w:cs="宋体"/>
                <w:b w:val="0"/>
                <w:i w:val="0"/>
                <w:color w:val="000000"/>
                <w:sz w:val="25"/>
              </w:rPr>
              <w:t>中等职业教育</w:t>
            </w:r>
          </w:p>
        </w:tc>
        <w:tc>
          <w:tcPr>
            <w:tcW w:w="2700" w:type="dxa"/>
            <w:vAlign w:val="center"/>
          </w:tcPr>
          <w:p>
            <w:pPr>
              <w:jc w:val="right"/>
            </w:pPr>
            <w:r>
              <w:rPr>
                <w:rFonts w:ascii="宋体" w:hAnsi="宋体" w:eastAsia="宋体" w:cs="宋体"/>
                <w:b w:val="0"/>
                <w:i w:val="0"/>
                <w:color w:val="000000"/>
                <w:sz w:val="25"/>
              </w:rPr>
              <w:t>95.20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95.20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1,435.11</w:t>
            </w:r>
          </w:p>
        </w:tc>
        <w:tc>
          <w:tcPr>
            <w:tcW w:w="2700" w:type="dxa"/>
            <w:vAlign w:val="center"/>
          </w:tcPr>
          <w:p>
            <w:pPr>
              <w:jc w:val="right"/>
            </w:pPr>
            <w:r>
              <w:rPr>
                <w:rFonts w:ascii="宋体" w:hAnsi="宋体" w:eastAsia="宋体" w:cs="宋体"/>
                <w:b w:val="0"/>
                <w:i w:val="0"/>
                <w:color w:val="000000"/>
                <w:sz w:val="25"/>
              </w:rPr>
              <w:t>1,310.57</w:t>
            </w:r>
          </w:p>
        </w:tc>
        <w:tc>
          <w:tcPr>
            <w:tcW w:w="2658" w:type="dxa"/>
            <w:vAlign w:val="center"/>
          </w:tcPr>
          <w:p>
            <w:pPr>
              <w:jc w:val="right"/>
            </w:pPr>
            <w:r>
              <w:rPr>
                <w:rFonts w:ascii="宋体" w:hAnsi="宋体" w:eastAsia="宋体" w:cs="宋体"/>
                <w:b w:val="0"/>
                <w:i w:val="0"/>
                <w:color w:val="000000"/>
                <w:sz w:val="25"/>
              </w:rPr>
              <w:t>124.54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20801</w:t>
            </w:r>
          </w:p>
        </w:tc>
        <w:tc>
          <w:tcPr>
            <w:tcW w:w="4700" w:type="dxa"/>
            <w:vAlign w:val="center"/>
          </w:tcPr>
          <w:p>
            <w:pPr>
              <w:jc w:val="left"/>
            </w:pPr>
            <w:r>
              <w:rPr>
                <w:rFonts w:ascii="宋体" w:hAnsi="宋体" w:eastAsia="宋体" w:cs="宋体"/>
                <w:b w:val="0"/>
                <w:i w:val="0"/>
                <w:color w:val="000000"/>
                <w:sz w:val="25"/>
              </w:rPr>
              <w:t>人力资源和社会保障管理事务</w:t>
            </w:r>
          </w:p>
        </w:tc>
        <w:tc>
          <w:tcPr>
            <w:tcW w:w="2700" w:type="dxa"/>
            <w:vAlign w:val="center"/>
          </w:tcPr>
          <w:p>
            <w:pPr>
              <w:jc w:val="right"/>
            </w:pPr>
            <w:r>
              <w:rPr>
                <w:rFonts w:ascii="宋体" w:hAnsi="宋体" w:eastAsia="宋体" w:cs="宋体"/>
                <w:b w:val="0"/>
                <w:i w:val="0"/>
                <w:color w:val="000000"/>
                <w:sz w:val="25"/>
              </w:rPr>
              <w:t>1,060.99</w:t>
            </w:r>
          </w:p>
        </w:tc>
        <w:tc>
          <w:tcPr>
            <w:tcW w:w="2700" w:type="dxa"/>
            <w:vAlign w:val="center"/>
          </w:tcPr>
          <w:p>
            <w:pPr>
              <w:jc w:val="right"/>
            </w:pPr>
            <w:r>
              <w:rPr>
                <w:rFonts w:ascii="宋体" w:hAnsi="宋体" w:eastAsia="宋体" w:cs="宋体"/>
                <w:b w:val="0"/>
                <w:i w:val="0"/>
                <w:color w:val="000000"/>
                <w:sz w:val="25"/>
              </w:rPr>
              <w:t>941.44</w:t>
            </w:r>
          </w:p>
        </w:tc>
        <w:tc>
          <w:tcPr>
            <w:tcW w:w="2658" w:type="dxa"/>
            <w:vAlign w:val="center"/>
          </w:tcPr>
          <w:p>
            <w:pPr>
              <w:jc w:val="right"/>
            </w:pPr>
            <w:r>
              <w:rPr>
                <w:rFonts w:ascii="宋体" w:hAnsi="宋体" w:eastAsia="宋体" w:cs="宋体"/>
                <w:b w:val="0"/>
                <w:i w:val="0"/>
                <w:color w:val="000000"/>
                <w:sz w:val="25"/>
              </w:rPr>
              <w:t>119.55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941.44</w:t>
            </w:r>
          </w:p>
        </w:tc>
        <w:tc>
          <w:tcPr>
            <w:tcW w:w="2700" w:type="dxa"/>
            <w:vAlign w:val="center"/>
          </w:tcPr>
          <w:p>
            <w:pPr>
              <w:jc w:val="right"/>
            </w:pPr>
            <w:r>
              <w:rPr>
                <w:rFonts w:ascii="宋体" w:hAnsi="宋体" w:eastAsia="宋体" w:cs="宋体"/>
                <w:b w:val="0"/>
                <w:i w:val="0"/>
                <w:color w:val="000000"/>
                <w:sz w:val="25"/>
              </w:rPr>
              <w:t>941.44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2080102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103.31</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103.31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2080199</w:t>
            </w:r>
          </w:p>
        </w:tc>
        <w:tc>
          <w:tcPr>
            <w:tcW w:w="4700" w:type="dxa"/>
            <w:vAlign w:val="center"/>
          </w:tcPr>
          <w:p>
            <w:pPr>
              <w:jc w:val="left"/>
            </w:pPr>
            <w:r>
              <w:rPr>
                <w:rFonts w:ascii="宋体" w:hAnsi="宋体" w:eastAsia="宋体" w:cs="宋体"/>
                <w:b w:val="0"/>
                <w:i w:val="0"/>
                <w:color w:val="000000"/>
                <w:sz w:val="25"/>
              </w:rPr>
              <w:t>其他人力资源和社会保障管理事务支出</w:t>
            </w:r>
          </w:p>
        </w:tc>
        <w:tc>
          <w:tcPr>
            <w:tcW w:w="2700" w:type="dxa"/>
            <w:vAlign w:val="center"/>
          </w:tcPr>
          <w:p>
            <w:pPr>
              <w:jc w:val="right"/>
            </w:pPr>
            <w:r>
              <w:rPr>
                <w:rFonts w:ascii="宋体" w:hAnsi="宋体" w:eastAsia="宋体" w:cs="宋体"/>
                <w:b w:val="0"/>
                <w:i w:val="0"/>
                <w:color w:val="000000"/>
                <w:sz w:val="25"/>
              </w:rPr>
              <w:t>16.24</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16.24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323.38</w:t>
            </w:r>
          </w:p>
        </w:tc>
        <w:tc>
          <w:tcPr>
            <w:tcW w:w="2700" w:type="dxa"/>
            <w:vAlign w:val="center"/>
          </w:tcPr>
          <w:p>
            <w:pPr>
              <w:jc w:val="right"/>
            </w:pPr>
            <w:r>
              <w:rPr>
                <w:rFonts w:ascii="宋体" w:hAnsi="宋体" w:eastAsia="宋体" w:cs="宋体"/>
                <w:b w:val="0"/>
                <w:i w:val="0"/>
                <w:color w:val="000000"/>
                <w:sz w:val="25"/>
              </w:rPr>
              <w:t>323.38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265.68</w:t>
            </w:r>
          </w:p>
        </w:tc>
        <w:tc>
          <w:tcPr>
            <w:tcW w:w="2700" w:type="dxa"/>
            <w:vAlign w:val="center"/>
          </w:tcPr>
          <w:p>
            <w:pPr>
              <w:jc w:val="right"/>
            </w:pPr>
            <w:r>
              <w:rPr>
                <w:rFonts w:ascii="宋体" w:hAnsi="宋体" w:eastAsia="宋体" w:cs="宋体"/>
                <w:b w:val="0"/>
                <w:i w:val="0"/>
                <w:color w:val="000000"/>
                <w:sz w:val="25"/>
              </w:rPr>
              <w:t>265.68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57.71</w:t>
            </w:r>
          </w:p>
        </w:tc>
        <w:tc>
          <w:tcPr>
            <w:tcW w:w="2700" w:type="dxa"/>
            <w:vAlign w:val="center"/>
          </w:tcPr>
          <w:p>
            <w:pPr>
              <w:jc w:val="right"/>
            </w:pPr>
            <w:r>
              <w:rPr>
                <w:rFonts w:ascii="宋体" w:hAnsi="宋体" w:eastAsia="宋体" w:cs="宋体"/>
                <w:b w:val="0"/>
                <w:i w:val="0"/>
                <w:color w:val="000000"/>
                <w:sz w:val="25"/>
              </w:rPr>
              <w:t>57.71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w:t>
            </w:r>
          </w:p>
        </w:tc>
        <w:tc>
          <w:tcPr>
            <w:tcW w:w="4700" w:type="dxa"/>
            <w:vAlign w:val="center"/>
          </w:tcPr>
          <w:p>
            <w:pPr>
              <w:jc w:val="left"/>
            </w:pPr>
            <w:r>
              <w:rPr>
                <w:rFonts w:ascii="宋体" w:hAnsi="宋体" w:eastAsia="宋体" w:cs="宋体"/>
                <w:b w:val="0"/>
                <w:i w:val="0"/>
                <w:color w:val="000000"/>
                <w:sz w:val="25"/>
              </w:rPr>
              <w:t>就业补助</w:t>
            </w:r>
          </w:p>
        </w:tc>
        <w:tc>
          <w:tcPr>
            <w:tcW w:w="2700" w:type="dxa"/>
            <w:vAlign w:val="center"/>
          </w:tcPr>
          <w:p>
            <w:pPr>
              <w:jc w:val="right"/>
            </w:pPr>
            <w:r>
              <w:rPr>
                <w:rFonts w:ascii="宋体" w:hAnsi="宋体" w:eastAsia="宋体" w:cs="宋体"/>
                <w:b w:val="0"/>
                <w:i w:val="0"/>
                <w:color w:val="000000"/>
                <w:sz w:val="25"/>
              </w:rPr>
              <w:t>4.99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4.99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2080799</w:t>
            </w:r>
          </w:p>
        </w:tc>
        <w:tc>
          <w:tcPr>
            <w:tcW w:w="4700" w:type="dxa"/>
            <w:vAlign w:val="center"/>
          </w:tcPr>
          <w:p>
            <w:pPr>
              <w:jc w:val="left"/>
            </w:pPr>
            <w:r>
              <w:rPr>
                <w:rFonts w:ascii="宋体" w:hAnsi="宋体" w:eastAsia="宋体" w:cs="宋体"/>
                <w:b w:val="0"/>
                <w:i w:val="0"/>
                <w:color w:val="000000"/>
                <w:sz w:val="25"/>
              </w:rPr>
              <w:t>其他就业补助支出</w:t>
            </w:r>
          </w:p>
        </w:tc>
        <w:tc>
          <w:tcPr>
            <w:tcW w:w="2700" w:type="dxa"/>
            <w:vAlign w:val="center"/>
          </w:tcPr>
          <w:p>
            <w:pPr>
              <w:jc w:val="right"/>
            </w:pPr>
            <w:r>
              <w:rPr>
                <w:rFonts w:ascii="宋体" w:hAnsi="宋体" w:eastAsia="宋体" w:cs="宋体"/>
                <w:b w:val="0"/>
                <w:i w:val="0"/>
                <w:color w:val="000000"/>
                <w:sz w:val="25"/>
              </w:rPr>
              <w:t>4.99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4.99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45.76</w:t>
            </w:r>
          </w:p>
        </w:tc>
        <w:tc>
          <w:tcPr>
            <w:tcW w:w="2700" w:type="dxa"/>
            <w:vAlign w:val="center"/>
          </w:tcPr>
          <w:p>
            <w:pPr>
              <w:jc w:val="right"/>
            </w:pPr>
            <w:r>
              <w:rPr>
                <w:rFonts w:ascii="宋体" w:hAnsi="宋体" w:eastAsia="宋体" w:cs="宋体"/>
                <w:b w:val="0"/>
                <w:i w:val="0"/>
                <w:color w:val="000000"/>
                <w:sz w:val="25"/>
              </w:rPr>
              <w:t>45.76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45.76</w:t>
            </w:r>
          </w:p>
        </w:tc>
        <w:tc>
          <w:tcPr>
            <w:tcW w:w="2700" w:type="dxa"/>
            <w:vAlign w:val="center"/>
          </w:tcPr>
          <w:p>
            <w:pPr>
              <w:jc w:val="right"/>
            </w:pPr>
            <w:r>
              <w:rPr>
                <w:rFonts w:ascii="宋体" w:hAnsi="宋体" w:eastAsia="宋体" w:cs="宋体"/>
                <w:b w:val="0"/>
                <w:i w:val="0"/>
                <w:color w:val="000000"/>
                <w:sz w:val="25"/>
              </w:rPr>
              <w:t>45.76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79.26</w:t>
            </w:r>
          </w:p>
        </w:tc>
        <w:tc>
          <w:tcPr>
            <w:tcW w:w="2700" w:type="dxa"/>
            <w:vAlign w:val="center"/>
          </w:tcPr>
          <w:p>
            <w:pPr>
              <w:jc w:val="right"/>
            </w:pPr>
            <w:r>
              <w:rPr>
                <w:rFonts w:ascii="宋体" w:hAnsi="宋体" w:eastAsia="宋体" w:cs="宋体"/>
                <w:b w:val="0"/>
                <w:i w:val="0"/>
                <w:color w:val="000000"/>
                <w:sz w:val="25"/>
              </w:rPr>
              <w:t>79.26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79.26</w:t>
            </w:r>
          </w:p>
        </w:tc>
        <w:tc>
          <w:tcPr>
            <w:tcW w:w="2700" w:type="dxa"/>
            <w:vAlign w:val="center"/>
          </w:tcPr>
          <w:p>
            <w:pPr>
              <w:jc w:val="right"/>
            </w:pPr>
            <w:r>
              <w:rPr>
                <w:rFonts w:ascii="宋体" w:hAnsi="宋体" w:eastAsia="宋体" w:cs="宋体"/>
                <w:b w:val="0"/>
                <w:i w:val="0"/>
                <w:color w:val="000000"/>
                <w:sz w:val="25"/>
              </w:rPr>
              <w:t>79.26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47.44</w:t>
            </w:r>
          </w:p>
        </w:tc>
        <w:tc>
          <w:tcPr>
            <w:tcW w:w="2700" w:type="dxa"/>
            <w:vAlign w:val="center"/>
          </w:tcPr>
          <w:p>
            <w:pPr>
              <w:jc w:val="right"/>
            </w:pPr>
            <w:r>
              <w:rPr>
                <w:rFonts w:ascii="宋体" w:hAnsi="宋体" w:eastAsia="宋体" w:cs="宋体"/>
                <w:b w:val="0"/>
                <w:i w:val="0"/>
                <w:color w:val="000000"/>
                <w:sz w:val="25"/>
              </w:rPr>
              <w:t>47.44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31.82</w:t>
            </w:r>
          </w:p>
        </w:tc>
        <w:tc>
          <w:tcPr>
            <w:tcW w:w="2700" w:type="dxa"/>
            <w:vAlign w:val="center"/>
          </w:tcPr>
          <w:p>
            <w:pPr>
              <w:jc w:val="right"/>
            </w:pPr>
            <w:r>
              <w:rPr>
                <w:rFonts w:ascii="宋体" w:hAnsi="宋体" w:eastAsia="宋体" w:cs="宋体"/>
                <w:b w:val="0"/>
                <w:i w:val="0"/>
                <w:color w:val="000000"/>
                <w:sz w:val="25"/>
              </w:rPr>
              <w:t>31.82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55.25</w:t>
            </w:r>
          </w:p>
        </w:tc>
        <w:tc>
          <w:tcPr>
            <w:tcW w:w="2700" w:type="dxa"/>
            <w:vAlign w:val="center"/>
          </w:tcPr>
          <w:p>
            <w:pPr>
              <w:jc w:val="right"/>
            </w:pPr>
            <w:r>
              <w:rPr>
                <w:rFonts w:ascii="宋体" w:hAnsi="宋体" w:eastAsia="宋体" w:cs="宋体"/>
                <w:b w:val="0"/>
                <w:i w:val="0"/>
                <w:color w:val="000000"/>
                <w:sz w:val="25"/>
              </w:rPr>
              <w:t>55.25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55.25</w:t>
            </w:r>
          </w:p>
        </w:tc>
        <w:tc>
          <w:tcPr>
            <w:tcW w:w="2700" w:type="dxa"/>
            <w:vAlign w:val="center"/>
          </w:tcPr>
          <w:p>
            <w:pPr>
              <w:jc w:val="right"/>
            </w:pPr>
            <w:r>
              <w:rPr>
                <w:rFonts w:ascii="宋体" w:hAnsi="宋体" w:eastAsia="宋体" w:cs="宋体"/>
                <w:b w:val="0"/>
                <w:i w:val="0"/>
                <w:color w:val="000000"/>
                <w:sz w:val="25"/>
              </w:rPr>
              <w:t>55.25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55.25</w:t>
            </w:r>
          </w:p>
        </w:tc>
        <w:tc>
          <w:tcPr>
            <w:tcW w:w="2700" w:type="dxa"/>
            <w:vAlign w:val="center"/>
          </w:tcPr>
          <w:p>
            <w:pPr>
              <w:jc w:val="right"/>
            </w:pPr>
            <w:r>
              <w:rPr>
                <w:rFonts w:ascii="宋体" w:hAnsi="宋体" w:eastAsia="宋体" w:cs="宋体"/>
                <w:b w:val="0"/>
                <w:i w:val="0"/>
                <w:color w:val="000000"/>
                <w:sz w:val="25"/>
              </w:rPr>
              <w:t>55.25</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单位：许昌市人力资源和社会保障局（本级）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1,027.22</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130.28</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244.51</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30.37</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383.62</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0.84</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224.78</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58.10</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2.67</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28.65</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31.82</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0.49</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17.73</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55.25</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341.07</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0.59</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106.45</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2.87</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184.93</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1.41</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45.76</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3.93</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4.20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4.83</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6.88</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6.60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45.01</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6.29</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1,368.29</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130.92</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单位：许昌市人力资源和社会保障局（本级）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单位：许昌市人力资源和社会保障局（本级）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pPr>
              <w:jc w:val="right"/>
            </w:pPr>
            <w:r>
              <w:rPr>
                <w:rFonts w:ascii="宋体" w:hAnsi="宋体" w:eastAsia="宋体" w:cs="宋体"/>
                <w:b/>
                <w:i w:val="0"/>
                <w:color w:val="000000"/>
                <w:sz w:val="28"/>
              </w:rPr>
              <w:t>0</w:t>
            </w: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单位：许昌市人力资源和社会保障局（本级）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8.01</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6.60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6.60</w:t>
            </w:r>
          </w:p>
        </w:tc>
        <w:tc>
          <w:tcPr>
            <w:tcW w:w="1160" w:type="dxa"/>
            <w:vAlign w:val="center"/>
          </w:tcPr>
          <w:p>
            <w:pPr>
              <w:jc w:val="right"/>
            </w:pPr>
            <w:r>
              <w:rPr>
                <w:rFonts w:ascii="宋体" w:hAnsi="宋体" w:eastAsia="宋体" w:cs="宋体"/>
                <w:b w:val="0"/>
                <w:i w:val="0"/>
                <w:color w:val="000000"/>
                <w:sz w:val="17"/>
              </w:rPr>
              <w:t>1.41</w:t>
            </w:r>
          </w:p>
        </w:tc>
        <w:tc>
          <w:tcPr>
            <w:tcW w:w="1160" w:type="dxa"/>
            <w:vAlign w:val="center"/>
          </w:tcPr>
          <w:p>
            <w:pPr>
              <w:jc w:val="right"/>
            </w:pPr>
            <w:r>
              <w:rPr>
                <w:rFonts w:ascii="宋体" w:hAnsi="宋体" w:eastAsia="宋体" w:cs="宋体"/>
                <w:b w:val="0"/>
                <w:i w:val="0"/>
                <w:color w:val="000000"/>
                <w:sz w:val="17"/>
              </w:rPr>
              <w:t>8.01</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6.60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6.60</w:t>
            </w:r>
          </w:p>
        </w:tc>
        <w:tc>
          <w:tcPr>
            <w:tcW w:w="1198" w:type="dxa"/>
            <w:vAlign w:val="center"/>
          </w:tcPr>
          <w:p>
            <w:pPr>
              <w:jc w:val="right"/>
            </w:pPr>
            <w:r>
              <w:rPr>
                <w:rFonts w:ascii="宋体" w:hAnsi="宋体" w:eastAsia="宋体" w:cs="宋体"/>
                <w:b w:val="0"/>
                <w:i w:val="0"/>
                <w:color w:val="000000"/>
                <w:sz w:val="17"/>
              </w:rPr>
              <w:t>1.41</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2023年度收、支总计均为1751.88万元。与上年度相比，收、支总计各减少93.38万元，下降5.06%。主要原因是2023年度许昌市人力资源和社会保障局（本级）不再发放下属二级单位的奖金补贴。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1723.95万元，其中：财政拨款收入1704.14万元，占98.85%；上级补助收入0.00万元，占0.00%；事业收入0.00万元，占0.00%；经营收入0.00万元，占0.00%；附属单位上缴收入0.00万元，占0.00%；其他收入19.81万元，占1.15%。</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2023年度支出合计1749.84万元，其中：基本支出1499.21万元，占85.68%；项目支出250.63万元，占14.32%；上缴上级支出0.00万元，占0.00%；经营支出0.00万元，占0.00%；对附属单位补助支出0.00万元，占0.00%。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2023年度财政拨款收、支总计均为1721.45万元。与上年度相比，财政拨款收、支总计各减少98.33万元，下降5.40%。主要原因是2023年度许昌市人力资源和社会保障局（本级）不再发放下属二级单位的奖金补贴。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1721.45万元，占支出合计的98.38%。与上年度相比，一般公共预算财政拨款支出减少98.33万元，下降5.40%。主要原因是2023年度许昌市人力资源和社会保障局（本级）不再发放下属二级单位的奖金补贴。</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1721.45万元，主要用于以下方面：一般公共服务支出（类）54.13万元，占3.14%；教育支出（类）95.20万元，占5.53%；社会保障和就业支出（类）1435.11万元，占83.37%；卫生健康支出（类）79.26万元，占4.60%；农林水支出（类）2.50万元，占0.15%；住房保障支出（类）55.25万元，占3.21%。</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2023年度一般公共预算财政拨款支出年初预算为3611.33万元，支出决算为1721.45万元，完成年初预算的47.67%。其中：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年初预算数为4.83万元，决算数4.83万元,完成年初预算的100.00%，决算数与年初预算数不存在差异。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年初预算数为12.00万元，决算数49.30万元,完成年初预算的410.83%，决算数与年初预算数存在差异的主要原因是我单位发放2021年度在职职工未休假补贴及平安建设奖。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3.教育支出（类）职业教育（款）中等职业教育（项）</w:t>
      </w:r>
      <w:r>
        <w:rPr>
          <w:rFonts w:hint="default" w:ascii="仿宋" w:hAnsi="仿宋" w:eastAsia="仿宋" w:cs="仿宋"/>
          <w:kern w:val="2"/>
          <w:sz w:val="32"/>
          <w:szCs w:val="32"/>
          <w:lang w:val="en-US" w:eastAsia="zh-CN"/>
        </w:rPr>
        <w:t>年初预算数为0.00万元，决算数95.20万元,决算数与年初预算数存在差异的主要原因是我单位发放2023年度技工院校全年助学金。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4.社会保障和就业支出（类）人力资源和社会保障管理事务（款）行政运行（项）</w:t>
      </w:r>
      <w:r>
        <w:rPr>
          <w:rFonts w:hint="default" w:ascii="仿宋" w:hAnsi="仿宋" w:eastAsia="仿宋" w:cs="仿宋"/>
          <w:kern w:val="2"/>
          <w:sz w:val="32"/>
          <w:szCs w:val="32"/>
          <w:lang w:val="en-US" w:eastAsia="zh-CN"/>
        </w:rPr>
        <w:t>年初预算数为871.64万元，决算数941.44万元,完成年初预算的108.01%，决算数与年初预算数存在差异的主要原因是我单位人员变动及工作量增多导致决算数多于预算数。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5.社会保障和就业支出（类）人力资源和社会保障管理事务（款）一般行政管理事务（项）</w:t>
      </w:r>
      <w:r>
        <w:rPr>
          <w:rFonts w:hint="default" w:ascii="仿宋" w:hAnsi="仿宋" w:eastAsia="仿宋" w:cs="仿宋"/>
          <w:kern w:val="2"/>
          <w:sz w:val="32"/>
          <w:szCs w:val="32"/>
          <w:lang w:val="en-US" w:eastAsia="zh-CN"/>
        </w:rPr>
        <w:t>年初预算数为0.00万元，决算数103.31万元,决算数与年初预算数存在差异的主要原因是2023年度我单位许昌市工程系列中级职称评审、许昌市优秀学术技术带头人、劳动能力鉴定、河南省第二届职业技能大赛、工勤技能考核等项目支出增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6.社会保障和就业支出（类）人力资源和社会保障管理事务（款）其他人力资源和社会保障管理事务支出（项）</w:t>
      </w:r>
      <w:r>
        <w:rPr>
          <w:rFonts w:hint="default" w:ascii="仿宋" w:hAnsi="仿宋" w:eastAsia="仿宋" w:cs="仿宋"/>
          <w:kern w:val="2"/>
          <w:sz w:val="32"/>
          <w:szCs w:val="32"/>
          <w:lang w:val="en-US" w:eastAsia="zh-CN"/>
        </w:rPr>
        <w:t>年初预算数为566.24万元，决算数16.24万元,完成年初预算的2.87%，决算数与年初预算数存在差异的主要原因是2023年度我单位重点企业招工等项目经费未支出。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7.社会保障和就业支出（类）行政事业单位养老支出（款）行政单位离退休（项）</w:t>
      </w:r>
      <w:r>
        <w:rPr>
          <w:rFonts w:hint="default" w:ascii="仿宋" w:hAnsi="仿宋" w:eastAsia="仿宋" w:cs="仿宋"/>
          <w:kern w:val="2"/>
          <w:sz w:val="32"/>
          <w:szCs w:val="32"/>
          <w:lang w:val="en-US" w:eastAsia="zh-CN"/>
        </w:rPr>
        <w:t>年初预算数为238.40万元，决算数265.68万元,完成年初预算的111.44%，决算数与年初预算数存在差异的主要原因是2023年我单位退休人员变动，导致决算数与年初预算数存在差异。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年初预算数为55.60万元，决算数57.71万元,完成年初预算的103.79%，决算数与年初预算数存在差异的主要原因是2023年我单位工作人员变动，导致决算数与年初预算数存在差异。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9.社会保障和就业支出（类）就业补助（款）其他就业补助支出（项）</w:t>
      </w:r>
      <w:r>
        <w:rPr>
          <w:rFonts w:hint="default" w:ascii="仿宋" w:hAnsi="仿宋" w:eastAsia="仿宋" w:cs="仿宋"/>
          <w:kern w:val="2"/>
          <w:sz w:val="32"/>
          <w:szCs w:val="32"/>
          <w:lang w:val="en-US" w:eastAsia="zh-CN"/>
        </w:rPr>
        <w:t>年初预算数为1745.00万元，决算数4.99万元,完成年初预算的0.29%，决算数与年初预算数存在差异的主要原因是2023年度我单位就业补助等项目经费未支出。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10.社会保障和就业支出（类）抚恤（款）死亡抚恤（项）</w:t>
      </w:r>
      <w:r>
        <w:rPr>
          <w:rFonts w:hint="default" w:ascii="仿宋" w:hAnsi="仿宋" w:eastAsia="仿宋" w:cs="仿宋"/>
          <w:kern w:val="2"/>
          <w:sz w:val="32"/>
          <w:szCs w:val="32"/>
          <w:lang w:val="en-US" w:eastAsia="zh-CN"/>
        </w:rPr>
        <w:t>年初预算数为0.00万元，决算数45.76万元,决算数与年初预算数存在差异的主要原因是2023年度我单位退休人员过世发放抚恤金，导致决算数与年初预算数存在差异。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11.卫生健康支出（类）行政事业单位医疗（款）行政单位医疗（项）</w:t>
      </w:r>
      <w:r>
        <w:rPr>
          <w:rFonts w:hint="default" w:ascii="仿宋" w:hAnsi="仿宋" w:eastAsia="仿宋" w:cs="仿宋"/>
          <w:kern w:val="2"/>
          <w:sz w:val="32"/>
          <w:szCs w:val="32"/>
          <w:lang w:val="en-US" w:eastAsia="zh-CN"/>
        </w:rPr>
        <w:t>年初预算数为29.29万元，决算数47.44万元,完成年初预算的161.97%，决算数与年初预算数存在差异的主要原因是2023年我单位工作人员变动，导致决算数与年初预算数存在差异。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12.卫生健康支出（类）行政事业单位医疗（款）公务员医疗补助（项）</w:t>
      </w:r>
      <w:r>
        <w:rPr>
          <w:rFonts w:hint="default" w:ascii="仿宋" w:hAnsi="仿宋" w:eastAsia="仿宋" w:cs="仿宋"/>
          <w:kern w:val="2"/>
          <w:sz w:val="32"/>
          <w:szCs w:val="32"/>
          <w:lang w:val="en-US" w:eastAsia="zh-CN"/>
        </w:rPr>
        <w:t>年初预算数为32.54万元，决算数31.82万元,完成年初预算的97.79%，决算数与年初预算数存在差异的主要原因是2023年我单位工作人员变动，导致决算数与年初预算数存在差异。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13.农林水支出（类）巩固脱贫攻坚成果衔接乡村振兴（款）一般行政管理事务（项）</w:t>
      </w:r>
      <w:r>
        <w:rPr>
          <w:rFonts w:hint="default" w:ascii="仿宋" w:hAnsi="仿宋" w:eastAsia="仿宋" w:cs="仿宋"/>
          <w:kern w:val="2"/>
          <w:sz w:val="32"/>
          <w:szCs w:val="32"/>
          <w:lang w:val="en-US" w:eastAsia="zh-CN"/>
        </w:rPr>
        <w:t>年初预算数为0.00万元，决算数2.50万元,决算数与年初预算数存在差异的主要原因是我单位发放2023年许昌市派驻村第一书记补助经费。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14.住房保障支出（类）住房改革支出（款）住房公积金（项）</w:t>
      </w:r>
      <w:r>
        <w:rPr>
          <w:rFonts w:hint="default" w:ascii="仿宋" w:hAnsi="仿宋" w:eastAsia="仿宋" w:cs="仿宋"/>
          <w:kern w:val="2"/>
          <w:sz w:val="32"/>
          <w:szCs w:val="32"/>
          <w:lang w:val="en-US" w:eastAsia="zh-CN"/>
        </w:rPr>
        <w:t>年初预算数为55.78万元，决算数55.25万元,完成年初预算的99.05%，决算数与年初预算数存在差异的主要原因是2023年我单位工作人员变动，导致决算数与年初预算数存在差异。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1499.21万元。其中：人员经费1368.29万元，主要包括：基本工资、津贴补贴、奖金、机关事业单位基本养老保险缴费、职工基本医疗保险缴费、公务员医疗补助缴费、其他社会保障缴费、住房公积金、离休费、退休费、抚恤金、生活补助。公用经费130.92万元，主要包括：办公费、印刷费、邮电费、差旅费、会议费、培训费、公务接待费、委托业务费、工会经费、福利费、公务用车运行维护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2023年度“三公”经费财政拨款支出预算为8.01万元，支出决算为8.01万元，完成预算的100.00%。2023年度“三公”经费支出决算数与预算数无差异。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6.60万元,完成预算的100.00%，占82.40%；公务接待费支出决算1.41万元，完成预算的100.00%，占17.60%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预算为6.60万元，支出决算为6.60万元，完成预算的100.00%。决算数与预算数无差异。其中：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6.60万元。主要用于我单位公务用车加油充值费、车辆维修保养费和车辆保险费。2023年期末，单位开支财政拨款的公务用车保有量为</w:t>
      </w:r>
      <w:r>
        <w:rPr>
          <w:rFonts w:hint="eastAsia" w:ascii="仿宋" w:hAnsi="仿宋" w:eastAsia="仿宋" w:cs="仿宋"/>
          <w:kern w:val="2"/>
          <w:sz w:val="32"/>
          <w:szCs w:val="32"/>
          <w:lang w:val="en-US" w:eastAsia="zh-CN"/>
        </w:rPr>
        <w:t>4</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预算为1.41万元，支出决算为1.41万元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1.41</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主要用于单位来访接待工作。</w:t>
      </w:r>
      <w:r>
        <w:rPr>
          <w:rFonts w:hint="eastAsia" w:ascii="仿宋" w:hAnsi="仿宋" w:eastAsia="仿宋" w:cs="仿宋"/>
          <w:kern w:val="0"/>
          <w:sz w:val="32"/>
          <w:szCs w:val="32"/>
          <w:lang w:val="en-US" w:eastAsia="zh-CN"/>
        </w:rPr>
        <w:t>2023年共接待国内来访团组22个、来宾84人次（不包括陪同人员）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2023年度机关运行经费支出130.92万元，较2022年度增长28.07万元，增长27.29%，主要原因是我单位人员变动及工作量增多导致机关运行经费支出增多。</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2023年期末，本单位共有车辆4辆，其中：省级领导干部用车0辆、主要领导干部用车0辆、机要通信用车0辆、应急保障车0辆、执法执勤用车0辆、特种专业技术用车0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辆、离退休干部用车0辆、其他用车4辆；单价100万元（含）以上设备（不含车辆）0台（套）。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涉及预算资金3611.33万元。自评得分为94.77分，等级为“优”。从单位整体自评情况来看，2023年度我单位整体绩效完成度较好。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基于项目预期目标的实现程度，我单位对2023年度单位预算项目支出（含单位参与分配的转移支付项目）开展绩效自评，涉及项目15个，项目金额3364.67万元。其中：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（（1）2021年度许昌市工程系列中级职称评审，自评得分为100分，等级为“优”。圆满完成2021年度许昌市工程系列中级职称评审工作加强了我市人才队伍建设，共计支出7.61万元，预算执行率达100%。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2022年11月份市政府月讲评奖励资金（结转本级资金），自评得分为100分，等级为“优”。根据许政办文【2022】10号，市直单位月讲评排名前三的单位奖5万元、3万元、1万元。我单位上年结转3.69万元，已支出完成，预算执行率达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2022年度许昌市优秀学术技术带头人津贴，自评得分为100分，等级为“优”。加强我市优秀学术技术带头人队伍建设，充分发挥优秀学术技术带头人在我市经济建设和社会事业发展中的骨干带头作用，激发优秀学术技术带头人干事创业的积极性，共计支出19.37万元，预算执行率达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2022年许昌市疾控机构和许昌军分区民兵训练基地公开招聘工作人员（特定专项工作经费支出），自评得分为100分，等级为“优”。为许昌市疾控机构招聘专业技术人员57名，为许昌军分区民兵训练基地招聘工作人员3名，共计支出9.85万元，预算执行率达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（5）拨付第五届“中国创翼”创业创新大赛河南省分赛区暨“豫创天下”“凤归中原”创业大赛许昌市选拔赛工作经费和奖金73.99万元，自评得分为97.7分，等级为“优”，共计支出64.40万元，预算执行率达87.04%。</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（6）拨付许昌市就业创业全域网络覆盖工程市本级第二批建设资金141.0622万元，自评得分为99.65分，等级为“优”。共计支出141.06万元，预算执行率达100%。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大学生“三支一扶”招募、慰问及生活和保险补贴经费（上级配套支出），自评得分为100分，等级为“优”。根据《河南省“三支一扶”管理办法（试行）》有关规定，按时足额发放“三支一扶”人员补助。按时缴纳“三支一扶”人员社会保险，开展示范培训，共计支出15.17万元，预算执行率达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（8）结转2021年及2022年就业补助资金（结转上级资金），自评得分为100分，等级为“优”。共计支出11.34万元，预算执行率达100%。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（9）就业补助资金（上级配套支出），自评得分为91.03分，等级为“优”。2023年开展工作示范创建认定了36个示范项目，共计支出99万元，预算执行率达10.3%。</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（10）农民工欠薪应急周转金（上级配套支出），没有应急保障欠薪人员，没有支出。</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三支一扶”大学生春节慰问及招募经费（结转本级资金），自评得分为99.89分，等级为“优”。按照省人社厅下发的《河南省2022年高校毕业生“三支一扶”计划招募方案》（豫人社办函[2022]80号）文件要求，圆满完成2022年高校毕业生“三支一扶”计划招募任务，共计支出16.24万元，预算执行率达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提前下达2023年高校毕业生“三支一扶”计划中央补助资金（上级提前下达），自评得分为100分，等级为“优”。完成年度“三支一扶”中央财政补助名额招募计划，为基层输送一批急需紧缺人才，共计支出101.5万元，预算执行率达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（13）提前下达2023年就业补助资金（上级提前下达），自评得分为99.44分，等级为“优”。全市城镇新增就业5.43万人，共计支出990万元，预算执行率达100%。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（14）提前下达2023年就业补助资金（上级提前下达）1，自评得分为98.97分，等级为“优”。城镇新增就业5.43万人，共计支出288万元，预算执行率达96.74%。</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（15）提前下达2023年就业补助资金（上级提前下达）2，自评得分为99.65分，等级为“优”。全市城镇新增就业5.43万人，共计支出216万元，预算执行率达100%。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从项目绩效自评情况来看，2022年度我单位绩效目标设置合理，严格按各项管理制度执行，年初设定的各项工作目标完成情况较好。下一步，我单位将继续完善项目绩效，进一步细化绩效目标。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1166"/>
        <w:gridCol w:w="2515"/>
        <w:gridCol w:w="1434"/>
        <w:gridCol w:w="1434"/>
        <w:gridCol w:w="1448"/>
        <w:gridCol w:w="819"/>
        <w:gridCol w:w="957"/>
        <w:gridCol w:w="1014"/>
        <w:gridCol w:w="1200"/>
        <w:gridCol w:w="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单位整体支出绩效自评情况表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部门（单位）名称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部门整体支出情况(万元)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部门预算总额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3611.33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3611.33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1721.45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资金来源：（1）财政拨款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3611.33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3611.33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1721.45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z w:val="21"/>
                <w:szCs w:val="21"/>
                <w:lang w:val="en-US" w:eastAsia="zh-CN" w:bidi="en-AU"/>
              </w:rPr>
              <w:t xml:space="preserve">             </w:t>
            </w:r>
            <w:r>
              <w:rPr>
                <w:rStyle w:val="13"/>
                <w:sz w:val="21"/>
                <w:szCs w:val="21"/>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年度履职目标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4"/>
            <w:tcBorders>
              <w:top w:val="single" w:color="000000" w:sz="4" w:space="0"/>
              <w:left w:val="single" w:color="000000" w:sz="4" w:space="0"/>
              <w:bottom w:val="nil"/>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稳就业基本盘，不断深化社会保障改革，加强人事人才工作，构建和谐劳动关系，加强自身能力建设。</w:t>
            </w:r>
          </w:p>
        </w:tc>
        <w:tc>
          <w:tcPr>
            <w:tcW w:w="0" w:type="auto"/>
            <w:gridSpan w:val="6"/>
            <w:tcBorders>
              <w:top w:val="single" w:color="000000" w:sz="4" w:space="0"/>
              <w:left w:val="single" w:color="000000" w:sz="4" w:space="0"/>
              <w:bottom w:val="nil"/>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就业基本盘稳定，社会保障改革深化，人事人才工作得到加强，劳动关系和谐，自身能力建设得到提高。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年度主要任务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主要内容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劳动能力鉴定</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职工因病或非因工负伤医疗终结劳动能力鉴定、工伤争议劳动能力鉴定、护理依赖程度鉴定</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圆满完成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工勤技能岗位等级考核培训</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全市工勤技能岗位等级报名、培训、命题、考核、评审等考务工作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圆满完成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职称评审工作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事业单位职称评审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圆满完成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投入管理指标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年度履职目标相关性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工作任务科学性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绩效指标合理性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预算编制完整性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专项资金细化率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预算调整率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结转结余率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“三公经费”控制率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政府采购执行率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决算真实性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资金使用合规性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管理制度健全性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预决算信息公开性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资产管理规范性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绩效目标编制完成率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绩效监控完成率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绩效自评完成率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部门绩效评价完成率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评价结果应用率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职称评审工作计划完成率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工勤技能岗位等级考核培训计划完成率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劳动能力鉴定计划完成率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加强自身能力建设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稳就业基本盘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深化社会保障改革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加强人事人才工作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构建和谐劳动关系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促进社会就业创业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完善社会保障体系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群众满意度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94.77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bl>
    <w:p>
      <w:pPr>
        <w:pStyle w:val="10"/>
        <w:sectPr>
          <w:pgSz w:w="16838" w:h="11906" w:orient="landscape"/>
          <w:pgMar w:top="1800" w:right="1440" w:bottom="1800" w:left="1440" w:header="851" w:footer="992" w:gutter="0"/>
          <w:cols w:space="720" w:num="1"/>
          <w:docGrid w:type="lines" w:linePitch="312" w:charSpace="0"/>
        </w:sect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1767"/>
        <w:gridCol w:w="2562"/>
        <w:gridCol w:w="1711"/>
        <w:gridCol w:w="1266"/>
        <w:gridCol w:w="1333"/>
        <w:gridCol w:w="1266"/>
        <w:gridCol w:w="916"/>
        <w:gridCol w:w="846"/>
        <w:gridCol w:w="1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2021年度许昌市工程系列中级职称评审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sz w:val="21"/>
                <w:szCs w:val="21"/>
                <w:lang w:val="en-US" w:eastAsia="zh-CN" w:bidi="en-AU"/>
              </w:rPr>
              <w:t xml:space="preserve"> </w:t>
            </w:r>
            <w:r>
              <w:rPr>
                <w:rStyle w:val="13"/>
                <w:sz w:val="21"/>
                <w:szCs w:val="21"/>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管理有效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做好2021年度许昌市工程系列中级职称评审工作，包括组织面试和专家评审，需要保障会议室、食宿、人员等费用。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圆满完成2021年度许昌市工程系列中级职称评审工作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酒店住宿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专家评审费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工作人员补助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就餐费用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2021年度工程师评审通过人数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=480人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480人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2021年度工程师申报人数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=732人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732人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投诉信访率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2021年度评审通过率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评审天数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专业技术人员待遇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专业技术人员满意度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bl>
    <w:p>
      <w:pPr>
        <w:pStyle w:val="10"/>
      </w:pPr>
      <w: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5"/>
        <w:gridCol w:w="467"/>
        <w:gridCol w:w="1617"/>
        <w:gridCol w:w="1092"/>
        <w:gridCol w:w="1648"/>
        <w:gridCol w:w="1783"/>
        <w:gridCol w:w="1648"/>
        <w:gridCol w:w="423"/>
        <w:gridCol w:w="601"/>
        <w:gridCol w:w="619"/>
        <w:gridCol w:w="3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2022年11月份市政府月讲评奖励资金（结转本级资金）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w:t>
            </w:r>
            <w:r>
              <w:rPr>
                <w:rStyle w:val="15"/>
                <w:sz w:val="21"/>
                <w:szCs w:val="21"/>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预算绩效完成较好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预期目标</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根据许政办文【2022】10号，市直单位月讲评排名前三的单位奖5万元、3万元、1万元</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根据许政办文【2022】10号，市直单位月讲评排名前三的单位奖5万元、3万元、1万元。我单位上年结转36867元，已支出完成。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奖励金额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=36867元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36867元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奖励单位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11月讲评流程合规性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激励单位工作积极性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bl>
    <w:p>
      <w:pPr>
        <w:pStyle w:val="10"/>
      </w:pPr>
      <w: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1753"/>
        <w:gridCol w:w="2703"/>
        <w:gridCol w:w="1805"/>
        <w:gridCol w:w="1304"/>
        <w:gridCol w:w="1311"/>
        <w:gridCol w:w="1266"/>
        <w:gridCol w:w="916"/>
        <w:gridCol w:w="846"/>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2022年度许昌市优秀学术技术带头人津贴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预算绩效管理合理规范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加强我市优秀学术技术带头人队伍建设，充分发挥优秀学术技术带头人在我市经济建设和社会事业发展中的骨干带头作用，激发优秀学术技术带头人干事创业的积极性。</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年度总目标圆满完成，资金得到合理利用。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市优秀学术技术带头人发放标准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=100元/月/人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100元/月/人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涉及单位数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=75家数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75家数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经考核合格人数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=164人数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164人数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参加考核人数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=193人数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193人数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市优秀学术技术带头人年度考核合格率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津贴发放时间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≤2023.12月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2023.8月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带动各领域经济增长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有效带动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促进专业技术人才梯次培养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优秀学术技术带头人个人满意度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bl>
    <w:p>
      <w:pPr>
        <w:pStyle w:val="10"/>
      </w:pPr>
      <w: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3"/>
        <w:gridCol w:w="761"/>
        <w:gridCol w:w="2397"/>
        <w:gridCol w:w="1601"/>
        <w:gridCol w:w="1461"/>
        <w:gridCol w:w="1582"/>
        <w:gridCol w:w="1461"/>
        <w:gridCol w:w="1057"/>
        <w:gridCol w:w="976"/>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2022年许昌市疾控机构和许昌军分区民兵训练基地公开招聘工作人员（特定专项工作经费支出）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年度总体目标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为许昌市疾控机构招聘专业技术人员88名，为许昌军分区民兵训练基地招聘工作人员3名。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为许昌市疾控机构招聘专业技术人员57名，为许昌军分区民兵训练基地招聘工作人员3名。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招聘工作总投入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=98548元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98548元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公开招聘工作人员数量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招聘人员岗位符合程度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符合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招聘工作完成时间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12月底前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进一步促进事业单位又快又好发展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优化单位人员结构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优化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用人单位满意。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bl>
    <w:p>
      <w:pPr>
        <w:pStyle w:val="10"/>
      </w:pPr>
      <w: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1715"/>
        <w:gridCol w:w="2768"/>
        <w:gridCol w:w="1848"/>
        <w:gridCol w:w="1391"/>
        <w:gridCol w:w="1298"/>
        <w:gridCol w:w="1267"/>
        <w:gridCol w:w="916"/>
        <w:gridCol w:w="850"/>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拨付第五届“中国创翼”创业创新大赛河南省分赛区暨“豫创天下”“凤归中原”创业大赛许昌市选拔赛工作经费和奖金73.99万元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73.99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87.04 %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73.99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87.04 %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目标1：资金按规定用于职业培训补贴、职业技能鉴定补贴、社会保险补贴、公益性岗位补贴、创业补贴、就业见习补贴、求职创业补贴、就业创业服务补助、高技能人才培养补助等支出以及经省级人民政府批准的其他支出项目。 </w:t>
            </w:r>
            <w:r>
              <w:rPr>
                <w:rFonts w:hint="eastAsia" w:ascii="宋体" w:hAnsi="宋体" w:eastAsia="宋体" w:cs="宋体"/>
                <w:i w:val="0"/>
                <w:iCs w:val="0"/>
                <w:color w:val="000000"/>
                <w:kern w:val="0"/>
                <w:sz w:val="21"/>
                <w:szCs w:val="21"/>
                <w:u w:val="none"/>
                <w:lang w:val="en-US" w:eastAsia="zh-CN" w:bidi="en-AU"/>
              </w:rPr>
              <w:br w:type="textWrapping"/>
            </w:r>
            <w:r>
              <w:rPr>
                <w:rFonts w:hint="eastAsia" w:ascii="宋体" w:hAnsi="宋体" w:eastAsia="宋体" w:cs="宋体"/>
                <w:i w:val="0"/>
                <w:iCs w:val="0"/>
                <w:color w:val="000000"/>
                <w:kern w:val="0"/>
                <w:sz w:val="21"/>
                <w:szCs w:val="21"/>
                <w:u w:val="none"/>
                <w:lang w:val="en-US" w:eastAsia="zh-CN" w:bidi="en-AU"/>
              </w:rPr>
              <w:t xml:space="preserve">  目标2：确保完成年度城镇新增就业目标任务。 </w:t>
            </w:r>
            <w:r>
              <w:rPr>
                <w:rFonts w:hint="eastAsia" w:ascii="宋体" w:hAnsi="宋体" w:eastAsia="宋体" w:cs="宋体"/>
                <w:i w:val="0"/>
                <w:iCs w:val="0"/>
                <w:color w:val="000000"/>
                <w:kern w:val="0"/>
                <w:sz w:val="21"/>
                <w:szCs w:val="21"/>
                <w:u w:val="none"/>
                <w:lang w:val="en-US" w:eastAsia="zh-CN" w:bidi="en-AU"/>
              </w:rPr>
              <w:br w:type="textWrapping"/>
            </w:r>
            <w:r>
              <w:rPr>
                <w:rFonts w:hint="eastAsia" w:ascii="宋体" w:hAnsi="宋体" w:eastAsia="宋体" w:cs="宋体"/>
                <w:i w:val="0"/>
                <w:iCs w:val="0"/>
                <w:color w:val="000000"/>
                <w:kern w:val="0"/>
                <w:sz w:val="21"/>
                <w:szCs w:val="21"/>
                <w:u w:val="none"/>
                <w:lang w:val="en-US" w:eastAsia="zh-CN" w:bidi="en-AU"/>
              </w:rPr>
              <w:t xml:space="preserve">  目标3：确保年末城镇调查失业率保持在目标范围内。</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举办大赛花了64.4万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职业技能鉴定补贴人均标准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按规定标准给予补贴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工作经费总金额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=739900元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644000元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省钱办赛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职业培训补贴人均标准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按规定标准给予补贴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享受社会保险补贴人员数量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=260人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291人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符合政策规定的毕业年度高校毕业生享受求职创业补贴比例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享受就业见习补贴人员数量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享受公益性岗位补贴人员数量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=260人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291人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职业培训补贴发放准确率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就业见习补贴发放准确率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社会保险补贴发放准确率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公益性岗位补贴发放准确率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接受职业培训后取得职业资格证书（或职业技能等级证书、专项职业能力证书、培训合格证书）人员的比例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求职创业补贴发放准确率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资金在规定时间内下达率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补贴资金在规定时间内支付到位率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年末高校毕业生总体就业率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保持稳定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93%的就业率不低啦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城镇调查失业率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&lt;5.5%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因就业问题发生重大群体性事件数量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零就业家庭帮扶率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参赛单位满意度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就业扶持政策经办人员满意度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bl>
    <w:p>
      <w:pPr>
        <w:pStyle w:val="10"/>
      </w:pPr>
      <w: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693"/>
        <w:gridCol w:w="2748"/>
        <w:gridCol w:w="1835"/>
        <w:gridCol w:w="1275"/>
        <w:gridCol w:w="1296"/>
        <w:gridCol w:w="1266"/>
        <w:gridCol w:w="916"/>
        <w:gridCol w:w="846"/>
        <w:gridCol w:w="1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拨付许昌市就业创业全域网络覆盖工程市本级第二批建设资金141.0622万元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141.06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141.06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141.06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141.06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目标1：资金按规定用于职业培训补贴、职业技能鉴定补贴、社会保险补贴、公益性岗位补贴、创业补贴、就业见习补贴、求职创业补贴、就业创业服务补助、高技能人才培养补助等支出以及经省级人民政府批准的其他支出项目。 </w:t>
            </w:r>
            <w:r>
              <w:rPr>
                <w:rFonts w:hint="eastAsia" w:ascii="宋体" w:hAnsi="宋体" w:eastAsia="宋体" w:cs="宋体"/>
                <w:i w:val="0"/>
                <w:iCs w:val="0"/>
                <w:color w:val="000000"/>
                <w:kern w:val="0"/>
                <w:sz w:val="21"/>
                <w:szCs w:val="21"/>
                <w:u w:val="none"/>
                <w:lang w:val="en-US" w:eastAsia="zh-CN" w:bidi="en-AU"/>
              </w:rPr>
              <w:br w:type="textWrapping"/>
            </w:r>
            <w:r>
              <w:rPr>
                <w:rFonts w:hint="eastAsia" w:ascii="宋体" w:hAnsi="宋体" w:eastAsia="宋体" w:cs="宋体"/>
                <w:i w:val="0"/>
                <w:iCs w:val="0"/>
                <w:color w:val="000000"/>
                <w:kern w:val="0"/>
                <w:sz w:val="21"/>
                <w:szCs w:val="21"/>
                <w:u w:val="none"/>
                <w:lang w:val="en-US" w:eastAsia="zh-CN" w:bidi="en-AU"/>
              </w:rPr>
              <w:t xml:space="preserve"> 目标2：确保完成年度城镇新增就业目标任务。 </w:t>
            </w:r>
            <w:r>
              <w:rPr>
                <w:rFonts w:hint="eastAsia" w:ascii="宋体" w:hAnsi="宋体" w:eastAsia="宋体" w:cs="宋体"/>
                <w:i w:val="0"/>
                <w:iCs w:val="0"/>
                <w:color w:val="000000"/>
                <w:kern w:val="0"/>
                <w:sz w:val="21"/>
                <w:szCs w:val="21"/>
                <w:u w:val="none"/>
                <w:lang w:val="en-US" w:eastAsia="zh-CN" w:bidi="en-AU"/>
              </w:rPr>
              <w:br w:type="textWrapping"/>
            </w:r>
            <w:r>
              <w:rPr>
                <w:rFonts w:hint="eastAsia" w:ascii="宋体" w:hAnsi="宋体" w:eastAsia="宋体" w:cs="宋体"/>
                <w:i w:val="0"/>
                <w:iCs w:val="0"/>
                <w:color w:val="000000"/>
                <w:kern w:val="0"/>
                <w:sz w:val="21"/>
                <w:szCs w:val="21"/>
                <w:u w:val="none"/>
                <w:lang w:val="en-US" w:eastAsia="zh-CN" w:bidi="en-AU"/>
              </w:rPr>
              <w:t xml:space="preserve"> 目标3：确保年末城镇调查失业率保持在目标范围内。</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实际支出1410622元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建设资金总成本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=1410622元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1410622元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符合政策规定的毕业年度高校毕业生享受求职创业补贴比例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享受公益性岗位补贴人员数量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=260人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291人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享受就业见习补贴人员数量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享受社会保险补贴人员数量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=260人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291人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社会保险补贴发放准确率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求职创业补贴发放准确率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公益性岗位补贴发放准确率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就业见习补贴发放准确率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接受职业培训后取得职业资格证书（或职业技能等级证书、专项职业能力证书、培训合格证书）人员的比例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职业培训补贴发放准确率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资金在规定时间内下达率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补贴资金在规定时间内支付到位率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城镇调查失业率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&lt;5.5%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年末高校毕业生总体就业率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保持稳定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93%的就业率不低啦，要求是90%以上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零就业家庭帮扶率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因就业问题发生重大群体性事件数量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公共就业服务满意度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就业扶持政策经办服务满意度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bl>
    <w:p>
      <w:pPr>
        <w:pStyle w:val="10"/>
      </w:pPr>
      <w: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9"/>
        <w:gridCol w:w="1450"/>
        <w:gridCol w:w="2491"/>
        <w:gridCol w:w="1663"/>
        <w:gridCol w:w="1720"/>
        <w:gridCol w:w="1646"/>
        <w:gridCol w:w="1266"/>
        <w:gridCol w:w="916"/>
        <w:gridCol w:w="846"/>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大学生“三支一扶”招募、慰问及生活和保险补贴经费（上级配套支出）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w:t>
            </w:r>
            <w:r>
              <w:rPr>
                <w:rStyle w:val="16"/>
                <w:sz w:val="21"/>
                <w:szCs w:val="21"/>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资金安排合理科学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资金拨付过程合法合规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资金使用过程规范，无差错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预算绩效管理合规，符合相关要求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根据《河南省“三支一扶”管理办法（试行）》有关规定，按时足额发放“三支一扶”人员补助。按时缴纳“三支一扶”人员社会保险，有计划开展示范培训。</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圆满完成年度总体目标任务，资金使用科学合理，符合相关要求。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“三支一扶”人员生活补贴标准：专科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=2500元/月/人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2500元/月/人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“三支一扶”招募、管理、慰问等工作经费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15.17万元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“三支一扶”人员生活补贴标准：本科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=2600元/月/人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2600元/月/人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“三支一扶”人员生活补贴标准：研究生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=2700元/月/人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2700元/月/人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示范培训人数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工作补贴发放人数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补贴足额发放率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补贴按时发放率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促进高校毕业生就业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补充基层工作人员数量，缓解基层工作压力，促进基层社会发展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“三支一扶”人员满意度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bl>
    <w:p>
      <w:pPr>
        <w:pStyle w:val="10"/>
      </w:pPr>
      <w: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1769"/>
        <w:gridCol w:w="2810"/>
        <w:gridCol w:w="1876"/>
        <w:gridCol w:w="1266"/>
        <w:gridCol w:w="1297"/>
        <w:gridCol w:w="1266"/>
        <w:gridCol w:w="916"/>
        <w:gridCol w:w="846"/>
        <w:gridCol w:w="1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结转2021年及2022年就业补助资金（结转上级资金）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目标1：资金按规定用于职业培训补贴、职业技能鉴定补贴、社会保险补贴、公益性岗位补贴、创业补贴、就业见习补贴、求职创业补贴、吸纳就业补贴、就业创业服务补助、高技能人才培养补助等支出以及经市政府批准的其他支出项目。 </w:t>
            </w:r>
            <w:r>
              <w:rPr>
                <w:rFonts w:hint="eastAsia" w:ascii="宋体" w:hAnsi="宋体" w:eastAsia="宋体" w:cs="宋体"/>
                <w:i w:val="0"/>
                <w:iCs w:val="0"/>
                <w:color w:val="000000"/>
                <w:kern w:val="0"/>
                <w:sz w:val="21"/>
                <w:szCs w:val="21"/>
                <w:u w:val="none"/>
                <w:lang w:val="en-US" w:eastAsia="zh-CN" w:bidi="en-AU"/>
              </w:rPr>
              <w:br w:type="textWrapping"/>
            </w:r>
            <w:r>
              <w:rPr>
                <w:rFonts w:hint="eastAsia" w:ascii="宋体" w:hAnsi="宋体" w:eastAsia="宋体" w:cs="宋体"/>
                <w:i w:val="0"/>
                <w:iCs w:val="0"/>
                <w:color w:val="000000"/>
                <w:kern w:val="0"/>
                <w:sz w:val="21"/>
                <w:szCs w:val="21"/>
                <w:u w:val="none"/>
                <w:lang w:val="en-US" w:eastAsia="zh-CN" w:bidi="en-AU"/>
              </w:rPr>
              <w:t xml:space="preserve">  目标2：确保完成年度城镇新增就业目标任务。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花完了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结转资金总额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=113500元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11.35元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职业培训补贴人均标准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200-6000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享受补贴人数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就业见习补贴发放准确率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职业培训补贴发放准确率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社会保险补贴发放准确率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求职创业补贴发放准确率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公益性岗位补贴发放准确率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接受职业培训后取得职业资格证书（或职业技能等级证书、专项职业能力证书、培训合格证书）人员的比例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资金在规定时间内下达率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补贴资金在规定时间内支付到位率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城镇新增就业人数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年末高校毕业生总体就业率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&gt;90%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城镇调查失业率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&lt;5.5%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失业人员再就业人数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就业困难人员就业人数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因就业问题发生重大群体性事件数量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零就业家庭帮扶率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公共就业服务满意度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就业扶持政策就业满意度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bl>
    <w:p>
      <w:pPr>
        <w:pStyle w:val="10"/>
      </w:pPr>
      <w: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1797"/>
        <w:gridCol w:w="2830"/>
        <w:gridCol w:w="1890"/>
        <w:gridCol w:w="1266"/>
        <w:gridCol w:w="1298"/>
        <w:gridCol w:w="1266"/>
        <w:gridCol w:w="846"/>
        <w:gridCol w:w="846"/>
        <w:gridCol w:w="1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就业补助资金（上级配套支出）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961.13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10.3 %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961.13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10.3 %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目标1：资金按规定用于职业培训补贴、职业技能鉴定补贴、社会保险补贴、公益性岗位补贴、创业补贴、就业见习补贴、求职创业补贴、吸纳就业补贴、就业创业服务补助、高技能人才培养补助等支出以及经市政府批准的其他支出项目。 </w:t>
            </w:r>
            <w:r>
              <w:rPr>
                <w:rFonts w:hint="eastAsia" w:ascii="宋体" w:hAnsi="宋体" w:eastAsia="宋体" w:cs="宋体"/>
                <w:i w:val="0"/>
                <w:iCs w:val="0"/>
                <w:color w:val="000000"/>
                <w:kern w:val="0"/>
                <w:sz w:val="21"/>
                <w:szCs w:val="21"/>
                <w:u w:val="none"/>
                <w:lang w:val="en-US" w:eastAsia="zh-CN" w:bidi="en-AU"/>
              </w:rPr>
              <w:br w:type="textWrapping"/>
            </w:r>
            <w:r>
              <w:rPr>
                <w:rFonts w:hint="eastAsia" w:ascii="宋体" w:hAnsi="宋体" w:eastAsia="宋体" w:cs="宋体"/>
                <w:i w:val="0"/>
                <w:iCs w:val="0"/>
                <w:color w:val="000000"/>
                <w:kern w:val="0"/>
                <w:sz w:val="21"/>
                <w:szCs w:val="21"/>
                <w:u w:val="none"/>
                <w:lang w:val="en-US" w:eastAsia="zh-CN" w:bidi="en-AU"/>
              </w:rPr>
              <w:t>目标2：确保完成年度城镇新增就业目标任务。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2023年开展工作示范创建认定了36个示范项目，给予奖补99万元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职业技能鉴定补贴人均标准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公益性岗位补贴人均标准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职业培训补贴人均标准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200-4000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享受就业见习补贴人员数量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享受公益性岗位补贴人员数量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≥240人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291人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享受社会保险补贴人员数量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≥240人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291人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符合政策规定的毕业年度高校毕业生享受求职创业补贴比例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求职创业补贴发放准确率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公益性岗位补贴发放准确率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社会保险补贴发放准确率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就业见习补贴发放准确率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职业培训补贴发放准确率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接受职业培训后取得职业资格证书（或职业技能等级证书、专项职业能力证书、培训合格证书）人员的比例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补贴资金在规定时间内支付到位率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资金在规定时间内下达率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城镇调查失业率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&lt;5.5%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年末高校毕业生总体就业率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&gt;90%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零就业家庭帮扶率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就业扶持政策经办服务满意度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公共就业服务满意度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bl>
    <w:p>
      <w:pPr>
        <w:pStyle w:val="10"/>
      </w:pPr>
      <w: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9"/>
        <w:gridCol w:w="2679"/>
        <w:gridCol w:w="582"/>
        <w:gridCol w:w="959"/>
        <w:gridCol w:w="959"/>
        <w:gridCol w:w="959"/>
        <w:gridCol w:w="959"/>
        <w:gridCol w:w="970"/>
        <w:gridCol w:w="1163"/>
        <w:gridCol w:w="548"/>
        <w:gridCol w:w="841"/>
        <w:gridCol w:w="2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项目名称</w:t>
            </w:r>
          </w:p>
        </w:tc>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农民工欠薪应急周转金（上级配套支出）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安排科学性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根据上级相关文件要求，用于保障农民工工资应急周转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拨付合规性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未进行拨付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使用规范性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未使用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预算绩效管理情况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年度总体目标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预期目标</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解决因欠薪引起的劳动者临时性生活困难，保障被欠薪劳动者的基本生活，维护社会和谐稳定。</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未动用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二级指标</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应急周转金额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&lt;500万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应急保障人数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没有应急保障欠薪人员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保障被欠薪者基本民生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拨付符合条件被欠薪劳动者资金时间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维护社会稳定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有效维护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享受该项保障劳动者满意度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bl>
    <w:p>
      <w:pPr>
        <w:pStyle w:val="10"/>
      </w:pPr>
      <w: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289"/>
        <w:gridCol w:w="2412"/>
        <w:gridCol w:w="1611"/>
        <w:gridCol w:w="1414"/>
        <w:gridCol w:w="1532"/>
        <w:gridCol w:w="1266"/>
        <w:gridCol w:w="916"/>
        <w:gridCol w:w="805"/>
        <w:gridCol w:w="2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“三支一扶”大学生春节慰问及招募经费（结转本级资金）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资金安排较为科学，充分利用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拨付过程符合相关规定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资金使用规范，符合要求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预算绩效管理规范，过程合规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按照省人社厅下发的《河南省2022年高校毕业生“三支一扶”计划招募方案》（豫人社办函[2022]80号）文件要求，确保圆满完成2022年高校毕业生“三支一扶”计划招募任务。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年度总体目标圆满完成，资金申请和拨付过程合规合法，资金得到合理利用。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“三支一扶”招募、管理、慰问等工作经费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16.24万元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由于疫情封控等现实问题，造成招募工作成本提高，改进措施是挤压成本，控制支出。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2022年“三支一扶”大学生招募工作经费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=132814元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132814元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我市2022年“三支一扶”大学生参加面试人数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=170人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170人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我市2022年“三支一扶”大学生计划招募人数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=55人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55人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我市2022年“三支一扶”大学生通过资格初审参加笔试人数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=3800人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3800人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圆满完成2022年“三支一扶”大学生招募任务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圆满完成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按照省厅统一部署按时完成2022年“三支一扶”大学生招募各项工作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补充基层工作人员数量缓解基层工作压力促进基层社会发展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促进高校毕业生就业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“三支一扶”人员满意度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99.89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bl>
    <w:p>
      <w:pPr>
        <w:pStyle w:val="10"/>
      </w:pPr>
      <w: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0"/>
        <w:gridCol w:w="1767"/>
        <w:gridCol w:w="2866"/>
        <w:gridCol w:w="1914"/>
        <w:gridCol w:w="1273"/>
        <w:gridCol w:w="1289"/>
        <w:gridCol w:w="1266"/>
        <w:gridCol w:w="916"/>
        <w:gridCol w:w="846"/>
        <w:gridCol w:w="1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提前下达2023年高校毕业生“三支一扶”计划中央补助资金（上级提前下达）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资金安排合理，较为科学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资金拨付过程合规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资金使用规范，符合要求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预算绩效管理符合规定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目标任务1：完成年度“三支一扶”中央财政补助名额招募计划，为基层输送一批急需紧缺人才。                                                                                                                目标任务2：开展“三支一扶”人员能力提升专项培训，提升“三支一扶”人员服务基层能力素质。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圆满完成年度总体目标，资金使用过程科学合理，合法合规。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本次下达补助资金金额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=1340000元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1340000元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上年度招募“三支一扶”人员流失率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“三支一扶”人员能力提升专项计划完成率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“三支一扶”中央财政补助名额招募计划完成率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当年度服务期满“三支一扶”人员就业率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完成“三支一扶”人员能力提升专项培训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12月底前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完成“三支一扶”人员招募工作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10月底前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补贴按时发放率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发挥引导高校毕业生到基层就业创业示范引领作用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作用显著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“三支一扶”人员及基层服务单位满意度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bl>
    <w:p>
      <w:pPr>
        <w:pStyle w:val="10"/>
      </w:pPr>
      <w: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6"/>
        <w:gridCol w:w="1141"/>
        <w:gridCol w:w="1141"/>
        <w:gridCol w:w="3546"/>
        <w:gridCol w:w="633"/>
        <w:gridCol w:w="688"/>
        <w:gridCol w:w="688"/>
        <w:gridCol w:w="639"/>
        <w:gridCol w:w="639"/>
        <w:gridCol w:w="633"/>
        <w:gridCol w:w="916"/>
        <w:gridCol w:w="847"/>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提前下达2023年就业补助资金（上级提前下达）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项目资金                (万元)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资金管理情况</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情况说明</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安排科学性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拨付合规性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使用规范性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预算绩效管理情况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预期目标</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目标1：资金按规定用于职业培训补贴、职业技能鉴定补贴、社会保险补贴、公益性岗位补贴、创业补贴、就业见习补贴、求职创业补贴、就业创业服务补助、高技能人才培养补助等支出以及经省级人民政府批准的其他支出项目。 </w:t>
            </w:r>
            <w:r>
              <w:rPr>
                <w:rFonts w:hint="eastAsia" w:ascii="宋体" w:hAnsi="宋体" w:eastAsia="宋体" w:cs="宋体"/>
                <w:i w:val="0"/>
                <w:iCs w:val="0"/>
                <w:color w:val="000000"/>
                <w:kern w:val="0"/>
                <w:sz w:val="21"/>
                <w:szCs w:val="21"/>
                <w:u w:val="none"/>
                <w:lang w:val="en-US" w:eastAsia="zh-CN" w:bidi="en-AU"/>
              </w:rPr>
              <w:br w:type="textWrapping"/>
            </w:r>
            <w:r>
              <w:rPr>
                <w:rFonts w:hint="eastAsia" w:ascii="宋体" w:hAnsi="宋体" w:eastAsia="宋体" w:cs="宋体"/>
                <w:i w:val="0"/>
                <w:iCs w:val="0"/>
                <w:color w:val="000000"/>
                <w:kern w:val="0"/>
                <w:sz w:val="21"/>
                <w:szCs w:val="21"/>
                <w:u w:val="none"/>
                <w:lang w:val="en-US" w:eastAsia="zh-CN" w:bidi="en-AU"/>
              </w:rPr>
              <w:t xml:space="preserve">  目标2：确保完成年度城镇新增就业目标任务。 </w:t>
            </w:r>
            <w:r>
              <w:rPr>
                <w:rFonts w:hint="eastAsia" w:ascii="宋体" w:hAnsi="宋体" w:eastAsia="宋体" w:cs="宋体"/>
                <w:i w:val="0"/>
                <w:iCs w:val="0"/>
                <w:color w:val="000000"/>
                <w:kern w:val="0"/>
                <w:sz w:val="21"/>
                <w:szCs w:val="21"/>
                <w:u w:val="none"/>
                <w:lang w:val="en-US" w:eastAsia="zh-CN" w:bidi="en-AU"/>
              </w:rPr>
              <w:br w:type="textWrapping"/>
            </w:r>
            <w:r>
              <w:rPr>
                <w:rFonts w:hint="eastAsia" w:ascii="宋体" w:hAnsi="宋体" w:eastAsia="宋体" w:cs="宋体"/>
                <w:i w:val="0"/>
                <w:iCs w:val="0"/>
                <w:color w:val="000000"/>
                <w:kern w:val="0"/>
                <w:sz w:val="21"/>
                <w:szCs w:val="21"/>
                <w:u w:val="none"/>
                <w:lang w:val="en-US" w:eastAsia="zh-CN" w:bidi="en-AU"/>
              </w:rPr>
              <w:t xml:space="preserve">  目标3：确保年末城镇调查失业率保持在目标范围内。</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全市城镇新增就业5.43万人，就业补助资金支出2787.23万元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二级指标</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年度指标值</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职业技能鉴定补贴人均标准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按规定标准给予补贴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公益性岗位补贴人均标准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原则上不高于当地最低工资标准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职业培训补贴人均标准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按规定标准给予补贴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符合政策规定的毕业年度高校毕业生享受求职创业补贴比例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就业见习补贴发放准确率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接受职业培训后取得职业资格证书（或职业技能等级证书、专项职业能力证书、培训合格证书）人员的比例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职业培训补贴发放准确率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公益性岗位补贴发放准确率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求职创业补贴发放准确率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社会保险补贴发放准确率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补贴资金在规定时间内支付到位率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资金在规定时间内下达率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年末高校毕业生总体就业率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保持稳定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就业率目标是90%以上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城镇调查失业率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&lt;5.5%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零就业家庭帮扶率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就业扶持政策经办服务满意度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公共就业服务满意度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99.44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bl>
    <w:p>
      <w:pPr>
        <w:pStyle w:val="10"/>
      </w:pPr>
      <w: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4"/>
        <w:gridCol w:w="1626"/>
        <w:gridCol w:w="1626"/>
        <w:gridCol w:w="1264"/>
        <w:gridCol w:w="739"/>
        <w:gridCol w:w="1273"/>
        <w:gridCol w:w="1287"/>
        <w:gridCol w:w="1266"/>
        <w:gridCol w:w="689"/>
        <w:gridCol w:w="714"/>
        <w:gridCol w:w="2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提前下达2023年就业补助资金（上级提前下达）1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项目资金                (万元)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297.72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96.74 %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297.72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96.74 %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资金管理情况</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预期目标</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目标1：资金按规定用于职业培训补贴、职业技能鉴定补贴、社会保险补贴、公益性岗位补贴、创业补贴、就业见习补贴、求职创业补贴、就业创业服务补助、高技能人才培养补助等支出以及经省级人民政府批准的其他支出项目。 </w:t>
            </w:r>
            <w:r>
              <w:rPr>
                <w:rFonts w:hint="eastAsia" w:ascii="宋体" w:hAnsi="宋体" w:eastAsia="宋体" w:cs="宋体"/>
                <w:i w:val="0"/>
                <w:iCs w:val="0"/>
                <w:color w:val="000000"/>
                <w:kern w:val="0"/>
                <w:sz w:val="21"/>
                <w:szCs w:val="21"/>
                <w:u w:val="none"/>
                <w:lang w:val="en-US" w:eastAsia="zh-CN" w:bidi="en-AU"/>
              </w:rPr>
              <w:br w:type="textWrapping"/>
            </w:r>
            <w:r>
              <w:rPr>
                <w:rFonts w:hint="eastAsia" w:ascii="宋体" w:hAnsi="宋体" w:eastAsia="宋体" w:cs="宋体"/>
                <w:i w:val="0"/>
                <w:iCs w:val="0"/>
                <w:color w:val="000000"/>
                <w:kern w:val="0"/>
                <w:sz w:val="21"/>
                <w:szCs w:val="21"/>
                <w:u w:val="none"/>
                <w:lang w:val="en-US" w:eastAsia="zh-CN" w:bidi="en-AU"/>
              </w:rPr>
              <w:t xml:space="preserve">  目标2：确保完成年度城镇新增就业目标任务。 </w:t>
            </w:r>
            <w:r>
              <w:rPr>
                <w:rFonts w:hint="eastAsia" w:ascii="宋体" w:hAnsi="宋体" w:eastAsia="宋体" w:cs="宋体"/>
                <w:i w:val="0"/>
                <w:iCs w:val="0"/>
                <w:color w:val="000000"/>
                <w:kern w:val="0"/>
                <w:sz w:val="21"/>
                <w:szCs w:val="21"/>
                <w:u w:val="none"/>
                <w:lang w:val="en-US" w:eastAsia="zh-CN" w:bidi="en-AU"/>
              </w:rPr>
              <w:br w:type="textWrapping"/>
            </w:r>
            <w:r>
              <w:rPr>
                <w:rFonts w:hint="eastAsia" w:ascii="宋体" w:hAnsi="宋体" w:eastAsia="宋体" w:cs="宋体"/>
                <w:i w:val="0"/>
                <w:iCs w:val="0"/>
                <w:color w:val="000000"/>
                <w:kern w:val="0"/>
                <w:sz w:val="21"/>
                <w:szCs w:val="21"/>
                <w:u w:val="none"/>
                <w:lang w:val="en-US" w:eastAsia="zh-CN" w:bidi="en-AU"/>
              </w:rPr>
              <w:t xml:space="preserve">  目标3：确保年末城镇调查失业率保持在目标范围内。</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城镇新增就业5.43万人，城镇调查失业率控制在5.3%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职业培训补贴人均标准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200-6000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拨付补助资金总额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=2880000元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2880000元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职业技能鉴定补贴人均标准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按规定标准给予补贴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符合政策规定的毕业年度高校毕业生享受求职创业补贴比例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享受就业见习补贴人员数量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享受社会保险补贴人员数量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=260人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291人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享受公益性岗位补贴人员数量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=260人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291人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公益性岗位补贴发放准确率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求职创业补贴发放准确率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接受职业培训后取得职业资格证书（或职业技能等级证书、专项职业能力证书、培训合格证书）人员的比例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职业培训补贴发放准确率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社会保险补贴发放准确率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就业见习补贴发放准确率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资金在规定时间内下达率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补贴资金在规定时间内支付到位率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年末高校毕业生总体就业率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保持稳定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高校毕业生就业率目标是90%以上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城镇调查失业率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因就业问题发生重大群体性事件数量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零就业家庭帮扶率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公共就业服务满意度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就业扶持政策经办服务满意度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bl>
    <w:p>
      <w:pPr>
        <w:pStyle w:val="10"/>
      </w:pPr>
      <w: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9"/>
        <w:gridCol w:w="1158"/>
        <w:gridCol w:w="1158"/>
        <w:gridCol w:w="3598"/>
        <w:gridCol w:w="1270"/>
        <w:gridCol w:w="1266"/>
        <w:gridCol w:w="633"/>
        <w:gridCol w:w="633"/>
        <w:gridCol w:w="916"/>
        <w:gridCol w:w="846"/>
        <w:gridCol w:w="1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提前下达2023年就业补助资金（上级提前下达）2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许昌市人力资源和社会保障局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项目资金                (万元)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资金管理情况</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情况说明</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预期目标</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 xml:space="preserve">目标1：资金按规定用于职业培训补贴、职业技能鉴定补贴、社会保险补贴、公益性岗位补贴、创业补贴、就业见习补贴、求职创业补贴、就业创业服务补助、高技能人才培养补助等支出以及经省级人民政府批准的其他支出项目。 </w:t>
            </w:r>
            <w:r>
              <w:rPr>
                <w:rFonts w:hint="eastAsia" w:ascii="宋体" w:hAnsi="宋体" w:eastAsia="宋体" w:cs="宋体"/>
                <w:i w:val="0"/>
                <w:iCs w:val="0"/>
                <w:color w:val="000000"/>
                <w:kern w:val="0"/>
                <w:sz w:val="21"/>
                <w:szCs w:val="21"/>
                <w:u w:val="none"/>
                <w:lang w:val="en-US" w:eastAsia="zh-CN" w:bidi="en-AU"/>
              </w:rPr>
              <w:br w:type="textWrapping"/>
            </w:r>
            <w:r>
              <w:rPr>
                <w:rFonts w:hint="eastAsia" w:ascii="宋体" w:hAnsi="宋体" w:eastAsia="宋体" w:cs="宋体"/>
                <w:i w:val="0"/>
                <w:iCs w:val="0"/>
                <w:color w:val="000000"/>
                <w:kern w:val="0"/>
                <w:sz w:val="21"/>
                <w:szCs w:val="21"/>
                <w:u w:val="none"/>
                <w:lang w:val="en-US" w:eastAsia="zh-CN" w:bidi="en-AU"/>
              </w:rPr>
              <w:t xml:space="preserve">  目标2：确保完成年度城镇新增就业目标任务。 </w:t>
            </w:r>
            <w:r>
              <w:rPr>
                <w:rFonts w:hint="eastAsia" w:ascii="宋体" w:hAnsi="宋体" w:eastAsia="宋体" w:cs="宋体"/>
                <w:i w:val="0"/>
                <w:iCs w:val="0"/>
                <w:color w:val="000000"/>
                <w:kern w:val="0"/>
                <w:sz w:val="21"/>
                <w:szCs w:val="21"/>
                <w:u w:val="none"/>
                <w:lang w:val="en-US" w:eastAsia="zh-CN" w:bidi="en-AU"/>
              </w:rPr>
              <w:br w:type="textWrapping"/>
            </w:r>
            <w:r>
              <w:rPr>
                <w:rFonts w:hint="eastAsia" w:ascii="宋体" w:hAnsi="宋体" w:eastAsia="宋体" w:cs="宋体"/>
                <w:i w:val="0"/>
                <w:iCs w:val="0"/>
                <w:color w:val="000000"/>
                <w:kern w:val="0"/>
                <w:sz w:val="21"/>
                <w:szCs w:val="21"/>
                <w:u w:val="none"/>
                <w:lang w:val="en-US" w:eastAsia="zh-CN" w:bidi="en-AU"/>
              </w:rPr>
              <w:t xml:space="preserve">  目标3：确保年末城镇调查失业率保持在目标范围内。</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城镇新增就业5.43万人，就业补助资金支出2787万元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年度指标值</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下达资金总额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=2160000元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2160000元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职业培训补贴人均标准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200-6000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享受公益性岗位补贴人员数量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=260人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291人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符合政策规定的毕业年度高校毕业生享受求职创业补贴比例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享受就业见习补贴人员数量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享受社会保险补贴人员数量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=260人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291人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就业见习补贴发放准确率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接受职业培训后取得职业资格证书（或职业技能等级证书、专项职业能力证书、培训合格证书）人员的比例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社会保险补贴发放准确率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职业培训补贴发放准确率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公益性岗位补贴发放准确率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求职创业补贴发放准确率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补贴资金在规定时间内支付到位率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资金在规定时间内下达率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城镇调查失业率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&lt;5.5%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年末高校毕业生总体就业率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保持稳定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就业率控制目标是90%以上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因就业问题发生重大群体性事件数量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零就业家庭帮扶率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公共就业问题满意度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就业扶持政策经办人员满意度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en-AU"/>
              </w:rPr>
              <w:t>99.65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1"/>
                <w:szCs w:val="21"/>
                <w:u w:val="none"/>
              </w:rPr>
            </w:pPr>
          </w:p>
        </w:tc>
      </w:tr>
    </w:tbl>
    <w:p>
      <w:pPr>
        <w:pStyle w:val="10"/>
        <w:sectPr>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4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5dblS0AAAAAUBAAAPAAAAAAAA&#10;AAEAIAAAADgAAABkcnMvZG93bnJldi54bWxQSwECFAAUAAAACACHTuJAQvUi9AQCAAAMBAAADgAA&#10;AAAAAAABACAAAAA1AQAAZHJzL2Uyb0RvYy54bWxQSwUGAAAAAAYABgBZAQAAq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78812"/>
    <w:multiLevelType w:val="multilevel"/>
    <w:tmpl w:val="9D778812"/>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DFFD105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88a41722-09b6-4fc6-b8fa-9e0ab53e4979"/>
    <w:qFormat/>
    <w:uiPriority w:val="0"/>
    <w:pPr>
      <w:widowControl w:val="0"/>
      <w:jc w:val="both"/>
    </w:pPr>
    <w:rPr>
      <w:rFonts w:ascii="Calibri" w:hAnsi="Calibri" w:eastAsia="宋体" w:cs="Times New Roman"/>
      <w:kern w:val="2"/>
      <w:sz w:val="21"/>
      <w:szCs w:val="24"/>
      <w:lang w:val="en-US" w:eastAsia="zh-CN" w:bidi="ar-SA"/>
    </w:rPr>
  </w:style>
  <w:style w:type="character" w:customStyle="1" w:styleId="11">
    <w:name w:val="默认段落字体1"/>
    <w:semiHidden/>
    <w:qFormat/>
    <w:uiPriority w:val="0"/>
  </w:style>
  <w:style w:type="character" w:customStyle="1" w:styleId="12">
    <w:name w:val="font21"/>
    <w:basedOn w:val="11"/>
    <w:qFormat/>
    <w:uiPriority w:val="0"/>
    <w:rPr>
      <w:rFonts w:hint="eastAsia" w:ascii="宋体" w:hAnsi="宋体" w:eastAsia="宋体" w:cs="宋体"/>
      <w:color w:val="000000"/>
      <w:sz w:val="24"/>
      <w:szCs w:val="24"/>
      <w:u w:val="none"/>
    </w:rPr>
  </w:style>
  <w:style w:type="character" w:customStyle="1" w:styleId="13">
    <w:name w:val="font11"/>
    <w:basedOn w:val="11"/>
    <w:qFormat/>
    <w:uiPriority w:val="0"/>
    <w:rPr>
      <w:rFonts w:hint="eastAsia" w:ascii="宋体" w:hAnsi="宋体" w:eastAsia="宋体" w:cs="宋体"/>
      <w:color w:val="000000"/>
      <w:sz w:val="24"/>
      <w:szCs w:val="24"/>
      <w:u w:val="none"/>
    </w:rPr>
  </w:style>
  <w:style w:type="table" w:customStyle="1" w:styleId="14">
    <w:name w:val="普通表格1"/>
    <w:semiHidden/>
    <w:qFormat/>
    <w:uiPriority w:val="0"/>
    <w:tblPr>
      <w:tblCellMar>
        <w:top w:w="0" w:type="dxa"/>
        <w:left w:w="108" w:type="dxa"/>
        <w:bottom w:w="0" w:type="dxa"/>
        <w:right w:w="108" w:type="dxa"/>
      </w:tblCellMar>
    </w:tblPr>
  </w:style>
  <w:style w:type="character" w:customStyle="1" w:styleId="15">
    <w:name w:val="font31"/>
    <w:basedOn w:val="11"/>
    <w:qFormat/>
    <w:uiPriority w:val="0"/>
    <w:rPr>
      <w:rFonts w:hint="eastAsia" w:ascii="宋体" w:hAnsi="宋体" w:eastAsia="宋体" w:cs="宋体"/>
      <w:color w:val="000000"/>
      <w:sz w:val="24"/>
      <w:szCs w:val="24"/>
      <w:u w:val="none"/>
    </w:rPr>
  </w:style>
  <w:style w:type="character" w:customStyle="1" w:styleId="16">
    <w:name w:val="font0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2024-10-09T15:07:45Z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DF94CE1DC53D4C5F990C8EECCB3F5EB2_13</vt:lpwstr>
  </property>
</Properties>
</file>