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许昌市交通运输综合行政执法支队</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许昌市交通运输综合行政执法支队</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许昌市交通运输综合行政执法支队概况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1.根据交通运输管理法律法规，指导、监督全市道路交通运输执法工作；</w:t>
        <w:br/>
        <w:t xml:space="preserve">    2.具体承担市区（含魏都区、建安区、东城区、经济技术开发区、市城乡一体化示范区）范围内交通运输综合行政执法和市域内高速公路综合执法工作；</w:t>
        <w:br/>
        <w:t xml:space="preserve">    3.负责市区货运源头治超工作；</w:t>
        <w:br/>
        <w:t xml:space="preserve">    4.组织协调跨区域执法和重大案件的查处工作。</w:t>
        <w:br/>
        <w:t xml:space="preserve">    5.依法履行法律、法规、规章赋予的其他职责，完成局机关交办的其他任务。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许昌市交通运输综合行政执法支队</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党建人事科、法规科、高速执法一大队、高速执法二大队、货运执法大队、客运执法大队、路域环境和海事执法大队、工程质量监督和维修驾培执法大队、轨道交通执法大队、执法管理大队、案件处理大队、科教信息大队</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许昌市交通运输综合行政执法支队</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1.许昌市交通运输综合行政执法大队</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1,699.25</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7.25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173.11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39.28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1,404.76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74.84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1,699.25</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1,699.25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1,699.25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1,699.25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1,699.25</w:t>
            </w:r>
          </w:p>
        </w:tc>
        <w:tc>
          <w:tcPr>
            <w:tcW w:w="1440" w:type="dxa"/>
            <w:tcBorders/>
            <w:vAlign w:val="center"/>
          </w:tcPr>
          <w:p>
            <w:pPr>
              <w:jc w:val="right"/>
            </w:pPr>
            <w:r>
              <w:rPr>
                <w:rFonts w:ascii="宋体" w:eastAsia="宋体" w:hAnsi="宋体" w:cs="宋体"/>
                <w:b/>
                <w:i w:val="0"/>
                <w:color w:val="000000"/>
                <w:sz w:val="17"/>
              </w:rPr>
              <w:t xml:space="preserve">1,699.25</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7.25</w:t>
            </w:r>
          </w:p>
        </w:tc>
        <w:tc>
          <w:tcPr>
            <w:tcW w:w="1440" w:type="dxa"/>
            <w:tcBorders/>
            <w:vAlign w:val="center"/>
          </w:tcPr>
          <w:p>
            <w:pPr>
              <w:jc w:val="right"/>
            </w:pPr>
            <w:r>
              <w:rPr>
                <w:rFonts w:ascii="宋体" w:eastAsia="宋体" w:hAnsi="宋体" w:cs="宋体"/>
                <w:b w:val="0"/>
                <w:i w:val="0"/>
                <w:color w:val="000000"/>
                <w:sz w:val="17"/>
              </w:rPr>
              <w:t xml:space="preserve">7.25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7.25</w:t>
            </w:r>
          </w:p>
        </w:tc>
        <w:tc>
          <w:tcPr>
            <w:tcW w:w="1440" w:type="dxa"/>
            <w:tcBorders/>
            <w:vAlign w:val="center"/>
          </w:tcPr>
          <w:p>
            <w:pPr>
              <w:jc w:val="right"/>
            </w:pPr>
            <w:r>
              <w:rPr>
                <w:rFonts w:ascii="宋体" w:eastAsia="宋体" w:hAnsi="宋体" w:cs="宋体"/>
                <w:b w:val="0"/>
                <w:i w:val="0"/>
                <w:color w:val="000000"/>
                <w:sz w:val="17"/>
              </w:rPr>
              <w:t xml:space="preserve">7.25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7.25</w:t>
            </w:r>
          </w:p>
        </w:tc>
        <w:tc>
          <w:tcPr>
            <w:tcW w:w="1440" w:type="dxa"/>
            <w:tcBorders/>
            <w:vAlign w:val="center"/>
          </w:tcPr>
          <w:p>
            <w:pPr>
              <w:jc w:val="right"/>
            </w:pPr>
            <w:r>
              <w:rPr>
                <w:rFonts w:ascii="宋体" w:eastAsia="宋体" w:hAnsi="宋体" w:cs="宋体"/>
                <w:b w:val="0"/>
                <w:i w:val="0"/>
                <w:color w:val="000000"/>
                <w:sz w:val="17"/>
              </w:rPr>
              <w:t xml:space="preserve">7.25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173.11</w:t>
            </w:r>
          </w:p>
        </w:tc>
        <w:tc>
          <w:tcPr>
            <w:tcW w:w="1440" w:type="dxa"/>
            <w:tcBorders/>
            <w:vAlign w:val="center"/>
          </w:tcPr>
          <w:p>
            <w:pPr>
              <w:jc w:val="right"/>
            </w:pPr>
            <w:r>
              <w:rPr>
                <w:rFonts w:ascii="宋体" w:eastAsia="宋体" w:hAnsi="宋体" w:cs="宋体"/>
                <w:b w:val="0"/>
                <w:i w:val="0"/>
                <w:color w:val="000000"/>
                <w:sz w:val="17"/>
              </w:rPr>
              <w:t xml:space="preserve">173.11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173.11</w:t>
            </w:r>
          </w:p>
        </w:tc>
        <w:tc>
          <w:tcPr>
            <w:tcW w:w="1440" w:type="dxa"/>
            <w:tcBorders/>
            <w:vAlign w:val="center"/>
          </w:tcPr>
          <w:p>
            <w:pPr>
              <w:jc w:val="right"/>
            </w:pPr>
            <w:r>
              <w:rPr>
                <w:rFonts w:ascii="宋体" w:eastAsia="宋体" w:hAnsi="宋体" w:cs="宋体"/>
                <w:b w:val="0"/>
                <w:i w:val="0"/>
                <w:color w:val="000000"/>
                <w:sz w:val="17"/>
              </w:rPr>
              <w:t xml:space="preserve">173.11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88.06</w:t>
            </w:r>
          </w:p>
        </w:tc>
        <w:tc>
          <w:tcPr>
            <w:tcW w:w="1440" w:type="dxa"/>
            <w:tcBorders/>
            <w:vAlign w:val="center"/>
          </w:tcPr>
          <w:p>
            <w:pPr>
              <w:jc w:val="right"/>
            </w:pPr>
            <w:r>
              <w:rPr>
                <w:rFonts w:ascii="宋体" w:eastAsia="宋体" w:hAnsi="宋体" w:cs="宋体"/>
                <w:b w:val="0"/>
                <w:i w:val="0"/>
                <w:color w:val="000000"/>
                <w:sz w:val="17"/>
              </w:rPr>
              <w:t xml:space="preserve">88.06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85.06</w:t>
            </w:r>
          </w:p>
        </w:tc>
        <w:tc>
          <w:tcPr>
            <w:tcW w:w="1440" w:type="dxa"/>
            <w:tcBorders/>
            <w:vAlign w:val="center"/>
          </w:tcPr>
          <w:p>
            <w:pPr>
              <w:jc w:val="right"/>
            </w:pPr>
            <w:r>
              <w:rPr>
                <w:rFonts w:ascii="宋体" w:eastAsia="宋体" w:hAnsi="宋体" w:cs="宋体"/>
                <w:b w:val="0"/>
                <w:i w:val="0"/>
                <w:color w:val="000000"/>
                <w:sz w:val="17"/>
              </w:rPr>
              <w:t xml:space="preserve">85.06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39.28</w:t>
            </w:r>
          </w:p>
        </w:tc>
        <w:tc>
          <w:tcPr>
            <w:tcW w:w="1440" w:type="dxa"/>
            <w:tcBorders/>
            <w:vAlign w:val="center"/>
          </w:tcPr>
          <w:p>
            <w:pPr>
              <w:jc w:val="right"/>
            </w:pPr>
            <w:r>
              <w:rPr>
                <w:rFonts w:ascii="宋体" w:eastAsia="宋体" w:hAnsi="宋体" w:cs="宋体"/>
                <w:b w:val="0"/>
                <w:i w:val="0"/>
                <w:color w:val="000000"/>
                <w:sz w:val="17"/>
              </w:rPr>
              <w:t xml:space="preserve">39.28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39.28</w:t>
            </w:r>
          </w:p>
        </w:tc>
        <w:tc>
          <w:tcPr>
            <w:tcW w:w="1440" w:type="dxa"/>
            <w:tcBorders/>
            <w:vAlign w:val="center"/>
          </w:tcPr>
          <w:p>
            <w:pPr>
              <w:jc w:val="right"/>
            </w:pPr>
            <w:r>
              <w:rPr>
                <w:rFonts w:ascii="宋体" w:eastAsia="宋体" w:hAnsi="宋体" w:cs="宋体"/>
                <w:b w:val="0"/>
                <w:i w:val="0"/>
                <w:color w:val="000000"/>
                <w:sz w:val="17"/>
              </w:rPr>
              <w:t xml:space="preserve">39.28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39.28</w:t>
            </w:r>
          </w:p>
        </w:tc>
        <w:tc>
          <w:tcPr>
            <w:tcW w:w="1440" w:type="dxa"/>
            <w:tcBorders/>
            <w:vAlign w:val="center"/>
          </w:tcPr>
          <w:p>
            <w:pPr>
              <w:jc w:val="right"/>
            </w:pPr>
            <w:r>
              <w:rPr>
                <w:rFonts w:ascii="宋体" w:eastAsia="宋体" w:hAnsi="宋体" w:cs="宋体"/>
                <w:b w:val="0"/>
                <w:i w:val="0"/>
                <w:color w:val="000000"/>
                <w:sz w:val="17"/>
              </w:rPr>
              <w:t xml:space="preserve">39.28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1,404.76</w:t>
            </w:r>
          </w:p>
        </w:tc>
        <w:tc>
          <w:tcPr>
            <w:tcW w:w="1440" w:type="dxa"/>
            <w:tcBorders/>
            <w:vAlign w:val="center"/>
          </w:tcPr>
          <w:p>
            <w:pPr>
              <w:jc w:val="right"/>
            </w:pPr>
            <w:r>
              <w:rPr>
                <w:rFonts w:ascii="宋体" w:eastAsia="宋体" w:hAnsi="宋体" w:cs="宋体"/>
                <w:b w:val="0"/>
                <w:i w:val="0"/>
                <w:color w:val="000000"/>
                <w:sz w:val="17"/>
              </w:rPr>
              <w:t xml:space="preserve">1,404.76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1,302.95</w:t>
            </w:r>
          </w:p>
        </w:tc>
        <w:tc>
          <w:tcPr>
            <w:tcW w:w="1440" w:type="dxa"/>
            <w:tcBorders/>
            <w:vAlign w:val="center"/>
          </w:tcPr>
          <w:p>
            <w:pPr>
              <w:jc w:val="right"/>
            </w:pPr>
            <w:r>
              <w:rPr>
                <w:rFonts w:ascii="宋体" w:eastAsia="宋体" w:hAnsi="宋体" w:cs="宋体"/>
                <w:b w:val="0"/>
                <w:i w:val="0"/>
                <w:color w:val="000000"/>
                <w:sz w:val="17"/>
              </w:rPr>
              <w:t xml:space="preserve">1,302.95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其他公路水路运输支出</w:t>
            </w:r>
          </w:p>
        </w:tc>
        <w:tc>
          <w:tcPr>
            <w:tcW w:w="1440" w:type="dxa"/>
            <w:tcBorders/>
            <w:vAlign w:val="center"/>
          </w:tcPr>
          <w:p>
            <w:pPr>
              <w:jc w:val="right"/>
            </w:pPr>
            <w:r>
              <w:rPr>
                <w:rFonts w:ascii="宋体" w:eastAsia="宋体" w:hAnsi="宋体" w:cs="宋体"/>
                <w:b w:val="0"/>
                <w:i w:val="0"/>
                <w:color w:val="000000"/>
                <w:sz w:val="17"/>
              </w:rPr>
              <w:t xml:space="preserve">1,302.95</w:t>
            </w:r>
          </w:p>
        </w:tc>
        <w:tc>
          <w:tcPr>
            <w:tcW w:w="1440" w:type="dxa"/>
            <w:tcBorders/>
            <w:vAlign w:val="center"/>
          </w:tcPr>
          <w:p>
            <w:pPr>
              <w:jc w:val="right"/>
            </w:pPr>
            <w:r>
              <w:rPr>
                <w:rFonts w:ascii="宋体" w:eastAsia="宋体" w:hAnsi="宋体" w:cs="宋体"/>
                <w:b w:val="0"/>
                <w:i w:val="0"/>
                <w:color w:val="000000"/>
                <w:sz w:val="17"/>
              </w:rPr>
              <w:t xml:space="preserve">1,302.95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101.81</w:t>
            </w:r>
          </w:p>
        </w:tc>
        <w:tc>
          <w:tcPr>
            <w:tcW w:w="1440" w:type="dxa"/>
            <w:tcBorders/>
            <w:vAlign w:val="center"/>
          </w:tcPr>
          <w:p>
            <w:pPr>
              <w:jc w:val="right"/>
            </w:pPr>
            <w:r>
              <w:rPr>
                <w:rFonts w:ascii="宋体" w:eastAsia="宋体" w:hAnsi="宋体" w:cs="宋体"/>
                <w:b w:val="0"/>
                <w:i w:val="0"/>
                <w:color w:val="000000"/>
                <w:sz w:val="17"/>
              </w:rPr>
              <w:t xml:space="preserve">101.81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101.81</w:t>
            </w:r>
          </w:p>
        </w:tc>
        <w:tc>
          <w:tcPr>
            <w:tcW w:w="1440" w:type="dxa"/>
            <w:tcBorders/>
            <w:vAlign w:val="center"/>
          </w:tcPr>
          <w:p>
            <w:pPr>
              <w:jc w:val="right"/>
            </w:pPr>
            <w:r>
              <w:rPr>
                <w:rFonts w:ascii="宋体" w:eastAsia="宋体" w:hAnsi="宋体" w:cs="宋体"/>
                <w:b w:val="0"/>
                <w:i w:val="0"/>
                <w:color w:val="000000"/>
                <w:sz w:val="17"/>
              </w:rPr>
              <w:t xml:space="preserve">101.81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74.84</w:t>
            </w:r>
          </w:p>
        </w:tc>
        <w:tc>
          <w:tcPr>
            <w:tcW w:w="1440" w:type="dxa"/>
            <w:tcBorders/>
            <w:vAlign w:val="center"/>
          </w:tcPr>
          <w:p>
            <w:pPr>
              <w:jc w:val="right"/>
            </w:pPr>
            <w:r>
              <w:rPr>
                <w:rFonts w:ascii="宋体" w:eastAsia="宋体" w:hAnsi="宋体" w:cs="宋体"/>
                <w:b w:val="0"/>
                <w:i w:val="0"/>
                <w:color w:val="000000"/>
                <w:sz w:val="17"/>
              </w:rPr>
              <w:t xml:space="preserve">74.84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74.84</w:t>
            </w:r>
          </w:p>
        </w:tc>
        <w:tc>
          <w:tcPr>
            <w:tcW w:w="1440" w:type="dxa"/>
            <w:tcBorders/>
            <w:vAlign w:val="center"/>
          </w:tcPr>
          <w:p>
            <w:pPr>
              <w:jc w:val="right"/>
            </w:pPr>
            <w:r>
              <w:rPr>
                <w:rFonts w:ascii="宋体" w:eastAsia="宋体" w:hAnsi="宋体" w:cs="宋体"/>
                <w:b w:val="0"/>
                <w:i w:val="0"/>
                <w:color w:val="000000"/>
                <w:sz w:val="17"/>
              </w:rPr>
              <w:t xml:space="preserve">74.84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74.84</w:t>
            </w:r>
          </w:p>
        </w:tc>
        <w:tc>
          <w:tcPr>
            <w:tcW w:w="1440" w:type="dxa"/>
            <w:tcBorders/>
            <w:vAlign w:val="center"/>
          </w:tcPr>
          <w:p>
            <w:pPr>
              <w:jc w:val="right"/>
            </w:pPr>
            <w:r>
              <w:rPr>
                <w:rFonts w:ascii="宋体" w:eastAsia="宋体" w:hAnsi="宋体" w:cs="宋体"/>
                <w:b w:val="0"/>
                <w:i w:val="0"/>
                <w:color w:val="000000"/>
                <w:sz w:val="17"/>
              </w:rPr>
              <w:t xml:space="preserve">74.84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1,699.25</w:t>
            </w:r>
          </w:p>
        </w:tc>
        <w:tc>
          <w:tcPr>
            <w:tcW w:w="1600" w:type="dxa"/>
            <w:tcBorders/>
            <w:vAlign w:val="center"/>
          </w:tcPr>
          <w:p>
            <w:pPr>
              <w:jc w:val="right"/>
            </w:pPr>
            <w:r>
              <w:rPr>
                <w:rFonts w:ascii="宋体" w:eastAsia="宋体" w:hAnsi="宋体" w:cs="宋体"/>
                <w:b/>
                <w:i w:val="0"/>
                <w:color w:val="000000"/>
                <w:sz w:val="19"/>
              </w:rPr>
              <w:t xml:space="preserve">1,454.97</w:t>
            </w:r>
          </w:p>
        </w:tc>
        <w:tc>
          <w:tcPr>
            <w:tcW w:w="1600" w:type="dxa"/>
            <w:tcBorders/>
            <w:vAlign w:val="center"/>
          </w:tcPr>
          <w:p>
            <w:pPr>
              <w:jc w:val="right"/>
            </w:pPr>
            <w:r>
              <w:rPr>
                <w:rFonts w:ascii="宋体" w:eastAsia="宋体" w:hAnsi="宋体" w:cs="宋体"/>
                <w:b/>
                <w:i w:val="0"/>
                <w:color w:val="000000"/>
                <w:sz w:val="19"/>
              </w:rPr>
              <w:t xml:space="preserve">244.28</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7.25</w:t>
            </w:r>
          </w:p>
        </w:tc>
        <w:tc>
          <w:tcPr>
            <w:tcW w:w="1600" w:type="dxa"/>
            <w:tcBorders/>
            <w:vAlign w:val="center"/>
          </w:tcPr>
          <w:p>
            <w:pPr>
              <w:jc w:val="right"/>
            </w:pPr>
            <w:r>
              <w:rPr>
                <w:rFonts w:ascii="宋体" w:eastAsia="宋体" w:hAnsi="宋体" w:cs="宋体"/>
                <w:b w:val="0"/>
                <w:i w:val="0"/>
                <w:color w:val="000000"/>
                <w:sz w:val="19"/>
              </w:rPr>
              <w:t xml:space="preserve">7.25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7.25</w:t>
            </w:r>
          </w:p>
        </w:tc>
        <w:tc>
          <w:tcPr>
            <w:tcW w:w="1600" w:type="dxa"/>
            <w:tcBorders/>
            <w:vAlign w:val="center"/>
          </w:tcPr>
          <w:p>
            <w:pPr>
              <w:jc w:val="right"/>
            </w:pPr>
            <w:r>
              <w:rPr>
                <w:rFonts w:ascii="宋体" w:eastAsia="宋体" w:hAnsi="宋体" w:cs="宋体"/>
                <w:b w:val="0"/>
                <w:i w:val="0"/>
                <w:color w:val="000000"/>
                <w:sz w:val="19"/>
              </w:rPr>
              <w:t xml:space="preserve">7.25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7.25</w:t>
            </w:r>
          </w:p>
        </w:tc>
        <w:tc>
          <w:tcPr>
            <w:tcW w:w="1600" w:type="dxa"/>
            <w:tcBorders/>
            <w:vAlign w:val="center"/>
          </w:tcPr>
          <w:p>
            <w:pPr>
              <w:jc w:val="right"/>
            </w:pPr>
            <w:r>
              <w:rPr>
                <w:rFonts w:ascii="宋体" w:eastAsia="宋体" w:hAnsi="宋体" w:cs="宋体"/>
                <w:b w:val="0"/>
                <w:i w:val="0"/>
                <w:color w:val="000000"/>
                <w:sz w:val="19"/>
              </w:rPr>
              <w:t xml:space="preserve">7.25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173.11</w:t>
            </w:r>
          </w:p>
        </w:tc>
        <w:tc>
          <w:tcPr>
            <w:tcW w:w="1600" w:type="dxa"/>
            <w:tcBorders/>
            <w:vAlign w:val="center"/>
          </w:tcPr>
          <w:p>
            <w:pPr>
              <w:jc w:val="right"/>
            </w:pPr>
            <w:r>
              <w:rPr>
                <w:rFonts w:ascii="宋体" w:eastAsia="宋体" w:hAnsi="宋体" w:cs="宋体"/>
                <w:b w:val="0"/>
                <w:i w:val="0"/>
                <w:color w:val="000000"/>
                <w:sz w:val="19"/>
              </w:rPr>
              <w:t xml:space="preserve">173.11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173.11</w:t>
            </w:r>
          </w:p>
        </w:tc>
        <w:tc>
          <w:tcPr>
            <w:tcW w:w="1600" w:type="dxa"/>
            <w:tcBorders/>
            <w:vAlign w:val="center"/>
          </w:tcPr>
          <w:p>
            <w:pPr>
              <w:jc w:val="right"/>
            </w:pPr>
            <w:r>
              <w:rPr>
                <w:rFonts w:ascii="宋体" w:eastAsia="宋体" w:hAnsi="宋体" w:cs="宋体"/>
                <w:b w:val="0"/>
                <w:i w:val="0"/>
                <w:color w:val="000000"/>
                <w:sz w:val="19"/>
              </w:rPr>
              <w:t xml:space="preserve">173.11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88.06</w:t>
            </w:r>
          </w:p>
        </w:tc>
        <w:tc>
          <w:tcPr>
            <w:tcW w:w="1600" w:type="dxa"/>
            <w:tcBorders/>
            <w:vAlign w:val="center"/>
          </w:tcPr>
          <w:p>
            <w:pPr>
              <w:jc w:val="right"/>
            </w:pPr>
            <w:r>
              <w:rPr>
                <w:rFonts w:ascii="宋体" w:eastAsia="宋体" w:hAnsi="宋体" w:cs="宋体"/>
                <w:b w:val="0"/>
                <w:i w:val="0"/>
                <w:color w:val="000000"/>
                <w:sz w:val="19"/>
              </w:rPr>
              <w:t xml:space="preserve">88.06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85.06</w:t>
            </w:r>
          </w:p>
        </w:tc>
        <w:tc>
          <w:tcPr>
            <w:tcW w:w="1600" w:type="dxa"/>
            <w:tcBorders/>
            <w:vAlign w:val="center"/>
          </w:tcPr>
          <w:p>
            <w:pPr>
              <w:jc w:val="right"/>
            </w:pPr>
            <w:r>
              <w:rPr>
                <w:rFonts w:ascii="宋体" w:eastAsia="宋体" w:hAnsi="宋体" w:cs="宋体"/>
                <w:b w:val="0"/>
                <w:i w:val="0"/>
                <w:color w:val="000000"/>
                <w:sz w:val="19"/>
              </w:rPr>
              <w:t xml:space="preserve">85.06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39.28</w:t>
            </w:r>
          </w:p>
        </w:tc>
        <w:tc>
          <w:tcPr>
            <w:tcW w:w="1600" w:type="dxa"/>
            <w:tcBorders/>
            <w:vAlign w:val="center"/>
          </w:tcPr>
          <w:p>
            <w:pPr>
              <w:jc w:val="right"/>
            </w:pPr>
            <w:r>
              <w:rPr>
                <w:rFonts w:ascii="宋体" w:eastAsia="宋体" w:hAnsi="宋体" w:cs="宋体"/>
                <w:b w:val="0"/>
                <w:i w:val="0"/>
                <w:color w:val="000000"/>
                <w:sz w:val="19"/>
              </w:rPr>
              <w:t xml:space="preserve">39.28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39.28</w:t>
            </w:r>
          </w:p>
        </w:tc>
        <w:tc>
          <w:tcPr>
            <w:tcW w:w="1600" w:type="dxa"/>
            <w:tcBorders/>
            <w:vAlign w:val="center"/>
          </w:tcPr>
          <w:p>
            <w:pPr>
              <w:jc w:val="right"/>
            </w:pPr>
            <w:r>
              <w:rPr>
                <w:rFonts w:ascii="宋体" w:eastAsia="宋体" w:hAnsi="宋体" w:cs="宋体"/>
                <w:b w:val="0"/>
                <w:i w:val="0"/>
                <w:color w:val="000000"/>
                <w:sz w:val="19"/>
              </w:rPr>
              <w:t xml:space="preserve">39.28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39.28</w:t>
            </w:r>
          </w:p>
        </w:tc>
        <w:tc>
          <w:tcPr>
            <w:tcW w:w="1600" w:type="dxa"/>
            <w:tcBorders/>
            <w:vAlign w:val="center"/>
          </w:tcPr>
          <w:p>
            <w:pPr>
              <w:jc w:val="right"/>
            </w:pPr>
            <w:r>
              <w:rPr>
                <w:rFonts w:ascii="宋体" w:eastAsia="宋体" w:hAnsi="宋体" w:cs="宋体"/>
                <w:b w:val="0"/>
                <w:i w:val="0"/>
                <w:color w:val="000000"/>
                <w:sz w:val="19"/>
              </w:rPr>
              <w:t xml:space="preserve">39.28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1,404.76</w:t>
            </w:r>
          </w:p>
        </w:tc>
        <w:tc>
          <w:tcPr>
            <w:tcW w:w="1600" w:type="dxa"/>
            <w:tcBorders/>
            <w:vAlign w:val="center"/>
          </w:tcPr>
          <w:p>
            <w:pPr>
              <w:jc w:val="right"/>
            </w:pPr>
            <w:r>
              <w:rPr>
                <w:rFonts w:ascii="宋体" w:eastAsia="宋体" w:hAnsi="宋体" w:cs="宋体"/>
                <w:b w:val="0"/>
                <w:i w:val="0"/>
                <w:color w:val="000000"/>
                <w:sz w:val="19"/>
              </w:rPr>
              <w:t xml:space="preserve">1,160.48</w:t>
            </w:r>
          </w:p>
        </w:tc>
        <w:tc>
          <w:tcPr>
            <w:tcW w:w="1600" w:type="dxa"/>
            <w:tcBorders/>
            <w:vAlign w:val="center"/>
          </w:tcPr>
          <w:p>
            <w:pPr>
              <w:jc w:val="right"/>
            </w:pPr>
            <w:r>
              <w:rPr>
                <w:rFonts w:ascii="宋体" w:eastAsia="宋体" w:hAnsi="宋体" w:cs="宋体"/>
                <w:b w:val="0"/>
                <w:i w:val="0"/>
                <w:color w:val="000000"/>
                <w:sz w:val="19"/>
              </w:rPr>
              <w:t xml:space="preserve">244.28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1,302.95</w:t>
            </w:r>
          </w:p>
        </w:tc>
        <w:tc>
          <w:tcPr>
            <w:tcW w:w="1600" w:type="dxa"/>
            <w:tcBorders/>
            <w:vAlign w:val="center"/>
          </w:tcPr>
          <w:p>
            <w:pPr>
              <w:jc w:val="right"/>
            </w:pPr>
            <w:r>
              <w:rPr>
                <w:rFonts w:ascii="宋体" w:eastAsia="宋体" w:hAnsi="宋体" w:cs="宋体"/>
                <w:b w:val="0"/>
                <w:i w:val="0"/>
                <w:color w:val="000000"/>
                <w:sz w:val="19"/>
              </w:rPr>
              <w:t xml:space="preserve">1,058.67</w:t>
            </w:r>
          </w:p>
        </w:tc>
        <w:tc>
          <w:tcPr>
            <w:tcW w:w="1600" w:type="dxa"/>
            <w:tcBorders/>
            <w:vAlign w:val="center"/>
          </w:tcPr>
          <w:p>
            <w:pPr>
              <w:jc w:val="right"/>
            </w:pPr>
            <w:r>
              <w:rPr>
                <w:rFonts w:ascii="宋体" w:eastAsia="宋体" w:hAnsi="宋体" w:cs="宋体"/>
                <w:b w:val="0"/>
                <w:i w:val="0"/>
                <w:color w:val="000000"/>
                <w:sz w:val="19"/>
              </w:rPr>
              <w:t xml:space="preserve">244.28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其他公路水路运输支出</w:t>
            </w:r>
          </w:p>
        </w:tc>
        <w:tc>
          <w:tcPr>
            <w:tcW w:w="1600" w:type="dxa"/>
            <w:tcBorders/>
            <w:vAlign w:val="center"/>
          </w:tcPr>
          <w:p>
            <w:pPr>
              <w:jc w:val="right"/>
            </w:pPr>
            <w:r>
              <w:rPr>
                <w:rFonts w:ascii="宋体" w:eastAsia="宋体" w:hAnsi="宋体" w:cs="宋体"/>
                <w:b w:val="0"/>
                <w:i w:val="0"/>
                <w:color w:val="000000"/>
                <w:sz w:val="19"/>
              </w:rPr>
              <w:t xml:space="preserve">1,302.95</w:t>
            </w:r>
          </w:p>
        </w:tc>
        <w:tc>
          <w:tcPr>
            <w:tcW w:w="1600" w:type="dxa"/>
            <w:tcBorders/>
            <w:vAlign w:val="center"/>
          </w:tcPr>
          <w:p>
            <w:pPr>
              <w:jc w:val="right"/>
            </w:pPr>
            <w:r>
              <w:rPr>
                <w:rFonts w:ascii="宋体" w:eastAsia="宋体" w:hAnsi="宋体" w:cs="宋体"/>
                <w:b w:val="0"/>
                <w:i w:val="0"/>
                <w:color w:val="000000"/>
                <w:sz w:val="19"/>
              </w:rPr>
              <w:t xml:space="preserve">1,058.67</w:t>
            </w:r>
          </w:p>
        </w:tc>
        <w:tc>
          <w:tcPr>
            <w:tcW w:w="1600" w:type="dxa"/>
            <w:tcBorders/>
            <w:vAlign w:val="center"/>
          </w:tcPr>
          <w:p>
            <w:pPr>
              <w:jc w:val="right"/>
            </w:pPr>
            <w:r>
              <w:rPr>
                <w:rFonts w:ascii="宋体" w:eastAsia="宋体" w:hAnsi="宋体" w:cs="宋体"/>
                <w:b w:val="0"/>
                <w:i w:val="0"/>
                <w:color w:val="000000"/>
                <w:sz w:val="19"/>
              </w:rPr>
              <w:t xml:space="preserve">244.28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101.81</w:t>
            </w:r>
          </w:p>
        </w:tc>
        <w:tc>
          <w:tcPr>
            <w:tcW w:w="1600" w:type="dxa"/>
            <w:tcBorders/>
            <w:vAlign w:val="center"/>
          </w:tcPr>
          <w:p>
            <w:pPr>
              <w:jc w:val="right"/>
            </w:pPr>
            <w:r>
              <w:rPr>
                <w:rFonts w:ascii="宋体" w:eastAsia="宋体" w:hAnsi="宋体" w:cs="宋体"/>
                <w:b w:val="0"/>
                <w:i w:val="0"/>
                <w:color w:val="000000"/>
                <w:sz w:val="19"/>
              </w:rPr>
              <w:t xml:space="preserve">101.81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101.81</w:t>
            </w:r>
          </w:p>
        </w:tc>
        <w:tc>
          <w:tcPr>
            <w:tcW w:w="1600" w:type="dxa"/>
            <w:tcBorders/>
            <w:vAlign w:val="center"/>
          </w:tcPr>
          <w:p>
            <w:pPr>
              <w:jc w:val="right"/>
            </w:pPr>
            <w:r>
              <w:rPr>
                <w:rFonts w:ascii="宋体" w:eastAsia="宋体" w:hAnsi="宋体" w:cs="宋体"/>
                <w:b w:val="0"/>
                <w:i w:val="0"/>
                <w:color w:val="000000"/>
                <w:sz w:val="19"/>
              </w:rPr>
              <w:t xml:space="preserve">101.81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74.84</w:t>
            </w:r>
          </w:p>
        </w:tc>
        <w:tc>
          <w:tcPr>
            <w:tcW w:w="1600" w:type="dxa"/>
            <w:tcBorders/>
            <w:vAlign w:val="center"/>
          </w:tcPr>
          <w:p>
            <w:pPr>
              <w:jc w:val="right"/>
            </w:pPr>
            <w:r>
              <w:rPr>
                <w:rFonts w:ascii="宋体" w:eastAsia="宋体" w:hAnsi="宋体" w:cs="宋体"/>
                <w:b w:val="0"/>
                <w:i w:val="0"/>
                <w:color w:val="000000"/>
                <w:sz w:val="19"/>
              </w:rPr>
              <w:t xml:space="preserve">74.84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74.84</w:t>
            </w:r>
          </w:p>
        </w:tc>
        <w:tc>
          <w:tcPr>
            <w:tcW w:w="1600" w:type="dxa"/>
            <w:tcBorders/>
            <w:vAlign w:val="center"/>
          </w:tcPr>
          <w:p>
            <w:pPr>
              <w:jc w:val="right"/>
            </w:pPr>
            <w:r>
              <w:rPr>
                <w:rFonts w:ascii="宋体" w:eastAsia="宋体" w:hAnsi="宋体" w:cs="宋体"/>
                <w:b w:val="0"/>
                <w:i w:val="0"/>
                <w:color w:val="000000"/>
                <w:sz w:val="19"/>
              </w:rPr>
              <w:t xml:space="preserve">74.84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74.84</w:t>
            </w:r>
          </w:p>
        </w:tc>
        <w:tc>
          <w:tcPr>
            <w:tcW w:w="1600" w:type="dxa"/>
            <w:tcBorders/>
            <w:vAlign w:val="center"/>
          </w:tcPr>
          <w:p>
            <w:pPr>
              <w:jc w:val="right"/>
            </w:pPr>
            <w:r>
              <w:rPr>
                <w:rFonts w:ascii="宋体" w:eastAsia="宋体" w:hAnsi="宋体" w:cs="宋体"/>
                <w:b w:val="0"/>
                <w:i w:val="0"/>
                <w:color w:val="000000"/>
                <w:sz w:val="19"/>
              </w:rPr>
              <w:t xml:space="preserve">74.84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1,699.25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7.25</w:t>
            </w:r>
          </w:p>
        </w:tc>
        <w:tc>
          <w:tcPr>
            <w:tcW w:w="1420" w:type="dxa"/>
            <w:tcBorders/>
            <w:vAlign w:val="center"/>
          </w:tcPr>
          <w:p>
            <w:pPr>
              <w:jc w:val="right"/>
            </w:pPr>
            <w:r>
              <w:rPr>
                <w:rFonts w:ascii="宋体" w:eastAsia="宋体" w:hAnsi="宋体" w:cs="宋体"/>
                <w:b w:val="0"/>
                <w:i w:val="0"/>
                <w:color w:val="000000"/>
                <w:sz w:val="18"/>
              </w:rPr>
              <w:t xml:space="preserve">7.25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173.11</w:t>
            </w:r>
          </w:p>
        </w:tc>
        <w:tc>
          <w:tcPr>
            <w:tcW w:w="1420" w:type="dxa"/>
            <w:tcBorders/>
            <w:vAlign w:val="center"/>
          </w:tcPr>
          <w:p>
            <w:pPr>
              <w:jc w:val="right"/>
            </w:pPr>
            <w:r>
              <w:rPr>
                <w:rFonts w:ascii="宋体" w:eastAsia="宋体" w:hAnsi="宋体" w:cs="宋体"/>
                <w:b w:val="0"/>
                <w:i w:val="0"/>
                <w:color w:val="000000"/>
                <w:sz w:val="18"/>
              </w:rPr>
              <w:t xml:space="preserve">173.11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39.28</w:t>
            </w:r>
          </w:p>
        </w:tc>
        <w:tc>
          <w:tcPr>
            <w:tcW w:w="1420" w:type="dxa"/>
            <w:tcBorders/>
            <w:vAlign w:val="center"/>
          </w:tcPr>
          <w:p>
            <w:pPr>
              <w:jc w:val="right"/>
            </w:pPr>
            <w:r>
              <w:rPr>
                <w:rFonts w:ascii="宋体" w:eastAsia="宋体" w:hAnsi="宋体" w:cs="宋体"/>
                <w:b w:val="0"/>
                <w:i w:val="0"/>
                <w:color w:val="000000"/>
                <w:sz w:val="18"/>
              </w:rPr>
              <w:t xml:space="preserve">39.28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1,404.76</w:t>
            </w:r>
          </w:p>
        </w:tc>
        <w:tc>
          <w:tcPr>
            <w:tcW w:w="1420" w:type="dxa"/>
            <w:tcBorders/>
            <w:vAlign w:val="center"/>
          </w:tcPr>
          <w:p>
            <w:pPr>
              <w:jc w:val="right"/>
            </w:pPr>
            <w:r>
              <w:rPr>
                <w:rFonts w:ascii="宋体" w:eastAsia="宋体" w:hAnsi="宋体" w:cs="宋体"/>
                <w:b w:val="0"/>
                <w:i w:val="0"/>
                <w:color w:val="000000"/>
                <w:sz w:val="18"/>
              </w:rPr>
              <w:t xml:space="preserve">1,404.76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74.84</w:t>
            </w:r>
          </w:p>
        </w:tc>
        <w:tc>
          <w:tcPr>
            <w:tcW w:w="1420" w:type="dxa"/>
            <w:tcBorders/>
            <w:vAlign w:val="center"/>
          </w:tcPr>
          <w:p>
            <w:pPr>
              <w:jc w:val="right"/>
            </w:pPr>
            <w:r>
              <w:rPr>
                <w:rFonts w:ascii="宋体" w:eastAsia="宋体" w:hAnsi="宋体" w:cs="宋体"/>
                <w:b w:val="0"/>
                <w:i w:val="0"/>
                <w:color w:val="000000"/>
                <w:sz w:val="18"/>
              </w:rPr>
              <w:t xml:space="preserve">74.84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1,699.25</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1,699.25</w:t>
            </w:r>
          </w:p>
        </w:tc>
        <w:tc>
          <w:tcPr>
            <w:tcW w:w="1420" w:type="dxa"/>
            <w:tcBorders/>
            <w:vAlign w:val="center"/>
          </w:tcPr>
          <w:p>
            <w:pPr>
              <w:jc w:val="right"/>
            </w:pPr>
            <w:r>
              <w:rPr>
                <w:rFonts w:ascii="宋体" w:eastAsia="宋体" w:hAnsi="宋体" w:cs="宋体"/>
                <w:b w:val="0"/>
                <w:i w:val="0"/>
                <w:color w:val="000000"/>
                <w:sz w:val="18"/>
              </w:rPr>
              <w:t xml:space="preserve">1,699.25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1,699.25</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1,699.25</w:t>
            </w:r>
          </w:p>
        </w:tc>
        <w:tc>
          <w:tcPr>
            <w:tcW w:w="1420" w:type="dxa"/>
            <w:tcBorders/>
            <w:vAlign w:val="center"/>
          </w:tcPr>
          <w:p>
            <w:pPr>
              <w:jc w:val="right"/>
            </w:pPr>
            <w:r>
              <w:rPr>
                <w:rFonts w:ascii="宋体" w:eastAsia="宋体" w:hAnsi="宋体" w:cs="宋体"/>
                <w:b w:val="0"/>
                <w:i w:val="0"/>
                <w:color w:val="000000"/>
                <w:sz w:val="18"/>
              </w:rPr>
              <w:t xml:space="preserve">1,699.25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1,699.25</w:t>
            </w:r>
          </w:p>
        </w:tc>
        <w:tc>
          <w:tcPr>
            <w:tcW w:w="2700" w:type="dxa"/>
            <w:tcBorders/>
            <w:vAlign w:val="center"/>
          </w:tcPr>
          <w:p>
            <w:pPr>
              <w:jc w:val="right"/>
            </w:pPr>
            <w:r>
              <w:rPr>
                <w:rFonts w:ascii="宋体" w:eastAsia="宋体" w:hAnsi="宋体" w:cs="宋体"/>
                <w:b/>
                <w:i w:val="0"/>
                <w:color w:val="000000"/>
                <w:sz w:val="25"/>
              </w:rPr>
              <w:t xml:space="preserve">1,454.97</w:t>
            </w:r>
          </w:p>
        </w:tc>
        <w:tc>
          <w:tcPr>
            <w:tcW w:w="2658" w:type="dxa"/>
            <w:tcBorders/>
            <w:vAlign w:val="center"/>
          </w:tcPr>
          <w:p>
            <w:pPr>
              <w:jc w:val="right"/>
            </w:pPr>
            <w:r>
              <w:rPr>
                <w:rFonts w:ascii="宋体" w:eastAsia="宋体" w:hAnsi="宋体" w:cs="宋体"/>
                <w:b/>
                <w:i w:val="0"/>
                <w:color w:val="000000"/>
                <w:sz w:val="25"/>
              </w:rPr>
              <w:t xml:space="preserve">244.28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7.25</w:t>
            </w:r>
          </w:p>
        </w:tc>
        <w:tc>
          <w:tcPr>
            <w:tcW w:w="2700" w:type="dxa"/>
            <w:tcBorders/>
            <w:vAlign w:val="center"/>
          </w:tcPr>
          <w:p>
            <w:pPr>
              <w:jc w:val="right"/>
            </w:pPr>
            <w:r>
              <w:rPr>
                <w:rFonts w:ascii="宋体" w:eastAsia="宋体" w:hAnsi="宋体" w:cs="宋体"/>
                <w:b w:val="0"/>
                <w:i w:val="0"/>
                <w:color w:val="000000"/>
                <w:sz w:val="25"/>
              </w:rPr>
              <w:t xml:space="preserve">7.25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7.25</w:t>
            </w:r>
          </w:p>
        </w:tc>
        <w:tc>
          <w:tcPr>
            <w:tcW w:w="2700" w:type="dxa"/>
            <w:tcBorders/>
            <w:vAlign w:val="center"/>
          </w:tcPr>
          <w:p>
            <w:pPr>
              <w:jc w:val="right"/>
            </w:pPr>
            <w:r>
              <w:rPr>
                <w:rFonts w:ascii="宋体" w:eastAsia="宋体" w:hAnsi="宋体" w:cs="宋体"/>
                <w:b w:val="0"/>
                <w:i w:val="0"/>
                <w:color w:val="000000"/>
                <w:sz w:val="25"/>
              </w:rPr>
              <w:t xml:space="preserve">7.25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7.25</w:t>
            </w:r>
          </w:p>
        </w:tc>
        <w:tc>
          <w:tcPr>
            <w:tcW w:w="2700" w:type="dxa"/>
            <w:tcBorders/>
            <w:vAlign w:val="center"/>
          </w:tcPr>
          <w:p>
            <w:pPr>
              <w:jc w:val="right"/>
            </w:pPr>
            <w:r>
              <w:rPr>
                <w:rFonts w:ascii="宋体" w:eastAsia="宋体" w:hAnsi="宋体" w:cs="宋体"/>
                <w:b w:val="0"/>
                <w:i w:val="0"/>
                <w:color w:val="000000"/>
                <w:sz w:val="25"/>
              </w:rPr>
              <w:t xml:space="preserve">7.25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173.11</w:t>
            </w:r>
          </w:p>
        </w:tc>
        <w:tc>
          <w:tcPr>
            <w:tcW w:w="2700" w:type="dxa"/>
            <w:tcBorders/>
            <w:vAlign w:val="center"/>
          </w:tcPr>
          <w:p>
            <w:pPr>
              <w:jc w:val="right"/>
            </w:pPr>
            <w:r>
              <w:rPr>
                <w:rFonts w:ascii="宋体" w:eastAsia="宋体" w:hAnsi="宋体" w:cs="宋体"/>
                <w:b w:val="0"/>
                <w:i w:val="0"/>
                <w:color w:val="000000"/>
                <w:sz w:val="25"/>
              </w:rPr>
              <w:t xml:space="preserve">173.11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173.11</w:t>
            </w:r>
          </w:p>
        </w:tc>
        <w:tc>
          <w:tcPr>
            <w:tcW w:w="2700" w:type="dxa"/>
            <w:tcBorders/>
            <w:vAlign w:val="center"/>
          </w:tcPr>
          <w:p>
            <w:pPr>
              <w:jc w:val="right"/>
            </w:pPr>
            <w:r>
              <w:rPr>
                <w:rFonts w:ascii="宋体" w:eastAsia="宋体" w:hAnsi="宋体" w:cs="宋体"/>
                <w:b w:val="0"/>
                <w:i w:val="0"/>
                <w:color w:val="000000"/>
                <w:sz w:val="25"/>
              </w:rPr>
              <w:t xml:space="preserve">173.11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88.06</w:t>
            </w:r>
          </w:p>
        </w:tc>
        <w:tc>
          <w:tcPr>
            <w:tcW w:w="2700" w:type="dxa"/>
            <w:tcBorders/>
            <w:vAlign w:val="center"/>
          </w:tcPr>
          <w:p>
            <w:pPr>
              <w:jc w:val="right"/>
            </w:pPr>
            <w:r>
              <w:rPr>
                <w:rFonts w:ascii="宋体" w:eastAsia="宋体" w:hAnsi="宋体" w:cs="宋体"/>
                <w:b w:val="0"/>
                <w:i w:val="0"/>
                <w:color w:val="000000"/>
                <w:sz w:val="25"/>
              </w:rPr>
              <w:t xml:space="preserve">88.06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85.06</w:t>
            </w:r>
          </w:p>
        </w:tc>
        <w:tc>
          <w:tcPr>
            <w:tcW w:w="2700" w:type="dxa"/>
            <w:tcBorders/>
            <w:vAlign w:val="center"/>
          </w:tcPr>
          <w:p>
            <w:pPr>
              <w:jc w:val="right"/>
            </w:pPr>
            <w:r>
              <w:rPr>
                <w:rFonts w:ascii="宋体" w:eastAsia="宋体" w:hAnsi="宋体" w:cs="宋体"/>
                <w:b w:val="0"/>
                <w:i w:val="0"/>
                <w:color w:val="000000"/>
                <w:sz w:val="25"/>
              </w:rPr>
              <w:t xml:space="preserve">85.06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39.28</w:t>
            </w:r>
          </w:p>
        </w:tc>
        <w:tc>
          <w:tcPr>
            <w:tcW w:w="2700" w:type="dxa"/>
            <w:tcBorders/>
            <w:vAlign w:val="center"/>
          </w:tcPr>
          <w:p>
            <w:pPr>
              <w:jc w:val="right"/>
            </w:pPr>
            <w:r>
              <w:rPr>
                <w:rFonts w:ascii="宋体" w:eastAsia="宋体" w:hAnsi="宋体" w:cs="宋体"/>
                <w:b w:val="0"/>
                <w:i w:val="0"/>
                <w:color w:val="000000"/>
                <w:sz w:val="25"/>
              </w:rPr>
              <w:t xml:space="preserve">39.28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39.28</w:t>
            </w:r>
          </w:p>
        </w:tc>
        <w:tc>
          <w:tcPr>
            <w:tcW w:w="2700" w:type="dxa"/>
            <w:tcBorders/>
            <w:vAlign w:val="center"/>
          </w:tcPr>
          <w:p>
            <w:pPr>
              <w:jc w:val="right"/>
            </w:pPr>
            <w:r>
              <w:rPr>
                <w:rFonts w:ascii="宋体" w:eastAsia="宋体" w:hAnsi="宋体" w:cs="宋体"/>
                <w:b w:val="0"/>
                <w:i w:val="0"/>
                <w:color w:val="000000"/>
                <w:sz w:val="25"/>
              </w:rPr>
              <w:t xml:space="preserve">39.28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39.28</w:t>
            </w:r>
          </w:p>
        </w:tc>
        <w:tc>
          <w:tcPr>
            <w:tcW w:w="2700" w:type="dxa"/>
            <w:tcBorders/>
            <w:vAlign w:val="center"/>
          </w:tcPr>
          <w:p>
            <w:pPr>
              <w:jc w:val="right"/>
            </w:pPr>
            <w:r>
              <w:rPr>
                <w:rFonts w:ascii="宋体" w:eastAsia="宋体" w:hAnsi="宋体" w:cs="宋体"/>
                <w:b w:val="0"/>
                <w:i w:val="0"/>
                <w:color w:val="000000"/>
                <w:sz w:val="25"/>
              </w:rPr>
              <w:t xml:space="preserve">39.28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1,404.76</w:t>
            </w:r>
          </w:p>
        </w:tc>
        <w:tc>
          <w:tcPr>
            <w:tcW w:w="2700" w:type="dxa"/>
            <w:tcBorders/>
            <w:vAlign w:val="center"/>
          </w:tcPr>
          <w:p>
            <w:pPr>
              <w:jc w:val="right"/>
            </w:pPr>
            <w:r>
              <w:rPr>
                <w:rFonts w:ascii="宋体" w:eastAsia="宋体" w:hAnsi="宋体" w:cs="宋体"/>
                <w:b w:val="0"/>
                <w:i w:val="0"/>
                <w:color w:val="000000"/>
                <w:sz w:val="25"/>
              </w:rPr>
              <w:t xml:space="preserve">1,160.48</w:t>
            </w:r>
          </w:p>
        </w:tc>
        <w:tc>
          <w:tcPr>
            <w:tcW w:w="2658" w:type="dxa"/>
            <w:tcBorders/>
            <w:vAlign w:val="center"/>
          </w:tcPr>
          <w:p>
            <w:pPr>
              <w:jc w:val="right"/>
            </w:pPr>
            <w:r>
              <w:rPr>
                <w:rFonts w:ascii="宋体" w:eastAsia="宋体" w:hAnsi="宋体" w:cs="宋体"/>
                <w:b w:val="0"/>
                <w:i w:val="0"/>
                <w:color w:val="000000"/>
                <w:sz w:val="25"/>
              </w:rPr>
              <w:t xml:space="preserve">244.28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1,302.95</w:t>
            </w:r>
          </w:p>
        </w:tc>
        <w:tc>
          <w:tcPr>
            <w:tcW w:w="2700" w:type="dxa"/>
            <w:tcBorders/>
            <w:vAlign w:val="center"/>
          </w:tcPr>
          <w:p>
            <w:pPr>
              <w:jc w:val="right"/>
            </w:pPr>
            <w:r>
              <w:rPr>
                <w:rFonts w:ascii="宋体" w:eastAsia="宋体" w:hAnsi="宋体" w:cs="宋体"/>
                <w:b w:val="0"/>
                <w:i w:val="0"/>
                <w:color w:val="000000"/>
                <w:sz w:val="25"/>
              </w:rPr>
              <w:t xml:space="preserve">1,058.67</w:t>
            </w:r>
          </w:p>
        </w:tc>
        <w:tc>
          <w:tcPr>
            <w:tcW w:w="2658" w:type="dxa"/>
            <w:tcBorders/>
            <w:vAlign w:val="center"/>
          </w:tcPr>
          <w:p>
            <w:pPr>
              <w:jc w:val="right"/>
            </w:pPr>
            <w:r>
              <w:rPr>
                <w:rFonts w:ascii="宋体" w:eastAsia="宋体" w:hAnsi="宋体" w:cs="宋体"/>
                <w:b w:val="0"/>
                <w:i w:val="0"/>
                <w:color w:val="000000"/>
                <w:sz w:val="25"/>
              </w:rPr>
              <w:t xml:space="preserve">244.28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其他公路水路运输支出</w:t>
            </w:r>
          </w:p>
        </w:tc>
        <w:tc>
          <w:tcPr>
            <w:tcW w:w="2700" w:type="dxa"/>
            <w:tcBorders/>
            <w:vAlign w:val="center"/>
          </w:tcPr>
          <w:p>
            <w:pPr>
              <w:jc w:val="right"/>
            </w:pPr>
            <w:r>
              <w:rPr>
                <w:rFonts w:ascii="宋体" w:eastAsia="宋体" w:hAnsi="宋体" w:cs="宋体"/>
                <w:b w:val="0"/>
                <w:i w:val="0"/>
                <w:color w:val="000000"/>
                <w:sz w:val="25"/>
              </w:rPr>
              <w:t xml:space="preserve">1,302.95</w:t>
            </w:r>
          </w:p>
        </w:tc>
        <w:tc>
          <w:tcPr>
            <w:tcW w:w="2700" w:type="dxa"/>
            <w:tcBorders/>
            <w:vAlign w:val="center"/>
          </w:tcPr>
          <w:p>
            <w:pPr>
              <w:jc w:val="right"/>
            </w:pPr>
            <w:r>
              <w:rPr>
                <w:rFonts w:ascii="宋体" w:eastAsia="宋体" w:hAnsi="宋体" w:cs="宋体"/>
                <w:b w:val="0"/>
                <w:i w:val="0"/>
                <w:color w:val="000000"/>
                <w:sz w:val="25"/>
              </w:rPr>
              <w:t xml:space="preserve">1,058.67</w:t>
            </w:r>
          </w:p>
        </w:tc>
        <w:tc>
          <w:tcPr>
            <w:tcW w:w="2658" w:type="dxa"/>
            <w:tcBorders/>
            <w:vAlign w:val="center"/>
          </w:tcPr>
          <w:p>
            <w:pPr>
              <w:jc w:val="right"/>
            </w:pPr>
            <w:r>
              <w:rPr>
                <w:rFonts w:ascii="宋体" w:eastAsia="宋体" w:hAnsi="宋体" w:cs="宋体"/>
                <w:b w:val="0"/>
                <w:i w:val="0"/>
                <w:color w:val="000000"/>
                <w:sz w:val="25"/>
              </w:rPr>
              <w:t xml:space="preserve">244.28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101.81</w:t>
            </w:r>
          </w:p>
        </w:tc>
        <w:tc>
          <w:tcPr>
            <w:tcW w:w="2700" w:type="dxa"/>
            <w:tcBorders/>
            <w:vAlign w:val="center"/>
          </w:tcPr>
          <w:p>
            <w:pPr>
              <w:jc w:val="right"/>
            </w:pPr>
            <w:r>
              <w:rPr>
                <w:rFonts w:ascii="宋体" w:eastAsia="宋体" w:hAnsi="宋体" w:cs="宋体"/>
                <w:b w:val="0"/>
                <w:i w:val="0"/>
                <w:color w:val="000000"/>
                <w:sz w:val="25"/>
              </w:rPr>
              <w:t xml:space="preserve">101.81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101.81</w:t>
            </w:r>
          </w:p>
        </w:tc>
        <w:tc>
          <w:tcPr>
            <w:tcW w:w="2700" w:type="dxa"/>
            <w:tcBorders/>
            <w:vAlign w:val="center"/>
          </w:tcPr>
          <w:p>
            <w:pPr>
              <w:jc w:val="right"/>
            </w:pPr>
            <w:r>
              <w:rPr>
                <w:rFonts w:ascii="宋体" w:eastAsia="宋体" w:hAnsi="宋体" w:cs="宋体"/>
                <w:b w:val="0"/>
                <w:i w:val="0"/>
                <w:color w:val="000000"/>
                <w:sz w:val="25"/>
              </w:rPr>
              <w:t xml:space="preserve">101.81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74.84</w:t>
            </w:r>
          </w:p>
        </w:tc>
        <w:tc>
          <w:tcPr>
            <w:tcW w:w="2700" w:type="dxa"/>
            <w:tcBorders/>
            <w:vAlign w:val="center"/>
          </w:tcPr>
          <w:p>
            <w:pPr>
              <w:jc w:val="right"/>
            </w:pPr>
            <w:r>
              <w:rPr>
                <w:rFonts w:ascii="宋体" w:eastAsia="宋体" w:hAnsi="宋体" w:cs="宋体"/>
                <w:b w:val="0"/>
                <w:i w:val="0"/>
                <w:color w:val="000000"/>
                <w:sz w:val="25"/>
              </w:rPr>
              <w:t xml:space="preserve">74.84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74.84</w:t>
            </w:r>
          </w:p>
        </w:tc>
        <w:tc>
          <w:tcPr>
            <w:tcW w:w="2700" w:type="dxa"/>
            <w:tcBorders/>
            <w:vAlign w:val="center"/>
          </w:tcPr>
          <w:p>
            <w:pPr>
              <w:jc w:val="right"/>
            </w:pPr>
            <w:r>
              <w:rPr>
                <w:rFonts w:ascii="宋体" w:eastAsia="宋体" w:hAnsi="宋体" w:cs="宋体"/>
                <w:b w:val="0"/>
                <w:i w:val="0"/>
                <w:color w:val="000000"/>
                <w:sz w:val="25"/>
              </w:rPr>
              <w:t xml:space="preserve">74.84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74.84</w:t>
            </w:r>
          </w:p>
        </w:tc>
        <w:tc>
          <w:tcPr>
            <w:tcW w:w="2700" w:type="dxa"/>
            <w:tcBorders/>
            <w:vAlign w:val="center"/>
          </w:tcPr>
          <w:p>
            <w:pPr>
              <w:jc w:val="right"/>
            </w:pPr>
            <w:r>
              <w:rPr>
                <w:rFonts w:ascii="宋体" w:eastAsia="宋体" w:hAnsi="宋体" w:cs="宋体"/>
                <w:b w:val="0"/>
                <w:i w:val="0"/>
                <w:color w:val="000000"/>
                <w:sz w:val="25"/>
              </w:rPr>
              <w:t xml:space="preserve">74.84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1,295.30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57.65</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358.52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4.12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382.22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2.19</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175.65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170.03</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82.56</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1.35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38.75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4.80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74.84</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7.92</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102.02</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88.06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13.97</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0.37</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7.25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15.46</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19.27</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7.55</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1,397.32</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57.65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单位：许昌市交通运输综合行政执法支队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34.26</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34.26</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34.26</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34.26</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34.26</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34.26</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1699.25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减少19.60万元，下降1.14%</w:t>
      </w:r>
      <w:r>
        <w:rPr>
          <w:rFonts w:ascii="仿宋" w:eastAsia="仿宋" w:hAnsi="仿宋" w:cs="仿宋" w:hint="eastAsia"/>
          <w:kern w:val="0"/>
          <w:sz w:val="32"/>
          <w:szCs w:val="32"/>
          <w:lang w:val="en-US" w:eastAsia="zh-CN"/>
        </w:rPr>
        <w:t xml:space="preserve">。主要原因是2022年度本单位一名职工因工伤申请增加预算50万元。。</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1699.25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财政拨款收入1699.25万元，占100.00%；上级补助收入0.00万元，占0.00%；事业收入0.00万元，占0.00%；经营收入0.00万元，占0.00%；附属单位上缴收入0.00万元，占0.00%；其他收入0.00万元，占0.00%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1699.25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基本支出1454.97万元，占85.62%；项目支出244.28万元，占14.38%；上缴上级支出0.00万元，占0.00%；经营支出0.00万元，占0.00%；对附属单位补助支出0.00万元，占0.00%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1699.25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减少19.60万元，下降1.14%</w:t>
      </w:r>
      <w:r>
        <w:rPr>
          <w:rFonts w:ascii="仿宋" w:eastAsia="仿宋" w:hAnsi="仿宋" w:cs="仿宋" w:hint="eastAsia"/>
          <w:kern w:val="0"/>
          <w:sz w:val="32"/>
          <w:szCs w:val="32"/>
          <w:lang w:val="en-US" w:eastAsia="zh-CN"/>
        </w:rPr>
        <w:t xml:space="preserve">。主要原因是2022年度本单位一名职工因工伤申请增加预算50万元。</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1699.25</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减少19.60万元，下降1.14%</w:t>
      </w:r>
      <w:r>
        <w:rPr>
          <w:rFonts w:ascii="仿宋" w:eastAsia="仿宋" w:hAnsi="仿宋" w:cs="仿宋" w:hint="eastAsia"/>
          <w:kern w:val="0"/>
          <w:sz w:val="32"/>
          <w:szCs w:val="32"/>
          <w:lang w:val="en-US" w:eastAsia="zh-CN"/>
        </w:rPr>
        <w:t xml:space="preserve">。主要原因是2022年度本单位一名职工因工伤申请增加预算50万元。</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1699.25</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一般公共服务支出（类）7.25万元，占0.43%；社会保障和就业支出（类）173.11万元，占10.19%；卫生健康支出（类）39.28万元，占2.31%；交通运输支出（类）1404.76万元，占82.67%；住房保障支出（类）74.84万元，占4.40%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1694.11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1699.25</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100.30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年初预算数为7.25万元，决算数7.25万元,完成年初预算的100.00%，决算数与年初预算数不存在差异。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年初预算数为85.63万元，决算数88.06万元,完成年初预算的102.84%，决算数与年初预算数存在差异的主要原因是本年度单位新增2名退休职工，调整了退休经费。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年初预算数为85.84万元，决算数85.06万元,完成年初预算的99.09%，决算数与年初预算数存在差异的主要原因是本年度单位新增2名退休职工，调整了基本养老保险经费。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年初预算数为39.69万元，决算数39.28万元,完成年初预算的98.97%，决算数与年初预算数存在差异的主要原因是本年度单位退休2名职工，调整了医疗保险经费。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5.交通运输支出（类）公路水路运输（款）其他公路水路运输支出（项）</w:t>
      </w:r>
      <w:r>
        <w:rPr>
          <w:rFonts w:ascii="仿宋" w:eastAsia="仿宋" w:hAnsi="仿宋" w:cs="仿宋" w:hint="default"/>
          <w:kern w:val="2"/>
          <w:sz w:val="32"/>
          <w:szCs w:val="32"/>
          <w:lang w:val="en-US" w:eastAsia="zh-CN"/>
        </w:rPr>
        <w:t xml:space="preserve">年初预算数为1400.11万元，决算数1302.95万元,完成年初预算的93.06%，决算数与年初预算数存在差异的主要原因是本年度财政没有全额拨付单位执法工作经费。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6.交通运输支出（类）其他交通运输支出（款）其他交通运输支出（项）</w:t>
      </w:r>
      <w:r>
        <w:rPr>
          <w:rFonts w:ascii="仿宋" w:eastAsia="仿宋" w:hAnsi="仿宋" w:cs="仿宋" w:hint="default"/>
          <w:kern w:val="2"/>
          <w:sz w:val="32"/>
          <w:szCs w:val="32"/>
          <w:lang w:val="en-US" w:eastAsia="zh-CN"/>
        </w:rPr>
        <w:t xml:space="preserve">年初预算数为0.00万元，决算数101.81万元,决算数与年初预算数存在差异的主要原因是财政用其他交通运输支出发放职工未休假补贴和平安建设奖。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年初预算数为75.59万元，决算数74.84万元,完成年初预算的99.01%，决算数与年初预算数存在差异的主要原因是本年度单位退休2名职工，调整了住房公积金经费。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1454.97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其中：人员经费1397.32万元，主要包括：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公用经费57.65万元，主要包括：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34.26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34.26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34.26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34.26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34.26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34.26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主要用于车辆加油、车辆维修、车辆保险。</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19</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19</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19</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1699.25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好</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一是围绕主题教育，引领队伍建设提档升级；二是强化业务培训，锻造执法队伍能力提升；三是多策并用，促进执法服务水平提升，送法进企，提升行业服务质量，惠企政策，提升行政指导能力，审慎监管，提升柔性执法温度，信息服务，提升科技执法效率；四是聚集行业治理，推进交通执法高质量发展，严打车辆超限超载，强化客运市场治理，开展高速路域环境整治，深化执法领域突出问题专项整治，强化执法监督检查，全力做好机收车辆保通保畅，大力开展三轮车违法运营警示教育，做好交通运输行业污染防治工作；五是立足安全生产，助力执法监管提质增效</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基于项目预期目标的实现程度，我单位对2023年度单位预算项目支出（含单位参与分配的转移支付项目）开展绩效自评，涉及项目1个，项目金额244.28万元。其中：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执法工作经费项目，自评得分为99.36分，等级为“好”。全年预算数244.28万元，全年执行数244.28万元，预算执行率100%。围绕交通运输执法工作重点，规范执法队伍建设，提高执法人员整体素质；加大治超力度，集中力量清剿“百吨王”，消除客运“三黑”现象，加重加大非现场执法力度；实行“路长制”管理，实现路域治理“六个无”，即无违法建筑，无违法穿越公路设施，无违法标识标牌，无违法平交道口，无马路市场，无因交通执法导致交通堵塞现象，较好地完成了全年的执法工作任务。本年度项目存在偏差的指标是执法装备配备，改进措施是每年对执法配备的执法装备进行检查，对损坏的装备进行维修再使用，以节约成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一是从人防、技防、信用建设和联合惩戒方面严打车辆超限超载；二是强化客运市场治理，成立工作专班，强化督查通报，加大执法力度；三是开展高速路域环境整治，建立问题清单，全面治理提升，强化督导检查；四是深化执法领域突出问题专项整治，强化宣传、营造氛围，多措并举、助推整治；五是强化执法监督检查，拓宽执法监督渠道，高效处置投诉案件；六是全力做好机收车辆保通保畅；七是做好交通运输行业污染防治工作；八是大力开展三轮车违法运营警示教育。</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3e5e42d8-a8e4-4008-a97a-79e1eef98309"/>
        <w:tblW w:w="5000" w:type="pct"/>
        <w:tblLook w:val="04A0" w:firstRow="1" w:lastRow="0" w:firstColumn="1" w:lastColumn="0" w:noHBand="0" w:noVBand="1"/>
      </w:tblPr>
      <w:tblGrid>
        <w:gridCol w:w="441"/>
        <w:gridCol w:w="397"/>
        <w:gridCol w:w="981"/>
        <w:gridCol w:w="807"/>
        <w:gridCol w:w="861"/>
        <w:gridCol w:w="2393"/>
        <w:gridCol w:w="1180"/>
        <w:gridCol w:w="600"/>
        <w:gridCol w:w="1163"/>
        <w:gridCol w:w="1376"/>
        <w:gridCol w:w="222"/>
      </w:tblGrid>
      <w:tr w:rsidTr="001D2C15">
        <w:trPr>
          <w:gridAfter w:val="1"/>
          <w:wAfter w:w="107" w:type="pct"/>
          <w:trHeight w:val="498"/>
        </w:trPr>
        <w:tc>
          <w:tcPr>
            <w:tcW w:type="auto" w:w="0"/>
            <w:gridSpan w:val="10"/>
            <w:tcBorders>
              <w:top w:val="nil"/>
              <w:left w:val="nil"/>
              <w:bottom w:val="nil"/>
              <w:right w:val="nil"/>
            </w:tcBorders>
            <w:shd w:val="clear" w:color="auto" w:fill="auto"/>
            <w:vAlign w:val="bottom"/>
            <w:hideMark/>
          </w:tcPr>
          <w:p>
            <w:pPr>
              <w:pStyle w:val="Normal_abb99cce-12a8-4035-aa1d-8ff9f1fa8277"/>
              <w:widowControl/>
              <w:jc w:val="center"/>
              <w:rPr>
                <w:rFonts w:ascii="宋体" w:eastAsia="宋体" w:hAnsi="宋体" w:cs="宋体"/>
                <w:b/>
                <w:bCs/>
                <w:color w:val="000000"/>
                <w:kern w:val="0"/>
                <w:sz w:val="32"/>
                <w:szCs w:val="32"/>
              </w:rPr>
            </w:pPr>
            <w:bookmarkStart w:id="1" w:name="RANGE!A1:J42"/>
            <w:r w:rsidRPr="000C4214">
              <w:rPr>
                <w:rFonts w:ascii="宋体" w:eastAsia="宋体" w:hAnsi="宋体" w:cs="宋体" w:hint="eastAsia"/>
                <w:b/>
                <w:bCs/>
                <w:color w:val="000000"/>
                <w:kern w:val="0"/>
                <w:sz w:val="32"/>
                <w:szCs w:val="32"/>
              </w:rPr>
              <w:t xml:space="preserve">单位整体自评表</w:t>
            </w:r>
            <w:bookmarkEnd w:id="1"/>
          </w:p>
        </w:tc>
      </w:tr>
      <w:tr w:rsidTr="00DF433F">
        <w:trPr>
          <w:gridAfter w:val="1"/>
          <w:wAfter w:w="107" w:type="pct"/>
          <w:trHeight w:val="461"/>
        </w:trPr>
        <w:tc>
          <w:tcPr>
            <w:tcW w:type="auto" w:w="0"/>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单位名称</w:t>
            </w:r>
          </w:p>
        </w:tc>
        <w:tc>
          <w:tcPr>
            <w:tcW w:type="auto" w:w="0"/>
            <w:gridSpan w:val="7"/>
            <w:tcBorders>
              <w:top w:val="single" w:sz="4" w:space="0" w:color="auto"/>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许昌市交通运输综合行政执法支队</w:t>
            </w:r>
          </w:p>
        </w:tc>
      </w:tr>
      <w:tr w:rsidTr="00DF433F">
        <w:trPr>
          <w:gridAfter w:val="1"/>
          <w:wAfter w:w="107" w:type="pct"/>
          <w:trHeight w:val="461"/>
        </w:trPr>
        <w:tc>
          <w:tcPr>
            <w:tcW w:type="auto" w:w="0"/>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预算</w:t>
            </w:r>
            <w:r>
              <w:rPr/>
              <w:br/>
            </w:r>
            <w:r w:rsidRPr="000C4214">
              <w:rPr>
                <w:rFonts w:ascii="宋体" w:eastAsia="宋体" w:hAnsi="宋体" w:cs="宋体" w:hint="eastAsia"/>
                <w:color w:val="000000"/>
                <w:kern w:val="0"/>
                <w:sz w:val="18"/>
                <w:szCs w:val="18"/>
              </w:rPr>
              <w:t xml:space="preserve">执行</w:t>
            </w:r>
            <w:r>
              <w:rPr/>
              <w:br/>
            </w:r>
            <w:r w:rsidRPr="000C4214">
              <w:rPr>
                <w:rFonts w:ascii="宋体" w:eastAsia="宋体" w:hAnsi="宋体" w:cs="宋体" w:hint="eastAsia"/>
                <w:color w:val="000000"/>
                <w:kern w:val="0"/>
                <w:sz w:val="18"/>
                <w:szCs w:val="18"/>
              </w:rPr>
              <w:t xml:space="preserve">情况</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年初数</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全年数</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全年执行数</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预算执行率</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得分</w:t>
            </w:r>
          </w:p>
        </w:tc>
      </w:tr>
      <w:tr w:rsidTr="00DF433F">
        <w:trPr>
          <w:gridAfter w:val="1"/>
          <w:wAfter w:w="107" w:type="pct"/>
          <w:trHeight w:val="461"/>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gridSpan w:val="2"/>
            <w:tcBorders>
              <w:top w:val="single" w:sz="4" w:space="0" w:color="auto"/>
              <w:left w:val="nil"/>
              <w:bottom w:val="single" w:sz="4" w:space="0" w:color="auto"/>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单位预算总额</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1694.12 </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1699.25 </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1699.25 </w:t>
            </w:r>
          </w:p>
        </w:tc>
        <w:tc>
          <w:tcPr>
            <w:tcW w:type="auto" w:w="0"/>
            <w:vMerge w:val="restart"/>
            <w:tcBorders>
              <w:top w:val="nil"/>
              <w:left w:val="single" w:sz="4" w:space="0" w:color="auto"/>
              <w:bottom w:val="nil"/>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100%</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10.0 </w:t>
            </w:r>
          </w:p>
        </w:tc>
      </w:tr>
      <w:tr w:rsidTr="00DF433F">
        <w:trPr>
          <w:gridAfter w:val="1"/>
          <w:wAfter w:w="107" w:type="pct"/>
          <w:trHeight w:val="461"/>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资金</w:t>
            </w:r>
          </w:p>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来源</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政府预算资金</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1694.12 </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1699.25 </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1699.25 </w:t>
            </w: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100%</w:t>
            </w:r>
          </w:p>
        </w:tc>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r>
      <w:tr w:rsidTr="00DF433F">
        <w:trPr>
          <w:gridAfter w:val="1"/>
          <w:wAfter w:w="107" w:type="pct"/>
          <w:trHeight w:val="461"/>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财政专户管理资金</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0</w:t>
            </w: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0%</w:t>
            </w:r>
          </w:p>
        </w:tc>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r>
      <w:tr w:rsidTr="00DF433F">
        <w:trPr>
          <w:gridAfter w:val="1"/>
          <w:wAfter w:w="107" w:type="pct"/>
          <w:trHeight w:val="461"/>
        </w:trPr>
        <w:tc>
          <w:tcPr>
            <w:gridSpan w:val="2"/>
            <w:vMerge/>
            <w:tcBorders>
              <w:top w:val="single" w:sz="4" w:space="0" w:color="auto"/>
              <w:left w:val="single" w:sz="4" w:space="0" w:color="auto"/>
              <w:bottom w:val="single" w:sz="4" w:space="0" w:color="000000"/>
              <w:right w:val="single" w:sz="4" w:space="0" w:color="000000"/>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单位资金</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0</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0</w:t>
            </w: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0%</w:t>
            </w:r>
          </w:p>
        </w:tc>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r>
      <w:tr w:rsidTr="00DF433F">
        <w:trPr>
          <w:gridAfter w:val="1"/>
          <w:wAfter w:w="107" w:type="pct"/>
          <w:trHeight w:val="461"/>
        </w:trPr>
        <w:tc>
          <w:tcPr>
            <w:tcW w:type="auto" w:w="0"/>
            <w:gridSpan w:val="2"/>
            <w:vMerge w:val="restart"/>
            <w:tcBorders>
              <w:top w:val="single" w:sz="4" w:space="0" w:color="auto"/>
              <w:left w:val="single" w:sz="4" w:space="0" w:color="auto"/>
              <w:bottom w:val="nil"/>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年度</w:t>
            </w:r>
            <w:r>
              <w:rPr/>
              <w:br/>
            </w:r>
            <w:r w:rsidRPr="000C4214">
              <w:rPr>
                <w:rFonts w:ascii="宋体" w:eastAsia="宋体" w:hAnsi="宋体" w:cs="宋体" w:hint="eastAsia"/>
                <w:color w:val="000000"/>
                <w:kern w:val="0"/>
                <w:sz w:val="18"/>
                <w:szCs w:val="18"/>
              </w:rPr>
              <w:t xml:space="preserve">履职</w:t>
            </w:r>
            <w:r>
              <w:rPr/>
              <w:br/>
            </w:r>
            <w:r w:rsidRPr="000C4214">
              <w:rPr>
                <w:rFonts w:ascii="宋体" w:eastAsia="宋体" w:hAnsi="宋体" w:cs="宋体" w:hint="eastAsia"/>
                <w:color w:val="000000"/>
                <w:kern w:val="0"/>
                <w:sz w:val="18"/>
                <w:szCs w:val="18"/>
              </w:rPr>
              <w:t xml:space="preserve">目标</w:t>
            </w:r>
          </w:p>
        </w:tc>
        <w:tc>
          <w:tcPr>
            <w:tcW w:type="auto" w:w="0"/>
            <w:gridSpan w:val="4"/>
            <w:tcBorders>
              <w:top w:val="single" w:sz="4" w:space="0" w:color="auto"/>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预期目标</w:t>
            </w:r>
          </w:p>
        </w:tc>
        <w:tc>
          <w:tcPr>
            <w:tcW w:type="auto" w:w="0"/>
            <w:gridSpan w:val="4"/>
            <w:tcBorders>
              <w:top w:val="single" w:sz="4" w:space="0" w:color="auto"/>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实际完成情况</w:t>
            </w:r>
          </w:p>
        </w:tc>
      </w:tr>
      <w:tr w:rsidTr="00DF433F">
        <w:trPr>
          <w:gridAfter w:val="1"/>
          <w:wAfter w:w="107" w:type="pct"/>
          <w:trHeight w:val="461"/>
        </w:trPr>
        <w:tc>
          <w:tcPr>
            <w:gridSpan w:val="2"/>
            <w:vMerge/>
            <w:tcBorders>
              <w:top w:val="single" w:sz="4" w:space="0" w:color="auto"/>
              <w:left w:val="single" w:sz="4" w:space="0" w:color="auto"/>
              <w:bottom w:val="nil"/>
              <w:right w:val="single" w:sz="4" w:space="0" w:color="000000"/>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目标</w:t>
            </w:r>
          </w:p>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名称</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主要内容 </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目标完成情况</w:t>
            </w:r>
          </w:p>
        </w:tc>
      </w:tr>
      <w:tr w:rsidTr="00DF433F">
        <w:trPr>
          <w:gridAfter w:val="1"/>
          <w:wAfter w:w="107" w:type="pct"/>
          <w:trHeight w:val="719"/>
        </w:trPr>
        <w:tc>
          <w:tcPr>
            <w:gridSpan w:val="2"/>
            <w:vMerge/>
            <w:tcBorders>
              <w:top w:val="single" w:sz="4" w:space="0" w:color="auto"/>
              <w:left w:val="single" w:sz="4" w:space="0" w:color="auto"/>
              <w:bottom w:val="nil"/>
              <w:right w:val="single" w:sz="4" w:space="0" w:color="000000"/>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目标1</w:t>
            </w:r>
            <w:r>
              <w:rPr>
                <w:rFonts w:ascii="宋体" w:eastAsia="宋体" w:hAnsi="宋体" w:cs="宋体" w:hint="eastAsia"/>
                <w:color w:val="000000"/>
                <w:kern w:val="0"/>
                <w:sz w:val="18"/>
                <w:szCs w:val="18"/>
              </w:rPr>
              <w:t xml:space="preserve">:</w:t>
            </w:r>
          </w:p>
        </w:tc>
        <w:tc>
          <w:tcPr>
            <w:tcW w:type="auto" w:w="0"/>
            <w:gridSpan w:val="3"/>
            <w:tcBorders>
              <w:top w:val="single" w:sz="4" w:space="0" w:color="auto"/>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根据交通运输管理法律法规，指导、监督全市道路交通运输执法工作；</w:t>
            </w:r>
          </w:p>
        </w:tc>
        <w:tc>
          <w:tcPr>
            <w:tcW w:type="auto" w:w="0"/>
            <w:gridSpan w:val="4"/>
            <w:tcBorders>
              <w:top w:val="single" w:sz="4" w:space="0" w:color="auto"/>
              <w:left w:val="nil"/>
              <w:bottom w:val="single" w:sz="4" w:space="0" w:color="auto"/>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紧紧围绕交通运输中心工作，努力打造2023年交通执法“1234工程”。</w:t>
            </w:r>
          </w:p>
        </w:tc>
      </w:tr>
      <w:tr w:rsidTr="00DF433F">
        <w:trPr>
          <w:gridAfter w:val="1"/>
          <w:wAfter w:w="107" w:type="pct"/>
          <w:trHeight w:val="858"/>
        </w:trPr>
        <w:tc>
          <w:tcPr>
            <w:gridSpan w:val="2"/>
            <w:vMerge/>
            <w:tcBorders>
              <w:top w:val="single" w:sz="4" w:space="0" w:color="auto"/>
              <w:left w:val="single" w:sz="4" w:space="0" w:color="auto"/>
              <w:bottom w:val="nil"/>
              <w:right w:val="single" w:sz="4" w:space="0" w:color="000000"/>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目标2</w:t>
            </w:r>
            <w:r>
              <w:rPr>
                <w:rFonts w:ascii="宋体" w:eastAsia="宋体" w:hAnsi="宋体" w:cs="宋体" w:hint="eastAsia"/>
                <w:color w:val="000000"/>
                <w:kern w:val="0"/>
                <w:sz w:val="18"/>
                <w:szCs w:val="18"/>
              </w:rPr>
              <w:t xml:space="preserve">:</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负责辖区内高速公路和城区内道路交通运输执法以及城区内货运源头治超工作；</w:t>
            </w:r>
          </w:p>
        </w:tc>
        <w:tc>
          <w:tcPr>
            <w:tcW w:type="auto" w:w="0"/>
            <w:gridSpan w:val="4"/>
            <w:tcBorders>
              <w:top w:val="single" w:sz="4" w:space="0" w:color="auto"/>
              <w:left w:val="nil"/>
              <w:bottom w:val="single" w:sz="4" w:space="0" w:color="auto"/>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严打车辆违法超限超载，强化运输领域打非治违，设置“电子曝光台”，对违法车辆较多的网约车公司采取约谈、处罚、信用惩戒等方式。</w:t>
            </w:r>
          </w:p>
        </w:tc>
      </w:tr>
      <w:tr w:rsidTr="00DF433F">
        <w:trPr>
          <w:gridAfter w:val="1"/>
          <w:wAfter w:w="107" w:type="pct"/>
          <w:trHeight w:val="719"/>
        </w:trPr>
        <w:tc>
          <w:tcPr>
            <w:gridSpan w:val="2"/>
            <w:vMerge/>
            <w:tcBorders>
              <w:top w:val="single" w:sz="4" w:space="0" w:color="auto"/>
              <w:left w:val="single" w:sz="4" w:space="0" w:color="auto"/>
              <w:bottom w:val="single" w:sz="4" w:space="0" w:color="auto"/>
              <w:right w:val="single" w:sz="4" w:space="0" w:color="000000"/>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目标3</w:t>
            </w:r>
            <w:r>
              <w:rPr>
                <w:rFonts w:ascii="宋体" w:eastAsia="宋体" w:hAnsi="宋体" w:cs="宋体" w:hint="eastAsia"/>
                <w:color w:val="000000"/>
                <w:kern w:val="0"/>
                <w:sz w:val="18"/>
                <w:szCs w:val="18"/>
              </w:rPr>
              <w:t xml:space="preserve">:</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组织协调辖区重大执法任务及跨县（市）区域执法工作。</w:t>
            </w:r>
          </w:p>
        </w:tc>
        <w:tc>
          <w:tcPr>
            <w:tcW w:type="auto" w:w="0"/>
            <w:gridSpan w:val="4"/>
            <w:tcBorders>
              <w:top w:val="single" w:sz="4" w:space="0" w:color="auto"/>
              <w:left w:val="nil"/>
              <w:bottom w:val="single" w:sz="4" w:space="0" w:color="auto"/>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深入开展车辆超限超载、打非治违、路域环境整治等专项行动。</w:t>
            </w:r>
          </w:p>
        </w:tc>
      </w:tr>
      <w:tr w:rsidTr="00DF433F">
        <w:trPr>
          <w:gridAfter w:val="1"/>
          <w:wAfter w:w="107" w:type="pct"/>
          <w:trHeight w:val="461"/>
        </w:trPr>
        <w:tc>
          <w:tcPr>
            <w:tcW w:type="auto" w:w="0"/>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年度</w:t>
            </w:r>
            <w:r>
              <w:rPr/>
              <w:br/>
            </w:r>
            <w:r w:rsidRPr="000C4214">
              <w:rPr>
                <w:rFonts w:ascii="宋体" w:eastAsia="宋体" w:hAnsi="宋体" w:cs="宋体" w:hint="eastAsia"/>
                <w:color w:val="000000"/>
                <w:kern w:val="0"/>
                <w:sz w:val="18"/>
                <w:szCs w:val="18"/>
              </w:rPr>
              <w:t xml:space="preserve">主要</w:t>
            </w:r>
            <w:r>
              <w:rPr/>
              <w:br/>
            </w:r>
            <w:r w:rsidRPr="000C4214">
              <w:rPr>
                <w:rFonts w:ascii="宋体" w:eastAsia="宋体" w:hAnsi="宋体" w:cs="宋体" w:hint="eastAsia"/>
                <w:color w:val="000000"/>
                <w:kern w:val="0"/>
                <w:sz w:val="18"/>
                <w:szCs w:val="18"/>
              </w:rPr>
              <w:t xml:space="preserve">任务</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任务</w:t>
            </w:r>
            <w:r>
              <w:rPr/>
              <w:br/>
            </w:r>
            <w:r w:rsidRPr="000C4214">
              <w:rPr>
                <w:rFonts w:ascii="宋体" w:eastAsia="宋体" w:hAnsi="宋体" w:cs="宋体" w:hint="eastAsia"/>
                <w:color w:val="000000"/>
                <w:kern w:val="0"/>
                <w:sz w:val="18"/>
                <w:szCs w:val="18"/>
              </w:rPr>
              <w:t xml:space="preserve">名称</w:t>
            </w:r>
          </w:p>
        </w:tc>
        <w:tc>
          <w:tcPr>
            <w:tcW w:type="auto" w:w="0"/>
            <w:gridSpan w:val="3"/>
            <w:tcBorders>
              <w:top w:val="single" w:sz="4" w:space="0" w:color="auto"/>
              <w:left w:val="nil"/>
              <w:bottom w:val="single" w:sz="4" w:space="0" w:color="auto"/>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主要内容 </w:t>
            </w:r>
          </w:p>
        </w:tc>
        <w:tc>
          <w:tcPr>
            <w:tcW w:type="auto" w:w="0"/>
            <w:gridSpan w:val="4"/>
            <w:tcBorders>
              <w:top w:val="single" w:sz="4" w:space="0" w:color="auto"/>
              <w:left w:val="nil"/>
              <w:bottom w:val="single" w:sz="4" w:space="0" w:color="auto"/>
              <w:right w:val="single" w:sz="4" w:space="0" w:color="000000"/>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任务完成情况</w:t>
            </w:r>
          </w:p>
        </w:tc>
      </w:tr>
      <w:tr w:rsidTr="00DF433F">
        <w:trPr>
          <w:gridAfter w:val="1"/>
          <w:wAfter w:w="107" w:type="pct"/>
          <w:trHeight w:val="798"/>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人员素质提升及党建</w:t>
            </w:r>
          </w:p>
        </w:tc>
        <w:tc>
          <w:tcPr>
            <w:tcW w:type="auto" w:w="0"/>
            <w:gridSpan w:val="3"/>
            <w:tcBorders>
              <w:top w:val="single" w:sz="4" w:space="0" w:color="auto"/>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加强党建和廉政教育，提高执法人员素质,加快推进交通执法体制改革，确保队伍稳定；</w:t>
            </w:r>
          </w:p>
        </w:tc>
        <w:tc>
          <w:tcPr>
            <w:tcW w:type="auto" w:w="0"/>
            <w:gridSpan w:val="4"/>
            <w:tcBorders>
              <w:top w:val="single" w:sz="4" w:space="0" w:color="auto"/>
              <w:left w:val="nil"/>
              <w:bottom w:val="single" w:sz="4" w:space="0" w:color="auto"/>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坚持党建引领，加强干部队伍和能力作风建设，逐步提升执法信息化管理水平、行政执法规范化水平、执法队伍整体素质能力。</w:t>
            </w:r>
          </w:p>
        </w:tc>
      </w:tr>
      <w:tr w:rsidTr="00DF433F">
        <w:trPr>
          <w:gridAfter w:val="1"/>
          <w:wAfter w:w="107" w:type="pct"/>
          <w:trHeight w:val="1499"/>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综合执法</w:t>
            </w:r>
          </w:p>
        </w:tc>
        <w:tc>
          <w:tcPr>
            <w:tcW w:type="auto" w:w="0"/>
            <w:gridSpan w:val="3"/>
            <w:tcBorders>
              <w:top w:val="single" w:sz="4" w:space="0" w:color="auto"/>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加大治超力度，集中力量清剿“百吨王”；消除客运“三黑”现象，加大重点区域执法管控；</w:t>
            </w:r>
          </w:p>
        </w:tc>
        <w:tc>
          <w:tcPr>
            <w:tcW w:type="auto" w:w="0"/>
            <w:gridSpan w:val="4"/>
            <w:tcBorders>
              <w:top w:val="single" w:sz="4" w:space="0" w:color="auto"/>
              <w:left w:val="nil"/>
              <w:bottom w:val="single" w:sz="4" w:space="0" w:color="auto"/>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严打车辆超限超载，采取人防加技防方式加大治理力度，通过信用建设和联合惩戒联合多部门对违法车辆和个人进行了处罚；强化客运市场治理，成立工作专班，压实属地政府监管责任，结合全省交通运输执法领域突出问题专项整治，开展全市出租车市场突出问题专项整治。</w:t>
            </w:r>
          </w:p>
        </w:tc>
      </w:tr>
      <w:tr w:rsidTr="00DF433F">
        <w:trPr>
          <w:gridAfter w:val="1"/>
          <w:wAfter w:w="107" w:type="pct"/>
          <w:trHeight w:val="798"/>
        </w:trPr>
        <w:tc>
          <w:tcPr>
            <w:gridSpan w:val="2"/>
            <w:vMerge/>
            <w:tcBorders>
              <w:top w:val="single" w:sz="4" w:space="0" w:color="auto"/>
              <w:left w:val="single" w:sz="4" w:space="0" w:color="auto"/>
              <w:bottom w:val="single" w:sz="4" w:space="0" w:color="auto"/>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执法监督</w:t>
            </w:r>
          </w:p>
        </w:tc>
        <w:tc>
          <w:tcPr>
            <w:tcW w:type="auto" w:w="0"/>
            <w:gridSpan w:val="3"/>
            <w:tcBorders>
              <w:top w:val="single" w:sz="4" w:space="0" w:color="auto"/>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实行“路长制”管理，实现路域治理“六个无”；严格问责，强化执法监督成效。</w:t>
            </w:r>
          </w:p>
        </w:tc>
        <w:tc>
          <w:tcPr>
            <w:tcW w:type="auto" w:w="0"/>
            <w:gridSpan w:val="4"/>
            <w:tcBorders>
              <w:top w:val="single" w:sz="4" w:space="0" w:color="auto"/>
              <w:left w:val="nil"/>
              <w:bottom w:val="single" w:sz="4" w:space="0" w:color="auto"/>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强化执法监督检查，宽执法监督渠道，聘请社会义务监督员，专题搜集交通运输执法领域非法违法运营等问题线索。</w:t>
            </w:r>
          </w:p>
        </w:tc>
      </w:tr>
      <w:tr w:rsidTr="00DF433F">
        <w:trPr>
          <w:gridAfter w:val="1"/>
          <w:wAfter w:w="107" w:type="pct"/>
          <w:trHeight w:val="674"/>
        </w:trPr>
        <w:tc>
          <w:tcPr>
            <w:tcW w:type="auto" w:w="0"/>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一级指标</w:t>
            </w:r>
          </w:p>
        </w:tc>
        <w:tc>
          <w:tcPr>
            <w:tcW w:type="auto" w:w="0"/>
            <w:tcBorders>
              <w:top w:val="single" w:sz="4" w:space="0" w:color="auto"/>
              <w:left w:val="nil"/>
              <w:bottom w:val="nil"/>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分值</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二级指标</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三级指标</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年度指标值</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指标值说明</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实际完成值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分值</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得分</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偏差原因分析及改进措施</w:t>
            </w:r>
          </w:p>
        </w:tc>
      </w:tr>
      <w:tr w:rsidTr="00DF433F">
        <w:trPr>
          <w:gridAfter w:val="1"/>
          <w:wAfter w:w="107" w:type="pct"/>
          <w:trHeight w:val="1349"/>
        </w:trPr>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投入管理指标</w:t>
            </w:r>
          </w:p>
        </w:tc>
        <w:tc>
          <w:tcPr>
            <w:tcW w:type="auto" w:w="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30</w:t>
            </w:r>
          </w:p>
        </w:tc>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工作目标管理</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充分</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年度履职目标是否与部门职责、工作规划和重点工作相关；确定的预算项目是否合理，是否与工作目标密切相关；工作任务和项目预算安排是否合理。</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达成预期</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p>
        </w:tc>
      </w:tr>
      <w:tr w:rsidTr="00DF433F">
        <w:trPr>
          <w:gridAfter w:val="1"/>
          <w:wAfter w:w="107" w:type="pct"/>
          <w:trHeight w:val="1349"/>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工作任务科学性</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科学有效</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工作任务对应的预算项目是否有明确的绩效目标，绩效目标是否与部门职责目标、工作任务目标一致，是否能体现预算项目的产出和效果</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达成预期</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2248"/>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auto"/>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绩效指标合理性</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合理</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工作任务、预算项目绩效指标设置是否准确反映部门绩效完成情况；工作任务、预算项目绩效指标是否清晰、细化、可评价、可衡量；工作任务、预算项目绩效指标的评价标准是否清晰、可衡量；是否与部门年度的任务数或计划数相对应。</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达成预期</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1124"/>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vMerge w:val="restart"/>
            <w:tcBorders>
              <w:top w:val="nil"/>
              <w:left w:val="single" w:sz="4" w:space="0" w:color="auto"/>
              <w:bottom w:val="nil"/>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预算和财务管理</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预算编制完整性</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20"/>
                <w:szCs w:val="20"/>
              </w:rPr>
            </w:pPr>
            <w:r w:rsidRPr="000C4214">
              <w:rPr>
                <w:rFonts w:ascii="宋体" w:eastAsia="宋体" w:hAnsi="宋体" w:cs="宋体" w:hint="eastAsia"/>
                <w:color w:val="000000"/>
                <w:kern w:val="0"/>
                <w:sz w:val="20"/>
                <w:szCs w:val="20"/>
              </w:rPr>
              <w:t xml:space="preserve">完整</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部门所有收入是否全部纳入部门预算；部门支出预算是否统筹各类资金来源，全部纳入部门预算管理。</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达成预期</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899"/>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≥95%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专项资金细化率=（已细化到具体市县和承担单位的资金数/部门参与分配资金总数）×100%。</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黑体" w:eastAsia="黑体" w:hAnsi="黑体" w:cs="宋体"/>
                <w:color w:val="000000"/>
                <w:kern w:val="0"/>
                <w:sz w:val="18"/>
                <w:szCs w:val="18"/>
              </w:rPr>
            </w:pPr>
            <w:r w:rsidRPr="000C4214">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2248"/>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预算调整率</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1574"/>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结转结余率</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≤20%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结转结余率=结转结余总额/预算数*100%。结转结余总额是指部门本年度的结转结余资金之和。预算数是指财政部门批复的本年度部门的（调整）预算数。</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899"/>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“三公经费”控制率</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“三公经费”控制率=本年度“三公经费”实际支出数/“三公经费”预算数*100%</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达成预期</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1724"/>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20"/>
                <w:szCs w:val="20"/>
              </w:rPr>
            </w:pPr>
            <w:r w:rsidRPr="000C4214">
              <w:rPr>
                <w:rFonts w:ascii="宋体" w:eastAsia="宋体" w:hAnsi="宋体" w:cs="宋体" w:hint="eastAsia"/>
                <w:kern w:val="0"/>
                <w:sz w:val="20"/>
                <w:szCs w:val="20"/>
              </w:rPr>
              <w:t xml:space="preserve">政府采购执行率</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≥95%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政府采购执行率=（实际政府采购金额/政府采购预算数）×100%。政府采购预算：采购机关根据事业发展计划和行政任务编制的、并经过规定程序批准的年度政府采购计划。</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1109"/>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决算真实性</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真实</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反映本部门决算工作情况。决算编制数据是否账表一致，即决算报表数据与会计账簿数据是否一致。</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达成预期</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4048"/>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20"/>
                <w:szCs w:val="20"/>
              </w:rPr>
            </w:pPr>
            <w:r w:rsidRPr="000C4214">
              <w:rPr>
                <w:rFonts w:ascii="宋体" w:eastAsia="宋体" w:hAnsi="宋体" w:cs="宋体" w:hint="eastAsia"/>
                <w:kern w:val="0"/>
                <w:sz w:val="20"/>
                <w:szCs w:val="20"/>
              </w:rPr>
              <w:t xml:space="preserve">资金使用合规性</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合规</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达成预期</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2923"/>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20"/>
                <w:szCs w:val="20"/>
              </w:rPr>
            </w:pPr>
            <w:r w:rsidRPr="000C4214">
              <w:rPr>
                <w:rFonts w:ascii="宋体" w:eastAsia="宋体" w:hAnsi="宋体" w:cs="宋体" w:hint="eastAsia"/>
                <w:kern w:val="0"/>
                <w:sz w:val="20"/>
                <w:szCs w:val="20"/>
              </w:rPr>
              <w:t xml:space="preserve">管理制度健全性</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制度健全</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部分达成预期</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color w:val="000000"/>
                <w:kern w:val="0"/>
                <w:sz w:val="12"/>
                <w:szCs w:val="12"/>
              </w:rPr>
            </w:pPr>
            <w:r w:rsidRPr="000C4214">
              <w:rPr>
                <w:rFonts w:ascii="宋体" w:eastAsia="宋体" w:hAnsi="宋体" w:cs="宋体" w:hint="eastAsia"/>
                <w:color w:val="000000"/>
                <w:kern w:val="0"/>
                <w:sz w:val="12"/>
                <w:szCs w:val="12"/>
              </w:rPr>
              <w:t xml:space="preserve">　</w:t>
            </w:r>
          </w:p>
        </w:tc>
      </w:tr>
      <w:tr w:rsidTr="00DF433F">
        <w:trPr>
          <w:gridAfter w:val="1"/>
          <w:wAfter w:w="107" w:type="pct"/>
          <w:trHeight w:val="2248"/>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预决算信息公开性</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依法公开</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达成预期</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4302"/>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20"/>
                <w:szCs w:val="20"/>
              </w:rPr>
            </w:pPr>
            <w:r w:rsidRPr="000C4214">
              <w:rPr>
                <w:rFonts w:ascii="宋体" w:eastAsia="宋体" w:hAnsi="宋体" w:cs="宋体" w:hint="eastAsia"/>
                <w:kern w:val="0"/>
                <w:sz w:val="20"/>
                <w:szCs w:val="20"/>
              </w:rPr>
              <w:t xml:space="preserve">资产管理规范性</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规范</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达成预期</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0.5</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偏差原因：不能严格按照资产管理制度执行。改进措施：完善相关制度，加强人员管理，严格各项制度的落实。</w:t>
            </w:r>
          </w:p>
        </w:tc>
      </w:tr>
      <w:tr w:rsidTr="00DF433F">
        <w:trPr>
          <w:gridAfter w:val="1"/>
          <w:wAfter w:w="107" w:type="pct"/>
          <w:trHeight w:val="1349"/>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绩效管理</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20"/>
                <w:szCs w:val="20"/>
              </w:rPr>
            </w:pPr>
            <w:r w:rsidRPr="000C4214">
              <w:rPr>
                <w:rFonts w:ascii="宋体" w:eastAsia="宋体" w:hAnsi="宋体" w:cs="宋体" w:hint="eastAsia"/>
                <w:kern w:val="0"/>
                <w:sz w:val="20"/>
                <w:szCs w:val="20"/>
              </w:rPr>
              <w:t xml:space="preserve">绩效监控完成率</w:t>
            </w:r>
          </w:p>
        </w:tc>
        <w:tc>
          <w:tcPr>
            <w:tcW w:type="auto" w:w="0"/>
            <w:tcBorders>
              <w:top w:val="single" w:sz="4" w:space="0" w:color="auto"/>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黑体" w:eastAsia="黑体" w:hAnsi="黑体" w:cs="宋体"/>
                <w:color w:val="000000"/>
                <w:kern w:val="0"/>
                <w:sz w:val="18"/>
                <w:szCs w:val="18"/>
              </w:rPr>
            </w:pPr>
            <w:r w:rsidRPr="000C4214">
              <w:rPr>
                <w:rFonts w:ascii="黑体" w:eastAsia="黑体" w:hAnsi="黑体" w:cs="宋体" w:hint="eastAsia"/>
                <w:color w:val="000000"/>
                <w:kern w:val="0"/>
                <w:sz w:val="18"/>
                <w:szCs w:val="18"/>
              </w:rPr>
              <w:t xml:space="preserve">100%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部门（单位）按要求实施绩效自评的项目数量占应实施绩效自评项目总数的比重。部门绩效自评完成率=已完成评价项目数量/部门项目总数*100%</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达成预期</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1589"/>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20"/>
                <w:szCs w:val="20"/>
              </w:rPr>
            </w:pPr>
            <w:r w:rsidRPr="000C4214">
              <w:rPr>
                <w:rFonts w:ascii="宋体" w:eastAsia="宋体" w:hAnsi="宋体" w:cs="宋体" w:hint="eastAsia"/>
                <w:kern w:val="0"/>
                <w:sz w:val="20"/>
                <w:szCs w:val="20"/>
              </w:rPr>
              <w:t xml:space="preserve">绩效自评完成率</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黑体" w:eastAsia="黑体" w:hAnsi="黑体" w:cs="宋体"/>
                <w:color w:val="000000"/>
                <w:kern w:val="0"/>
                <w:sz w:val="18"/>
                <w:szCs w:val="18"/>
              </w:rPr>
            </w:pPr>
            <w:r w:rsidRPr="000C4214">
              <w:rPr>
                <w:rFonts w:ascii="黑体" w:eastAsia="黑体" w:hAnsi="黑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部门（单位）按要求实施绩效自评的项目数量占应实施绩效自评项目总数的比重。部门绩效自评完成率=已完成评价项目数量/部门项目总数*100%</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1124"/>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20"/>
                <w:szCs w:val="20"/>
              </w:rPr>
            </w:pPr>
            <w:r w:rsidRPr="000C4214">
              <w:rPr>
                <w:rFonts w:ascii="宋体" w:eastAsia="宋体" w:hAnsi="宋体" w:cs="宋体" w:hint="eastAsia"/>
                <w:kern w:val="0"/>
                <w:sz w:val="20"/>
                <w:szCs w:val="20"/>
              </w:rPr>
              <w:t xml:space="preserve">部门绩效评价完成率</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黑体" w:eastAsia="黑体" w:hAnsi="黑体" w:cs="宋体"/>
                <w:color w:val="000000"/>
                <w:kern w:val="0"/>
                <w:sz w:val="18"/>
                <w:szCs w:val="18"/>
              </w:rPr>
            </w:pPr>
            <w:r w:rsidRPr="000C4214">
              <w:rPr>
                <w:rFonts w:ascii="黑体" w:eastAsia="黑体" w:hAnsi="黑体" w:cs="宋体" w:hint="eastAsia"/>
                <w:color w:val="000000"/>
                <w:kern w:val="0"/>
                <w:sz w:val="18"/>
                <w:szCs w:val="18"/>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部门重点绩效评价项目评价完成情况。部门绩效评价完成率=已完成评价项目数量/部门重点绩效评价项目数*100%</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2</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1619"/>
        </w:trPr>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auto"/>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20"/>
                <w:szCs w:val="20"/>
              </w:rPr>
            </w:pPr>
            <w:r w:rsidRPr="000C4214">
              <w:rPr>
                <w:rFonts w:ascii="宋体" w:eastAsia="宋体" w:hAnsi="宋体" w:cs="宋体" w:hint="eastAsia"/>
                <w:kern w:val="0"/>
                <w:sz w:val="20"/>
                <w:szCs w:val="20"/>
              </w:rPr>
              <w:t xml:space="preserve">评价结果应用率</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center"/>
              <w:rPr>
                <w:rFonts w:ascii="黑体" w:eastAsia="黑体" w:hAnsi="黑体" w:cs="宋体"/>
                <w:color w:val="000000"/>
                <w:kern w:val="0"/>
                <w:sz w:val="18"/>
                <w:szCs w:val="18"/>
              </w:rPr>
            </w:pPr>
            <w:r w:rsidRPr="000C4214">
              <w:rPr>
                <w:rFonts w:ascii="黑体" w:eastAsia="黑体" w:hAnsi="黑体" w:cs="宋体" w:hint="eastAsia"/>
                <w:color w:val="000000"/>
                <w:kern w:val="0"/>
                <w:sz w:val="18"/>
                <w:szCs w:val="18"/>
              </w:rPr>
              <w:t xml:space="preserve">100%</w:t>
            </w:r>
          </w:p>
        </w:tc>
        <w:tc>
          <w:tcPr>
            <w:tcW w:type="auto" w:w="0"/>
            <w:tcBorders>
              <w:top w:val="nil"/>
              <w:left w:val="single" w:sz="4" w:space="0" w:color="000000"/>
              <w:bottom w:val="nil"/>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绩效监控、单位自评、部门绩效评价、财政重点绩效评价结果应用情况。评价结果应用率=评价提出的意见建议采纳数/提出的意见建议总数*100%</w:t>
            </w:r>
          </w:p>
        </w:tc>
        <w:tc>
          <w:tcPr>
            <w:tcW w:type="auto" w:w="0"/>
            <w:tcBorders>
              <w:top w:val="nil"/>
              <w:left w:val="single" w:sz="4" w:space="0" w:color="auto"/>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1964"/>
        </w:trPr>
        <w:tc>
          <w:tcPr>
            <w:tcW w:type="auto" w:w="0"/>
            <w:vMerge w:val="restart"/>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产出指标</w:t>
            </w:r>
          </w:p>
        </w:tc>
        <w:tc>
          <w:tcPr>
            <w:tcW w:type="auto" w:w="0"/>
            <w:vMerge w:val="restart"/>
            <w:tcBorders>
              <w:top w:val="nil"/>
              <w:left w:val="single" w:sz="4" w:space="0" w:color="auto"/>
              <w:bottom w:val="nil"/>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25</w:t>
            </w:r>
          </w:p>
        </w:tc>
        <w:tc>
          <w:tcPr>
            <w:tcW w:type="auto" w:w="0"/>
            <w:tcBorders>
              <w:top w:val="nil"/>
              <w:left w:val="nil"/>
              <w:bottom w:val="nil"/>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承接年度总体工作的各牵头单位工作完成情况。</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20"/>
                <w:szCs w:val="20"/>
              </w:rPr>
            </w:pPr>
            <w:r w:rsidRPr="000C4214">
              <w:rPr>
                <w:rFonts w:ascii="宋体" w:eastAsia="宋体" w:hAnsi="宋体" w:cs="宋体" w:hint="eastAsia"/>
                <w:color w:val="000000"/>
                <w:kern w:val="0"/>
                <w:sz w:val="20"/>
                <w:szCs w:val="20"/>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承接市委市政府年度工作任务的牵头单位制定的工作要点是否涵盖所要承接的重点工作。工作完成率=工作要点已完成的数量/工作要点工作总数量。得分=指标实际完成值×指标分值。</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20"/>
                <w:szCs w:val="20"/>
              </w:rPr>
            </w:pPr>
            <w:r w:rsidRPr="000C4214">
              <w:rPr>
                <w:rFonts w:ascii="宋体" w:eastAsia="宋体" w:hAnsi="宋体" w:cs="宋体" w:hint="eastAsia"/>
                <w:color w:val="000000"/>
                <w:kern w:val="0"/>
                <w:sz w:val="20"/>
                <w:szCs w:val="20"/>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1259"/>
        </w:trPr>
        <w:tc>
          <w:tcPr>
            <w:vMerge/>
            <w:tcBorders>
              <w:top w:val="nil"/>
              <w:left w:val="single" w:sz="4" w:space="0" w:color="auto"/>
              <w:bottom w:val="single" w:sz="4" w:space="0" w:color="auto"/>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single" w:sz="4" w:space="0" w:color="auto"/>
              <w:left w:val="nil"/>
              <w:bottom w:val="nil"/>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履职目标实现</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部门年度总体工作完成情况</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20"/>
                <w:szCs w:val="20"/>
              </w:rPr>
            </w:pPr>
            <w:r w:rsidRPr="000C4214">
              <w:rPr>
                <w:rFonts w:ascii="宋体" w:eastAsia="宋体" w:hAnsi="宋体" w:cs="宋体" w:hint="eastAsia"/>
                <w:color w:val="000000"/>
                <w:kern w:val="0"/>
                <w:sz w:val="20"/>
                <w:szCs w:val="20"/>
              </w:rPr>
              <w:t xml:space="preserve">≥95%</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总体工作完成率=部门年度工作要点已完成的数量/部门年度工作要点工作总数量。得分=指标实际完成值×指标分值。</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99%</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gridAfter w:val="1"/>
          <w:wAfter w:w="107" w:type="pct"/>
          <w:trHeight w:val="312"/>
        </w:trPr>
        <w:tc>
          <w:tcPr>
            <w:tcW w:type="auto" w:w="0"/>
            <w:vMerge w:val="restart"/>
            <w:tcBorders>
              <w:top w:val="nil"/>
              <w:left w:val="single" w:sz="4" w:space="0" w:color="auto"/>
              <w:bottom w:val="nil"/>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效益指标</w:t>
            </w:r>
          </w:p>
        </w:tc>
        <w:tc>
          <w:tcPr>
            <w:tcW w:type="auto" w:w="0"/>
            <w:vMerge w:val="restart"/>
            <w:tcBorders>
              <w:top w:val="single" w:sz="4" w:space="0" w:color="auto"/>
              <w:left w:val="single" w:sz="4" w:space="0" w:color="auto"/>
              <w:bottom w:val="nil"/>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35</w:t>
            </w:r>
          </w:p>
        </w:tc>
        <w:tc>
          <w:tcPr>
            <w:tcW w:type="auto" w:w="0"/>
            <w:vMerge w:val="restart"/>
            <w:tcBorders>
              <w:top w:val="single" w:sz="4" w:space="0" w:color="auto"/>
              <w:left w:val="single" w:sz="4" w:space="0" w:color="auto"/>
              <w:bottom w:val="nil"/>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履职效益</w:t>
            </w:r>
          </w:p>
        </w:tc>
        <w:tc>
          <w:tcPr>
            <w:tcW w:type="auto" w:w="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20"/>
                <w:szCs w:val="20"/>
              </w:rPr>
            </w:pPr>
            <w:r w:rsidRPr="000C4214">
              <w:rPr>
                <w:rFonts w:ascii="宋体" w:eastAsia="宋体" w:hAnsi="宋体" w:cs="宋体" w:hint="eastAsia"/>
                <w:kern w:val="0"/>
                <w:sz w:val="20"/>
                <w:szCs w:val="20"/>
              </w:rPr>
              <w:t xml:space="preserve">围绕服务型执法，做好综合交通综合执法工作。</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20"/>
                <w:szCs w:val="20"/>
              </w:rPr>
            </w:pPr>
            <w:r w:rsidRPr="000C4214">
              <w:rPr>
                <w:rFonts w:ascii="宋体" w:eastAsia="宋体" w:hAnsi="宋体" w:cs="宋体" w:hint="eastAsia"/>
                <w:color w:val="000000"/>
                <w:kern w:val="0"/>
                <w:sz w:val="20"/>
                <w:szCs w:val="20"/>
              </w:rPr>
              <w:t xml:space="preserve">≥95%</w:t>
            </w:r>
          </w:p>
        </w:tc>
        <w:tc>
          <w:tcPr>
            <w:tcW w:type="auto" w:w="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以常态化综合行政执法为中心工作，高效推进科技信息化执法工作，完善监督机制，强化执法监督成效。</w:t>
            </w:r>
          </w:p>
        </w:tc>
        <w:tc>
          <w:tcPr>
            <w:tcW w:type="auto" w:w="0"/>
            <w:vMerge w:val="restart"/>
            <w:tcBorders>
              <w:top w:val="nil"/>
              <w:left w:val="single" w:sz="4" w:space="0" w:color="auto"/>
              <w:bottom w:val="single" w:sz="4" w:space="0" w:color="000000"/>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98%</w:t>
            </w:r>
          </w:p>
        </w:tc>
        <w:tc>
          <w:tcPr>
            <w:tcW w:type="auto" w:w="0"/>
            <w:vMerge w:val="restart"/>
            <w:tcBorders>
              <w:top w:val="nil"/>
              <w:left w:val="single" w:sz="4" w:space="0" w:color="auto"/>
              <w:bottom w:val="single" w:sz="4" w:space="0" w:color="000000"/>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15</w:t>
            </w:r>
          </w:p>
        </w:tc>
        <w:tc>
          <w:tcPr>
            <w:tcW w:type="auto" w:w="0"/>
            <w:vMerge w:val="restart"/>
            <w:tcBorders>
              <w:top w:val="nil"/>
              <w:left w:val="single" w:sz="4" w:space="0" w:color="auto"/>
              <w:bottom w:val="single" w:sz="4" w:space="0" w:color="000000"/>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15</w:t>
            </w:r>
          </w:p>
        </w:tc>
        <w:tc>
          <w:tcPr>
            <w:tcW w:type="auto" w:w="0"/>
            <w:vMerge w:val="restart"/>
            <w:tcBorders>
              <w:top w:val="nil"/>
              <w:left w:val="single" w:sz="4" w:space="0" w:color="auto"/>
              <w:bottom w:val="single" w:sz="4" w:space="0" w:color="000000"/>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r>
      <w:tr w:rsidTr="00DF433F">
        <w:trPr>
          <w:trHeight w:val="899"/>
        </w:trPr>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kern w:val="0"/>
                <w:sz w:val="20"/>
                <w:szCs w:val="20"/>
              </w:rPr>
            </w:pPr>
          </w:p>
        </w:tc>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20"/>
                <w:szCs w:val="20"/>
              </w:rPr>
            </w:pPr>
          </w:p>
        </w:tc>
        <w:tc>
          <w:tcPr>
            <w:vMerge/>
            <w:tcBorders>
              <w:top w:val="single" w:sz="4" w:space="0" w:color="auto"/>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nil"/>
              <w:left w:val="single" w:sz="4" w:space="0" w:color="auto"/>
              <w:bottom w:val="single" w:sz="4" w:space="0" w:color="000000"/>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nil"/>
              <w:left w:val="nil"/>
              <w:bottom w:val="nil"/>
              <w:right w:val="nil"/>
            </w:tcBorders>
            <w:shd w:val="clear" w:color="auto" w:fill="auto"/>
            <w:noWrap w:val="1"/>
            <w:vAlign w:val="bottom"/>
            <w:hideMark/>
          </w:tcPr>
          <w:p>
            <w:pPr>
              <w:pStyle w:val="Normal_abb99cce-12a8-4035-aa1d-8ff9f1fa8277"/>
              <w:widowControl/>
              <w:jc w:val="center"/>
              <w:rPr>
                <w:rFonts w:ascii="宋体" w:eastAsia="宋体" w:hAnsi="宋体" w:cs="宋体"/>
                <w:color w:val="000000"/>
                <w:kern w:val="0"/>
                <w:sz w:val="18"/>
                <w:szCs w:val="18"/>
              </w:rPr>
            </w:pPr>
          </w:p>
        </w:tc>
      </w:tr>
      <w:tr w:rsidTr="00DF433F">
        <w:trPr>
          <w:trHeight w:val="1064"/>
        </w:trPr>
        <w:tc>
          <w:tcPr>
            <w:vMerge/>
            <w:tcBorders>
              <w:top w:val="nil"/>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vMerge/>
            <w:tcBorders>
              <w:top w:val="single" w:sz="4" w:space="0" w:color="auto"/>
              <w:left w:val="single" w:sz="4" w:space="0" w:color="auto"/>
              <w:bottom w:val="nil"/>
              <w:right w:val="single" w:sz="4" w:space="0" w:color="auto"/>
            </w:tcBorders>
            <w:vAlign w:val="center"/>
            <w:hideMark/>
          </w:tcPr>
          <w:p>
            <w:pPr>
              <w:pStyle w:val="Normal_abb99cce-12a8-4035-aa1d-8ff9f1fa8277"/>
              <w:widowControl/>
              <w:jc w:val="left"/>
              <w:rPr>
                <w:rFonts w:ascii="宋体" w:eastAsia="宋体" w:hAnsi="宋体" w:cs="宋体"/>
                <w:color w:val="000000"/>
                <w:kern w:val="0"/>
                <w:sz w:val="18"/>
                <w:szCs w:val="18"/>
              </w:rPr>
            </w:pPr>
          </w:p>
        </w:tc>
        <w:tc>
          <w:tcPr>
            <w:tcW w:type="auto" w:w="0"/>
            <w:tcBorders>
              <w:top w:val="single" w:sz="4" w:space="0" w:color="auto"/>
              <w:left w:val="nil"/>
              <w:bottom w:val="nil"/>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满意度</w:t>
            </w:r>
          </w:p>
        </w:tc>
        <w:tc>
          <w:tcPr>
            <w:tcW w:type="auto" w:w="0"/>
            <w:tcBorders>
              <w:top w:val="nil"/>
              <w:left w:val="nil"/>
              <w:bottom w:val="single" w:sz="4" w:space="0" w:color="auto"/>
              <w:right w:val="single" w:sz="4" w:space="0" w:color="auto"/>
            </w:tcBorders>
            <w:shd w:val="clear" w:color="auto" w:fill="auto"/>
            <w:vAlign w:val="center"/>
            <w:hideMark/>
          </w:tcPr>
          <w:p>
            <w:pPr>
              <w:pStyle w:val="Normal_abb99cce-12a8-4035-aa1d-8ff9f1fa8277"/>
              <w:widowControl/>
              <w:jc w:val="left"/>
              <w:rPr>
                <w:rFonts w:ascii="宋体" w:eastAsia="宋体" w:hAnsi="宋体" w:cs="宋体"/>
                <w:kern w:val="0"/>
                <w:sz w:val="20"/>
                <w:szCs w:val="20"/>
              </w:rPr>
            </w:pPr>
            <w:r w:rsidRPr="000C4214">
              <w:rPr>
                <w:rFonts w:ascii="宋体" w:eastAsia="宋体" w:hAnsi="宋体" w:cs="宋体" w:hint="eastAsia"/>
                <w:kern w:val="0"/>
                <w:sz w:val="20"/>
                <w:szCs w:val="20"/>
              </w:rPr>
              <w:t xml:space="preserve"> 群众满意度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≥95%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0C4214">
              <w:rPr>
                <w:rFonts w:ascii="宋体" w:eastAsia="宋体" w:hAnsi="宋体" w:cs="宋体" w:hint="eastAsia"/>
                <w:kern w:val="0"/>
                <w:sz w:val="18"/>
                <w:szCs w:val="18"/>
              </w:rPr>
              <w:t xml:space="preserve">通过问卷调查的方式获得，用百分比衡量</w:t>
            </w:r>
            <w:r>
              <w:rPr/>
              <w:br/>
            </w:r>
            <w:r w:rsidRPr="000C4214">
              <w:rPr>
                <w:rFonts w:ascii="宋体" w:eastAsia="宋体" w:hAnsi="宋体" w:cs="宋体" w:hint="eastAsia"/>
                <w:kern w:val="0"/>
                <w:sz w:val="18"/>
                <w:szCs w:val="18"/>
              </w:rPr>
              <w:t xml:space="preserve">得分=实际完成值÷目标值×指标分值。</w:t>
            </w:r>
          </w:p>
        </w:tc>
        <w:tc>
          <w:tcPr>
            <w:tcW w:type="auto" w:w="0"/>
            <w:tcBorders>
              <w:top w:val="nil"/>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0C4214">
              <w:rPr>
                <w:rFonts w:ascii="宋体" w:eastAsia="宋体" w:hAnsi="宋体" w:cs="宋体" w:hint="eastAsia"/>
                <w:kern w:val="0"/>
                <w:sz w:val="18"/>
                <w:szCs w:val="18"/>
              </w:rPr>
              <w:t xml:space="preserve">99%</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20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c>
          <w:tcPr>
            <w:tcW w:type="auto" w:w="0"/>
            <w:vAlign w:val="center"/>
            <w:hideMark/>
          </w:tcPr>
          <w:p>
            <w:pPr>
              <w:pStyle w:val="Normal_abb99cce-12a8-4035-aa1d-8ff9f1fa8277"/>
              <w:widowControl/>
              <w:jc w:val="left"/>
              <w:rPr>
                <w:rFonts w:ascii="Times New Roman" w:eastAsia="Times New Roman" w:hAnsi="Times New Roman" w:cs="Times New Roman"/>
                <w:kern w:val="0"/>
                <w:sz w:val="20"/>
                <w:szCs w:val="20"/>
              </w:rPr>
            </w:pPr>
          </w:p>
        </w:tc>
      </w:tr>
      <w:tr w:rsidTr="001D2C15">
        <w:trPr>
          <w:trHeight w:val="401"/>
        </w:trPr>
        <w:tc>
          <w:tcPr>
            <w:tcW w:type="auto" w:w="0"/>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总分（100分）</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100</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center"/>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99.5</w:t>
            </w:r>
          </w:p>
        </w:tc>
        <w:tc>
          <w:tcPr>
            <w:tcW w:type="auto" w:w="0"/>
            <w:tcBorders>
              <w:top w:val="nil"/>
              <w:left w:val="nil"/>
              <w:bottom w:val="single" w:sz="4" w:space="0" w:color="auto"/>
              <w:right w:val="single" w:sz="4" w:space="0" w:color="auto"/>
            </w:tcBorders>
            <w:shd w:val="clear" w:color="auto" w:fill="auto"/>
            <w:noWrap w:val="1"/>
            <w:vAlign w:val="center"/>
            <w:hideMark/>
          </w:tcPr>
          <w:p>
            <w:pPr>
              <w:pStyle w:val="Normal_abb99cce-12a8-4035-aa1d-8ff9f1fa8277"/>
              <w:widowControl/>
              <w:jc w:val="left"/>
              <w:rPr>
                <w:rFonts w:ascii="宋体" w:eastAsia="宋体" w:hAnsi="宋体" w:cs="宋体"/>
                <w:color w:val="000000"/>
                <w:kern w:val="0"/>
                <w:sz w:val="18"/>
                <w:szCs w:val="18"/>
              </w:rPr>
            </w:pPr>
            <w:r w:rsidRPr="000C4214">
              <w:rPr>
                <w:rFonts w:ascii="宋体" w:eastAsia="宋体" w:hAnsi="宋体" w:cs="宋体" w:hint="eastAsia"/>
                <w:color w:val="000000"/>
                <w:kern w:val="0"/>
                <w:sz w:val="18"/>
                <w:szCs w:val="18"/>
              </w:rPr>
              <w:t xml:space="preserve">　</w:t>
            </w:r>
          </w:p>
        </w:tc>
        <w:tc>
          <w:tcPr>
            <w:tcW w:type="auto" w:w="0"/>
            <w:vAlign w:val="center"/>
            <w:hideMark/>
          </w:tcPr>
          <w:p>
            <w:pPr>
              <w:pStyle w:val="Normal_abb99cce-12a8-4035-aa1d-8ff9f1fa8277"/>
              <w:widowControl/>
              <w:jc w:val="left"/>
              <w:rPr>
                <w:rFonts w:ascii="Times New Roman" w:eastAsia="Times New Roman" w:hAnsi="Times New Roman" w:cs="Times New Roman"/>
                <w:kern w:val="0"/>
                <w:sz w:val="20"/>
                <w:szCs w:val="20"/>
              </w:rPr>
            </w:pPr>
          </w:p>
        </w:tc>
      </w:tr>
    </w:tbl>
    <w:p>
      <w:pPr>
        <w:pStyle w:val="Normal_abb99cce-12a8-4035-aa1d-8ff9f1fa8277"/>
        <w:rPr/>
        <w:sectPr>
          <w:pgSz w:w="11906" w:h="16838" w:orient="portrait"/>
          <w:pgMar w:top="567" w:right="567" w:bottom="567" w:left="1134" w:header="851" w:footer="992" w:gutter="0"/>
          <w:cols w:num="1" w:space="425">
            <w:col w:w="10205" w:space="425"/>
          </w:cols>
          <w:docGrid w:type="lines" w:linePitch="312"/>
        </w:sectPr>
      </w:pPr>
    </w:p>
    <w:tbl>
      <w:tblPr>
        <w:tblStyle w:val="NormalTable_3e5e42d8-a8e4-4008-a97a-79e1eef98309"/>
        <w:tblW w:w="5000" w:type="pct"/>
        <w:tblLook w:val="04A0" w:firstRow="1" w:lastRow="0" w:firstColumn="1" w:lastColumn="0" w:noHBand="0" w:noVBand="1"/>
      </w:tblPr>
      <w:tblGrid>
        <w:gridCol w:w="882"/>
        <w:gridCol w:w="1013"/>
        <w:gridCol w:w="1181"/>
        <w:gridCol w:w="1105"/>
        <w:gridCol w:w="1847"/>
        <w:gridCol w:w="1509"/>
        <w:gridCol w:w="1102"/>
        <w:gridCol w:w="942"/>
        <w:gridCol w:w="1105"/>
        <w:gridCol w:w="1108"/>
        <w:gridCol w:w="955"/>
        <w:gridCol w:w="955"/>
        <w:gridCol w:w="2216"/>
      </w:tblGrid>
      <w:tr w:rsidTr="004313DF">
        <w:trPr>
          <w:trHeight w:val="547"/>
        </w:trPr>
        <w:tc>
          <w:tcPr>
            <w:tcW w:type="auto" w:w="0"/>
            <w:gridSpan w:val="13"/>
            <w:tcBorders>
              <w:top w:val="nil"/>
              <w:left w:val="nil"/>
              <w:bottom w:val="nil"/>
              <w:right w:val="nil"/>
            </w:tcBorders>
            <w:shd w:val="clear" w:color="auto" w:fill="auto"/>
            <w:vAlign w:val="center"/>
            <w:hideMark/>
          </w:tcPr>
          <w:p>
            <w:pPr>
              <w:pStyle w:val="Normal_abb99cce-12a8-4035-aa1d-8ff9f1fa8277"/>
              <w:widowControl/>
              <w:jc w:val="center"/>
              <w:rPr>
                <w:rFonts w:ascii="宋体" w:eastAsia="宋体" w:hAnsi="宋体" w:cs="宋体"/>
                <w:b/>
                <w:bCs/>
                <w:kern w:val="0"/>
                <w:sz w:val="38"/>
                <w:szCs w:val="38"/>
              </w:rPr>
            </w:pPr>
            <w:r w:rsidRPr="009B3CB8">
              <w:rPr>
                <w:rFonts w:ascii="宋体" w:eastAsia="宋体" w:hAnsi="宋体" w:cs="宋体" w:hint="eastAsia"/>
                <w:b/>
                <w:bCs/>
                <w:kern w:val="0"/>
                <w:sz w:val="38"/>
                <w:szCs w:val="38"/>
              </w:rPr>
              <w:t xml:space="preserve">项目单位自评表</w:t>
            </w:r>
          </w:p>
        </w:tc>
      </w:tr>
      <w:tr w:rsidTr="004313DF">
        <w:trPr>
          <w:trHeight w:val="273"/>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2023年执法工作经费（上级配套支出）</w:t>
            </w:r>
          </w:p>
        </w:tc>
      </w:tr>
      <w:tr w:rsidTr="004313DF">
        <w:trPr>
          <w:trHeight w:val="273"/>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许昌市交通运输局</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许昌市交通运输综合行政执法支队</w:t>
            </w:r>
          </w:p>
        </w:tc>
      </w:tr>
      <w:tr w:rsidTr="004313DF">
        <w:trPr>
          <w:trHeight w:val="273"/>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执行率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得分</w:t>
            </w:r>
          </w:p>
        </w:tc>
      </w:tr>
      <w:tr w:rsidTr="004313DF">
        <w:trPr>
          <w:trHeight w:val="273"/>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257</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244.28</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244.28</w:t>
            </w:r>
          </w:p>
        </w:tc>
        <w:tc>
          <w:tcPr>
            <w:tcW w:type="auto" w:w="0"/>
            <w:tcBorders>
              <w:top w:val="nil"/>
              <w:left w:val="nil"/>
              <w:bottom w:val="nil"/>
              <w:right w:val="nil"/>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95.05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9.51</w:t>
            </w:r>
          </w:p>
        </w:tc>
      </w:tr>
      <w:tr w:rsidTr="004313DF">
        <w:trPr>
          <w:trHeight w:val="273"/>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257</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244.28</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244.28</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95.05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w:t>
            </w:r>
          </w:p>
        </w:tc>
      </w:tr>
      <w:tr w:rsidTr="004313DF">
        <w:trPr>
          <w:trHeight w:val="273"/>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w:t>
            </w:r>
          </w:p>
        </w:tc>
      </w:tr>
      <w:tr w:rsidTr="004313DF">
        <w:trPr>
          <w:trHeight w:val="273"/>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w:t>
            </w:r>
          </w:p>
        </w:tc>
      </w:tr>
      <w:tr w:rsidTr="004313DF">
        <w:trPr>
          <w:trHeight w:val="273"/>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情况说明</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存在问题和改进措施</w:t>
            </w:r>
          </w:p>
        </w:tc>
      </w:tr>
      <w:tr w:rsidTr="004313DF">
        <w:trPr>
          <w:trHeight w:val="436"/>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根据部门职能及单位实际工作任务，合理安排经费预算指标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273"/>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能够按照时间节点计划有序拨付</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436"/>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根据单位实际情况及年初年初预算安排，合理合规使用</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436"/>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健全绩效管理工作机制，明确职责分工；做好目标绩效编制；加强事中绩效跟踪监控</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273"/>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实际完成情况</w:t>
            </w:r>
          </w:p>
        </w:tc>
      </w:tr>
      <w:tr w:rsidTr="004313DF">
        <w:trPr>
          <w:trHeight w:val="1523"/>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9B3CB8">
              <w:rPr>
                <w:rFonts w:ascii="宋体" w:eastAsia="宋体" w:hAnsi="宋体" w:cs="宋体" w:hint="eastAsia"/>
                <w:kern w:val="0"/>
                <w:sz w:val="18"/>
                <w:szCs w:val="18"/>
              </w:rPr>
              <w:t xml:space="preserve">根据交通运输管理法律法规，指导、监督全市道路交通运输执法工作；具体承担市区（含魏都区、建安区、东城区、经济技术开发区、市城乡一体化示范区）范围内交通运输综合行政执法和市域内高速公路综合执法工作；负责市区货运源头治超工作；组织协调跨区域执法和重大案件的查处工作；依法履行法律、法规、规章赋予的其他职责，完成局机关交办的其他任务。</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left"/>
              <w:rPr>
                <w:rFonts w:ascii="宋体" w:eastAsia="宋体" w:hAnsi="宋体" w:cs="宋体"/>
                <w:kern w:val="0"/>
                <w:sz w:val="18"/>
                <w:szCs w:val="18"/>
              </w:rPr>
            </w:pPr>
            <w:r w:rsidRPr="009B3CB8">
              <w:rPr>
                <w:rFonts w:ascii="宋体" w:eastAsia="宋体" w:hAnsi="宋体" w:cs="宋体" w:hint="eastAsia"/>
                <w:kern w:val="0"/>
                <w:sz w:val="18"/>
                <w:szCs w:val="18"/>
              </w:rPr>
              <w:t xml:space="preserve">目标1：围绕交通运输执法工作重点，规范执法队伍建设，提高执法人员整体素质。</w:t>
            </w:r>
            <w:r>
              <w:rPr/>
              <w:br/>
            </w:r>
            <w:r w:rsidRPr="009B3CB8">
              <w:rPr>
                <w:rFonts w:ascii="宋体" w:eastAsia="宋体" w:hAnsi="宋体" w:cs="宋体" w:hint="eastAsia"/>
                <w:kern w:val="0"/>
                <w:sz w:val="18"/>
                <w:szCs w:val="18"/>
              </w:rPr>
              <w:t xml:space="preserve">目标2：加大治超力度，集中力量清剿“百吨王”，消除客运“三黑”现象，加大重点区域执法管控，加大非现场执法力度。</w:t>
            </w:r>
            <w:r>
              <w:rPr/>
              <w:br/>
            </w:r>
            <w:r w:rsidRPr="009B3CB8">
              <w:rPr>
                <w:rFonts w:ascii="宋体" w:eastAsia="宋体" w:hAnsi="宋体" w:cs="宋体" w:hint="eastAsia"/>
                <w:kern w:val="0"/>
                <w:sz w:val="18"/>
                <w:szCs w:val="18"/>
              </w:rPr>
              <w:t xml:space="preserve">目标3：实行“路长制”管理，实现路域治理“六个无”（无违法建筑、无违法穿越公路设施、无违法标识标牌、无违法平交道口、无马路市场、无因交通执法导致交通堵塞现象）</w:t>
            </w:r>
          </w:p>
        </w:tc>
      </w:tr>
      <w:tr w:rsidTr="004313DF">
        <w:trPr>
          <w:trHeight w:val="273"/>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绩效</w:t>
            </w:r>
          </w:p>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偏差度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偏差原因分析及改进措施</w:t>
            </w:r>
          </w:p>
        </w:tc>
      </w:tr>
      <w:tr w:rsidTr="004313DF">
        <w:trPr>
          <w:trHeight w:val="436"/>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成本指标</w:t>
            </w: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经济成本</w:t>
            </w:r>
          </w:p>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路政违法案件处理加强巡查力度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≤40万元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31.54万元</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r>
      <w:tr w:rsidTr="004313DF">
        <w:trPr>
          <w:trHeight w:val="436"/>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执法人员培训</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≤30万元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25.65万元</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r>
      <w:tr w:rsidTr="004313DF">
        <w:trPr>
          <w:trHeight w:val="436"/>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执法场地非现场设备完好</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≥151万元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163.91万元</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r>
      <w:tr w:rsidTr="004313DF">
        <w:trPr>
          <w:trHeight w:val="870"/>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执法装备配备完备</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≥10万元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9.24万元</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1.85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-7.60%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每年对执法配备的执法装备进行检查，对损坏的进行维修再使用，节约成本支出。</w:t>
            </w:r>
          </w:p>
        </w:tc>
      </w:tr>
      <w:tr w:rsidTr="004313DF">
        <w:trPr>
          <w:trHeight w:val="436"/>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执法车辆保障</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≤26万元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13.94万元</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r>
      <w:tr w:rsidTr="004313DF">
        <w:trPr>
          <w:trHeight w:val="273"/>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社会成本</w:t>
            </w:r>
          </w:p>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r>
      <w:tr w:rsidTr="004313DF">
        <w:trPr>
          <w:trHeight w:val="436"/>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生态环境</w:t>
            </w:r>
          </w:p>
          <w:p>
            <w:pPr>
              <w:pStyle w:val="Normal_abb99cce-12a8-4035-aa1d-8ff9f1fa8277"/>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jc w:val="center"/>
              <w:rPr>
                <w:rFonts w:ascii="宋体" w:eastAsia="宋体" w:hAnsi="宋体" w:cs="宋体"/>
                <w:kern w:val="0"/>
                <w:sz w:val="18"/>
                <w:szCs w:val="18"/>
              </w:rPr>
            </w:pPr>
          </w:p>
        </w:tc>
      </w:tr>
      <w:tr w:rsidTr="004313DF">
        <w:trPr>
          <w:trHeight w:val="273"/>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产出指标</w:t>
            </w: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数量指标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规范执法队伍建设</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≥480人次</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504人次</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436"/>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开展执法安全生产监督检查</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≥24次</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24次</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273"/>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执法装配配备到位</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≥84人</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84人</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436"/>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保障公务车辆执法车辆运行保障</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≥19辆</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19辆</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3</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273"/>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治理超限超载长效制</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持续开展</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436"/>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加强路政违法案件处理时效</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及时</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436"/>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实现路域治理“六个无”</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达标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273"/>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执法响应及时性</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及时</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3</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273"/>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经济效益</w:t>
            </w:r>
          </w:p>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273"/>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社会效益</w:t>
            </w:r>
          </w:p>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加大重点区域执法管控</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持续开展</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273"/>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生态效益</w:t>
            </w:r>
          </w:p>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436"/>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满意度</w:t>
            </w:r>
          </w:p>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指标</w:t>
            </w: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交通执法投诉案件处理后群众</w:t>
            </w:r>
          </w:p>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满意度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≥95%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436"/>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执法业务受培训人员满意度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≥95%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3</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r w:rsidTr="004313DF">
        <w:trPr>
          <w:trHeight w:val="273"/>
        </w:trPr>
        <w:tc>
          <w:tcPr>
            <w:vMerge/>
            <w:tcBorders>
              <w:top w:val="nil"/>
              <w:left w:val="single" w:sz="4" w:space="0" w:color="000000"/>
              <w:bottom w:val="single" w:sz="4" w:space="0" w:color="000000"/>
              <w:right w:val="single" w:sz="4" w:space="0" w:color="000000"/>
            </w:tcBorders>
            <w:vAlign w:val="center"/>
            <w:hideMark/>
          </w:tcPr>
          <w:p>
            <w:pPr>
              <w:pStyle w:val="Normal_abb99cce-12a8-4035-aa1d-8ff9f1fa8277"/>
              <w:widowControl/>
              <w:jc w:val="center"/>
              <w:rPr>
                <w:rFonts w:ascii="宋体" w:eastAsia="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r w:rsidRPr="009B3CB8">
              <w:rPr>
                <w:rFonts w:ascii="宋体" w:eastAsia="宋体" w:hAnsi="宋体" w:cs="宋体" w:hint="eastAsia"/>
                <w:kern w:val="0"/>
                <w:sz w:val="18"/>
                <w:szCs w:val="18"/>
              </w:rPr>
              <w:t xml:space="preserve">99.36</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abb99cce-12a8-4035-aa1d-8ff9f1fa8277"/>
              <w:widowControl/>
              <w:jc w:val="center"/>
              <w:rPr>
                <w:rFonts w:ascii="宋体" w:eastAsia="宋体" w:hAnsi="宋体" w:cs="宋体"/>
                <w:kern w:val="0"/>
                <w:sz w:val="18"/>
                <w:szCs w:val="18"/>
              </w:rPr>
            </w:pPr>
          </w:p>
        </w:tc>
      </w:tr>
    </w:tbl>
    <w:p>
      <w:pPr>
        <w:pStyle w:val="Normal_abb99cce-12a8-4035-aa1d-8ff9f1fa8277"/>
        <w:jc w:val="center"/>
        <w:rPr/>
        <w:sectPr>
          <w:pgSz w:w="16838" w:h="11906" w:orient="landscape"/>
          <w:pgMar w:top="567" w:right="567" w:bottom="567" w:left="567" w:header="851" w:footer="992" w:gutter="0"/>
          <w:cols w:num="1" w:space="425">
            <w:col w:w="15704"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68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abb99cce-12a8-4035-aa1d-8ff9f1fa8277">
    <w:name w:val="Normal_abb99cce-12a8-4035-aa1d-8ff9f1fa8277"/>
    <w:qFormat/>
    <w:rsid w:val="001D3CE3"/>
    <w:pPr>
      <w:widowControl w:val="0"/>
      <w:jc w:val="both"/>
    </w:pPr>
    <w:rPr/>
  </w:style>
  <w:style w:type="table" w:styleId="NormalTable_3e5e42d8-a8e4-4008-a97a-79e1eef98309">
    <w:name w:val="Normal Table_3e5e42d8-a8e4-4008-a97a-79e1eef98309"/>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