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许昌市交通局交通工程定额质量监督站</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许昌市交通局交通工程定额质量监督站</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许昌市交通局交通工程定额质量监督站概况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主要承担全市公路水运工程建设的质量安全生产监督和定额管理职能。</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许昌市交通局交通工程定额质量监督站</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综安科、监督监理科、定额造价科、试验监测科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许昌市交通局交通工程定额质量监督站</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许昌市交通局交通工程定额质量监督站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181.51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0.87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27.43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139.22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8.98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181.51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181.51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181.51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181.51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181.51</w:t>
            </w:r>
          </w:p>
        </w:tc>
        <w:tc>
          <w:tcPr>
            <w:tcW w:w="1440" w:type="dxa"/>
            <w:tcBorders/>
            <w:vAlign w:val="center"/>
          </w:tcPr>
          <w:p>
            <w:pPr>
              <w:jc w:val="right"/>
            </w:pPr>
            <w:r>
              <w:rPr>
                <w:rFonts w:ascii="宋体" w:eastAsia="宋体" w:hAnsi="宋体" w:cs="宋体"/>
                <w:b/>
                <w:i w:val="0"/>
                <w:color w:val="000000"/>
                <w:sz w:val="17"/>
              </w:rPr>
              <w:t xml:space="preserve">181.51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40" w:type="dxa"/>
            <w:tcBorders/>
            <w:vAlign w:val="center"/>
          </w:tcPr>
          <w:p>
            <w:pPr>
              <w:jc w:val="right"/>
            </w:pPr>
            <w:r>
              <w:rPr>
                <w:rFonts w:ascii="宋体" w:eastAsia="宋体" w:hAnsi="宋体" w:cs="宋体"/>
                <w:b w:val="0"/>
                <w:i w:val="0"/>
                <w:color w:val="000000"/>
                <w:sz w:val="17"/>
              </w:rPr>
              <w:t xml:space="preserve">0.87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27.43</w:t>
            </w:r>
          </w:p>
        </w:tc>
        <w:tc>
          <w:tcPr>
            <w:tcW w:w="1440" w:type="dxa"/>
            <w:tcBorders/>
            <w:vAlign w:val="center"/>
          </w:tcPr>
          <w:p>
            <w:pPr>
              <w:jc w:val="right"/>
            </w:pPr>
            <w:r>
              <w:rPr>
                <w:rFonts w:ascii="宋体" w:eastAsia="宋体" w:hAnsi="宋体" w:cs="宋体"/>
                <w:b w:val="0"/>
                <w:i w:val="0"/>
                <w:color w:val="000000"/>
                <w:sz w:val="17"/>
              </w:rPr>
              <w:t xml:space="preserve">27.43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27.43</w:t>
            </w:r>
          </w:p>
        </w:tc>
        <w:tc>
          <w:tcPr>
            <w:tcW w:w="1440" w:type="dxa"/>
            <w:tcBorders/>
            <w:vAlign w:val="center"/>
          </w:tcPr>
          <w:p>
            <w:pPr>
              <w:jc w:val="right"/>
            </w:pPr>
            <w:r>
              <w:rPr>
                <w:rFonts w:ascii="宋体" w:eastAsia="宋体" w:hAnsi="宋体" w:cs="宋体"/>
                <w:b w:val="0"/>
                <w:i w:val="0"/>
                <w:color w:val="000000"/>
                <w:sz w:val="17"/>
              </w:rPr>
              <w:t xml:space="preserve">27.43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17.22</w:t>
            </w:r>
          </w:p>
        </w:tc>
        <w:tc>
          <w:tcPr>
            <w:tcW w:w="1440" w:type="dxa"/>
            <w:tcBorders/>
            <w:vAlign w:val="center"/>
          </w:tcPr>
          <w:p>
            <w:pPr>
              <w:jc w:val="right"/>
            </w:pPr>
            <w:r>
              <w:rPr>
                <w:rFonts w:ascii="宋体" w:eastAsia="宋体" w:hAnsi="宋体" w:cs="宋体"/>
                <w:b w:val="0"/>
                <w:i w:val="0"/>
                <w:color w:val="000000"/>
                <w:sz w:val="17"/>
              </w:rPr>
              <w:t xml:space="preserve">17.22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10.21</w:t>
            </w:r>
          </w:p>
        </w:tc>
        <w:tc>
          <w:tcPr>
            <w:tcW w:w="1440" w:type="dxa"/>
            <w:tcBorders/>
            <w:vAlign w:val="center"/>
          </w:tcPr>
          <w:p>
            <w:pPr>
              <w:jc w:val="right"/>
            </w:pPr>
            <w:r>
              <w:rPr>
                <w:rFonts w:ascii="宋体" w:eastAsia="宋体" w:hAnsi="宋体" w:cs="宋体"/>
                <w:b w:val="0"/>
                <w:i w:val="0"/>
                <w:color w:val="000000"/>
                <w:sz w:val="17"/>
              </w:rPr>
              <w:t xml:space="preserve">10.21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5.00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139.22</w:t>
            </w:r>
          </w:p>
        </w:tc>
        <w:tc>
          <w:tcPr>
            <w:tcW w:w="1440" w:type="dxa"/>
            <w:tcBorders/>
            <w:vAlign w:val="center"/>
          </w:tcPr>
          <w:p>
            <w:pPr>
              <w:jc w:val="right"/>
            </w:pPr>
            <w:r>
              <w:rPr>
                <w:rFonts w:ascii="宋体" w:eastAsia="宋体" w:hAnsi="宋体" w:cs="宋体"/>
                <w:b w:val="0"/>
                <w:i w:val="0"/>
                <w:color w:val="000000"/>
                <w:sz w:val="17"/>
              </w:rPr>
              <w:t xml:space="preserve">139.22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125.94</w:t>
            </w:r>
          </w:p>
        </w:tc>
        <w:tc>
          <w:tcPr>
            <w:tcW w:w="1440" w:type="dxa"/>
            <w:tcBorders/>
            <w:vAlign w:val="center"/>
          </w:tcPr>
          <w:p>
            <w:pPr>
              <w:jc w:val="right"/>
            </w:pPr>
            <w:r>
              <w:rPr>
                <w:rFonts w:ascii="宋体" w:eastAsia="宋体" w:hAnsi="宋体" w:cs="宋体"/>
                <w:b w:val="0"/>
                <w:i w:val="0"/>
                <w:color w:val="000000"/>
                <w:sz w:val="17"/>
              </w:rPr>
              <w:t xml:space="preserve">125.94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125.94</w:t>
            </w:r>
          </w:p>
        </w:tc>
        <w:tc>
          <w:tcPr>
            <w:tcW w:w="1440" w:type="dxa"/>
            <w:tcBorders/>
            <w:vAlign w:val="center"/>
          </w:tcPr>
          <w:p>
            <w:pPr>
              <w:jc w:val="right"/>
            </w:pPr>
            <w:r>
              <w:rPr>
                <w:rFonts w:ascii="宋体" w:eastAsia="宋体" w:hAnsi="宋体" w:cs="宋体"/>
                <w:b w:val="0"/>
                <w:i w:val="0"/>
                <w:color w:val="000000"/>
                <w:sz w:val="17"/>
              </w:rPr>
              <w:t xml:space="preserve">125.94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13.28</w:t>
            </w:r>
          </w:p>
        </w:tc>
        <w:tc>
          <w:tcPr>
            <w:tcW w:w="1440" w:type="dxa"/>
            <w:tcBorders/>
            <w:vAlign w:val="center"/>
          </w:tcPr>
          <w:p>
            <w:pPr>
              <w:jc w:val="right"/>
            </w:pPr>
            <w:r>
              <w:rPr>
                <w:rFonts w:ascii="宋体" w:eastAsia="宋体" w:hAnsi="宋体" w:cs="宋体"/>
                <w:b w:val="0"/>
                <w:i w:val="0"/>
                <w:color w:val="000000"/>
                <w:sz w:val="17"/>
              </w:rPr>
              <w:t xml:space="preserve">13.28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13.28</w:t>
            </w:r>
          </w:p>
        </w:tc>
        <w:tc>
          <w:tcPr>
            <w:tcW w:w="1440" w:type="dxa"/>
            <w:tcBorders/>
            <w:vAlign w:val="center"/>
          </w:tcPr>
          <w:p>
            <w:pPr>
              <w:jc w:val="right"/>
            </w:pPr>
            <w:r>
              <w:rPr>
                <w:rFonts w:ascii="宋体" w:eastAsia="宋体" w:hAnsi="宋体" w:cs="宋体"/>
                <w:b w:val="0"/>
                <w:i w:val="0"/>
                <w:color w:val="000000"/>
                <w:sz w:val="17"/>
              </w:rPr>
              <w:t xml:space="preserve">13.28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8.98</w:t>
            </w:r>
          </w:p>
        </w:tc>
        <w:tc>
          <w:tcPr>
            <w:tcW w:w="1440" w:type="dxa"/>
            <w:tcBorders/>
            <w:vAlign w:val="center"/>
          </w:tcPr>
          <w:p>
            <w:pPr>
              <w:jc w:val="right"/>
            </w:pPr>
            <w:r>
              <w:rPr>
                <w:rFonts w:ascii="宋体" w:eastAsia="宋体" w:hAnsi="宋体" w:cs="宋体"/>
                <w:b w:val="0"/>
                <w:i w:val="0"/>
                <w:color w:val="000000"/>
                <w:sz w:val="17"/>
              </w:rPr>
              <w:t xml:space="preserve">8.98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8.98</w:t>
            </w:r>
          </w:p>
        </w:tc>
        <w:tc>
          <w:tcPr>
            <w:tcW w:w="1440" w:type="dxa"/>
            <w:tcBorders/>
            <w:vAlign w:val="center"/>
          </w:tcPr>
          <w:p>
            <w:pPr>
              <w:jc w:val="right"/>
            </w:pPr>
            <w:r>
              <w:rPr>
                <w:rFonts w:ascii="宋体" w:eastAsia="宋体" w:hAnsi="宋体" w:cs="宋体"/>
                <w:b w:val="0"/>
                <w:i w:val="0"/>
                <w:color w:val="000000"/>
                <w:sz w:val="17"/>
              </w:rPr>
              <w:t xml:space="preserve">8.98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8.98</w:t>
            </w:r>
          </w:p>
        </w:tc>
        <w:tc>
          <w:tcPr>
            <w:tcW w:w="1440" w:type="dxa"/>
            <w:tcBorders/>
            <w:vAlign w:val="center"/>
          </w:tcPr>
          <w:p>
            <w:pPr>
              <w:jc w:val="right"/>
            </w:pPr>
            <w:r>
              <w:rPr>
                <w:rFonts w:ascii="宋体" w:eastAsia="宋体" w:hAnsi="宋体" w:cs="宋体"/>
                <w:b w:val="0"/>
                <w:i w:val="0"/>
                <w:color w:val="000000"/>
                <w:sz w:val="17"/>
              </w:rPr>
              <w:t xml:space="preserve">8.98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181.51</w:t>
            </w:r>
          </w:p>
        </w:tc>
        <w:tc>
          <w:tcPr>
            <w:tcW w:w="1600" w:type="dxa"/>
            <w:tcBorders/>
            <w:vAlign w:val="center"/>
          </w:tcPr>
          <w:p>
            <w:pPr>
              <w:jc w:val="right"/>
            </w:pPr>
            <w:r>
              <w:rPr>
                <w:rFonts w:ascii="宋体" w:eastAsia="宋体" w:hAnsi="宋体" w:cs="宋体"/>
                <w:b/>
                <w:i w:val="0"/>
                <w:color w:val="000000"/>
                <w:sz w:val="19"/>
              </w:rPr>
              <w:t xml:space="preserve">181.51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0.87</w:t>
            </w:r>
          </w:p>
        </w:tc>
        <w:tc>
          <w:tcPr>
            <w:tcW w:w="1600" w:type="dxa"/>
            <w:tcBorders/>
            <w:vAlign w:val="center"/>
          </w:tcPr>
          <w:p>
            <w:pPr>
              <w:jc w:val="right"/>
            </w:pPr>
            <w:r>
              <w:rPr>
                <w:rFonts w:ascii="宋体" w:eastAsia="宋体" w:hAnsi="宋体" w:cs="宋体"/>
                <w:b w:val="0"/>
                <w:i w:val="0"/>
                <w:color w:val="000000"/>
                <w:sz w:val="19"/>
              </w:rPr>
              <w:t xml:space="preserve">0.87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0.87</w:t>
            </w:r>
          </w:p>
        </w:tc>
        <w:tc>
          <w:tcPr>
            <w:tcW w:w="1600" w:type="dxa"/>
            <w:tcBorders/>
            <w:vAlign w:val="center"/>
          </w:tcPr>
          <w:p>
            <w:pPr>
              <w:jc w:val="right"/>
            </w:pPr>
            <w:r>
              <w:rPr>
                <w:rFonts w:ascii="宋体" w:eastAsia="宋体" w:hAnsi="宋体" w:cs="宋体"/>
                <w:b w:val="0"/>
                <w:i w:val="0"/>
                <w:color w:val="000000"/>
                <w:sz w:val="19"/>
              </w:rPr>
              <w:t xml:space="preserve">0.87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0.87</w:t>
            </w:r>
          </w:p>
        </w:tc>
        <w:tc>
          <w:tcPr>
            <w:tcW w:w="1600" w:type="dxa"/>
            <w:tcBorders/>
            <w:vAlign w:val="center"/>
          </w:tcPr>
          <w:p>
            <w:pPr>
              <w:jc w:val="right"/>
            </w:pPr>
            <w:r>
              <w:rPr>
                <w:rFonts w:ascii="宋体" w:eastAsia="宋体" w:hAnsi="宋体" w:cs="宋体"/>
                <w:b w:val="0"/>
                <w:i w:val="0"/>
                <w:color w:val="000000"/>
                <w:sz w:val="19"/>
              </w:rPr>
              <w:t xml:space="preserve">0.87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27.43</w:t>
            </w:r>
          </w:p>
        </w:tc>
        <w:tc>
          <w:tcPr>
            <w:tcW w:w="1600" w:type="dxa"/>
            <w:tcBorders/>
            <w:vAlign w:val="center"/>
          </w:tcPr>
          <w:p>
            <w:pPr>
              <w:jc w:val="right"/>
            </w:pPr>
            <w:r>
              <w:rPr>
                <w:rFonts w:ascii="宋体" w:eastAsia="宋体" w:hAnsi="宋体" w:cs="宋体"/>
                <w:b w:val="0"/>
                <w:i w:val="0"/>
                <w:color w:val="000000"/>
                <w:sz w:val="19"/>
              </w:rPr>
              <w:t xml:space="preserve">27.43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27.43</w:t>
            </w:r>
          </w:p>
        </w:tc>
        <w:tc>
          <w:tcPr>
            <w:tcW w:w="1600" w:type="dxa"/>
            <w:tcBorders/>
            <w:vAlign w:val="center"/>
          </w:tcPr>
          <w:p>
            <w:pPr>
              <w:jc w:val="right"/>
            </w:pPr>
            <w:r>
              <w:rPr>
                <w:rFonts w:ascii="宋体" w:eastAsia="宋体" w:hAnsi="宋体" w:cs="宋体"/>
                <w:b w:val="0"/>
                <w:i w:val="0"/>
                <w:color w:val="000000"/>
                <w:sz w:val="19"/>
              </w:rPr>
              <w:t xml:space="preserve">27.43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17.22</w:t>
            </w:r>
          </w:p>
        </w:tc>
        <w:tc>
          <w:tcPr>
            <w:tcW w:w="1600" w:type="dxa"/>
            <w:tcBorders/>
            <w:vAlign w:val="center"/>
          </w:tcPr>
          <w:p>
            <w:pPr>
              <w:jc w:val="right"/>
            </w:pPr>
            <w:r>
              <w:rPr>
                <w:rFonts w:ascii="宋体" w:eastAsia="宋体" w:hAnsi="宋体" w:cs="宋体"/>
                <w:b w:val="0"/>
                <w:i w:val="0"/>
                <w:color w:val="000000"/>
                <w:sz w:val="19"/>
              </w:rPr>
              <w:t xml:space="preserve">17.22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10.21</w:t>
            </w:r>
          </w:p>
        </w:tc>
        <w:tc>
          <w:tcPr>
            <w:tcW w:w="1600" w:type="dxa"/>
            <w:tcBorders/>
            <w:vAlign w:val="center"/>
          </w:tcPr>
          <w:p>
            <w:pPr>
              <w:jc w:val="right"/>
            </w:pPr>
            <w:r>
              <w:rPr>
                <w:rFonts w:ascii="宋体" w:eastAsia="宋体" w:hAnsi="宋体" w:cs="宋体"/>
                <w:b w:val="0"/>
                <w:i w:val="0"/>
                <w:color w:val="000000"/>
                <w:sz w:val="19"/>
              </w:rPr>
              <w:t xml:space="preserve">10.21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139.22</w:t>
            </w:r>
          </w:p>
        </w:tc>
        <w:tc>
          <w:tcPr>
            <w:tcW w:w="1600" w:type="dxa"/>
            <w:tcBorders/>
            <w:vAlign w:val="center"/>
          </w:tcPr>
          <w:p>
            <w:pPr>
              <w:jc w:val="right"/>
            </w:pPr>
            <w:r>
              <w:rPr>
                <w:rFonts w:ascii="宋体" w:eastAsia="宋体" w:hAnsi="宋体" w:cs="宋体"/>
                <w:b w:val="0"/>
                <w:i w:val="0"/>
                <w:color w:val="000000"/>
                <w:sz w:val="19"/>
              </w:rPr>
              <w:t xml:space="preserve">139.22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125.94</w:t>
            </w:r>
          </w:p>
        </w:tc>
        <w:tc>
          <w:tcPr>
            <w:tcW w:w="1600" w:type="dxa"/>
            <w:tcBorders/>
            <w:vAlign w:val="center"/>
          </w:tcPr>
          <w:p>
            <w:pPr>
              <w:jc w:val="right"/>
            </w:pPr>
            <w:r>
              <w:rPr>
                <w:rFonts w:ascii="宋体" w:eastAsia="宋体" w:hAnsi="宋体" w:cs="宋体"/>
                <w:b w:val="0"/>
                <w:i w:val="0"/>
                <w:color w:val="000000"/>
                <w:sz w:val="19"/>
              </w:rPr>
              <w:t xml:space="preserve">125.94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125.94</w:t>
            </w:r>
          </w:p>
        </w:tc>
        <w:tc>
          <w:tcPr>
            <w:tcW w:w="1600" w:type="dxa"/>
            <w:tcBorders/>
            <w:vAlign w:val="center"/>
          </w:tcPr>
          <w:p>
            <w:pPr>
              <w:jc w:val="right"/>
            </w:pPr>
            <w:r>
              <w:rPr>
                <w:rFonts w:ascii="宋体" w:eastAsia="宋体" w:hAnsi="宋体" w:cs="宋体"/>
                <w:b w:val="0"/>
                <w:i w:val="0"/>
                <w:color w:val="000000"/>
                <w:sz w:val="19"/>
              </w:rPr>
              <w:t xml:space="preserve">125.94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13.28</w:t>
            </w:r>
          </w:p>
        </w:tc>
        <w:tc>
          <w:tcPr>
            <w:tcW w:w="1600" w:type="dxa"/>
            <w:tcBorders/>
            <w:vAlign w:val="center"/>
          </w:tcPr>
          <w:p>
            <w:pPr>
              <w:jc w:val="right"/>
            </w:pPr>
            <w:r>
              <w:rPr>
                <w:rFonts w:ascii="宋体" w:eastAsia="宋体" w:hAnsi="宋体" w:cs="宋体"/>
                <w:b w:val="0"/>
                <w:i w:val="0"/>
                <w:color w:val="000000"/>
                <w:sz w:val="19"/>
              </w:rPr>
              <w:t xml:space="preserve">13.28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13.28</w:t>
            </w:r>
          </w:p>
        </w:tc>
        <w:tc>
          <w:tcPr>
            <w:tcW w:w="1600" w:type="dxa"/>
            <w:tcBorders/>
            <w:vAlign w:val="center"/>
          </w:tcPr>
          <w:p>
            <w:pPr>
              <w:jc w:val="right"/>
            </w:pPr>
            <w:r>
              <w:rPr>
                <w:rFonts w:ascii="宋体" w:eastAsia="宋体" w:hAnsi="宋体" w:cs="宋体"/>
                <w:b w:val="0"/>
                <w:i w:val="0"/>
                <w:color w:val="000000"/>
                <w:sz w:val="19"/>
              </w:rPr>
              <w:t xml:space="preserve">13.28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8.98</w:t>
            </w:r>
          </w:p>
        </w:tc>
        <w:tc>
          <w:tcPr>
            <w:tcW w:w="1600" w:type="dxa"/>
            <w:tcBorders/>
            <w:vAlign w:val="center"/>
          </w:tcPr>
          <w:p>
            <w:pPr>
              <w:jc w:val="right"/>
            </w:pPr>
            <w:r>
              <w:rPr>
                <w:rFonts w:ascii="宋体" w:eastAsia="宋体" w:hAnsi="宋体" w:cs="宋体"/>
                <w:b w:val="0"/>
                <w:i w:val="0"/>
                <w:color w:val="000000"/>
                <w:sz w:val="19"/>
              </w:rPr>
              <w:t xml:space="preserve">8.98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8.98</w:t>
            </w:r>
          </w:p>
        </w:tc>
        <w:tc>
          <w:tcPr>
            <w:tcW w:w="1600" w:type="dxa"/>
            <w:tcBorders/>
            <w:vAlign w:val="center"/>
          </w:tcPr>
          <w:p>
            <w:pPr>
              <w:jc w:val="right"/>
            </w:pPr>
            <w:r>
              <w:rPr>
                <w:rFonts w:ascii="宋体" w:eastAsia="宋体" w:hAnsi="宋体" w:cs="宋体"/>
                <w:b w:val="0"/>
                <w:i w:val="0"/>
                <w:color w:val="000000"/>
                <w:sz w:val="19"/>
              </w:rPr>
              <w:t xml:space="preserve">8.98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8.98</w:t>
            </w:r>
          </w:p>
        </w:tc>
        <w:tc>
          <w:tcPr>
            <w:tcW w:w="1600" w:type="dxa"/>
            <w:tcBorders/>
            <w:vAlign w:val="center"/>
          </w:tcPr>
          <w:p>
            <w:pPr>
              <w:jc w:val="right"/>
            </w:pPr>
            <w:r>
              <w:rPr>
                <w:rFonts w:ascii="宋体" w:eastAsia="宋体" w:hAnsi="宋体" w:cs="宋体"/>
                <w:b w:val="0"/>
                <w:i w:val="0"/>
                <w:color w:val="000000"/>
                <w:sz w:val="19"/>
              </w:rPr>
              <w:t xml:space="preserve">8.98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181.51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0.87</w:t>
            </w:r>
          </w:p>
        </w:tc>
        <w:tc>
          <w:tcPr>
            <w:tcW w:w="1420" w:type="dxa"/>
            <w:tcBorders/>
            <w:vAlign w:val="center"/>
          </w:tcPr>
          <w:p>
            <w:pPr>
              <w:jc w:val="right"/>
            </w:pPr>
            <w:r>
              <w:rPr>
                <w:rFonts w:ascii="宋体" w:eastAsia="宋体" w:hAnsi="宋体" w:cs="宋体"/>
                <w:b w:val="0"/>
                <w:i w:val="0"/>
                <w:color w:val="000000"/>
                <w:sz w:val="18"/>
              </w:rPr>
              <w:t xml:space="preserve">0.87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27.43</w:t>
            </w:r>
          </w:p>
        </w:tc>
        <w:tc>
          <w:tcPr>
            <w:tcW w:w="1420" w:type="dxa"/>
            <w:tcBorders/>
            <w:vAlign w:val="center"/>
          </w:tcPr>
          <w:p>
            <w:pPr>
              <w:jc w:val="right"/>
            </w:pPr>
            <w:r>
              <w:rPr>
                <w:rFonts w:ascii="宋体" w:eastAsia="宋体" w:hAnsi="宋体" w:cs="宋体"/>
                <w:b w:val="0"/>
                <w:i w:val="0"/>
                <w:color w:val="000000"/>
                <w:sz w:val="18"/>
              </w:rPr>
              <w:t xml:space="preserve">27.43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5.00</w:t>
            </w:r>
          </w:p>
        </w:tc>
        <w:tc>
          <w:tcPr>
            <w:tcW w:w="1420" w:type="dxa"/>
            <w:tcBorders/>
            <w:vAlign w:val="center"/>
          </w:tcPr>
          <w:p>
            <w:pPr>
              <w:jc w:val="right"/>
            </w:pPr>
            <w:r>
              <w:rPr>
                <w:rFonts w:ascii="宋体" w:eastAsia="宋体" w:hAnsi="宋体" w:cs="宋体"/>
                <w:b w:val="0"/>
                <w:i w:val="0"/>
                <w:color w:val="000000"/>
                <w:sz w:val="18"/>
              </w:rPr>
              <w:t xml:space="preserve">5.00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139.22</w:t>
            </w:r>
          </w:p>
        </w:tc>
        <w:tc>
          <w:tcPr>
            <w:tcW w:w="1420" w:type="dxa"/>
            <w:tcBorders/>
            <w:vAlign w:val="center"/>
          </w:tcPr>
          <w:p>
            <w:pPr>
              <w:jc w:val="right"/>
            </w:pPr>
            <w:r>
              <w:rPr>
                <w:rFonts w:ascii="宋体" w:eastAsia="宋体" w:hAnsi="宋体" w:cs="宋体"/>
                <w:b w:val="0"/>
                <w:i w:val="0"/>
                <w:color w:val="000000"/>
                <w:sz w:val="18"/>
              </w:rPr>
              <w:t xml:space="preserve">139.22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8.98</w:t>
            </w:r>
          </w:p>
        </w:tc>
        <w:tc>
          <w:tcPr>
            <w:tcW w:w="1420" w:type="dxa"/>
            <w:tcBorders/>
            <w:vAlign w:val="center"/>
          </w:tcPr>
          <w:p>
            <w:pPr>
              <w:jc w:val="right"/>
            </w:pPr>
            <w:r>
              <w:rPr>
                <w:rFonts w:ascii="宋体" w:eastAsia="宋体" w:hAnsi="宋体" w:cs="宋体"/>
                <w:b w:val="0"/>
                <w:i w:val="0"/>
                <w:color w:val="000000"/>
                <w:sz w:val="18"/>
              </w:rPr>
              <w:t xml:space="preserve">8.98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181.51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181.51</w:t>
            </w:r>
          </w:p>
        </w:tc>
        <w:tc>
          <w:tcPr>
            <w:tcW w:w="1420" w:type="dxa"/>
            <w:tcBorders/>
            <w:vAlign w:val="center"/>
          </w:tcPr>
          <w:p>
            <w:pPr>
              <w:jc w:val="right"/>
            </w:pPr>
            <w:r>
              <w:rPr>
                <w:rFonts w:ascii="宋体" w:eastAsia="宋体" w:hAnsi="宋体" w:cs="宋体"/>
                <w:b w:val="0"/>
                <w:i w:val="0"/>
                <w:color w:val="000000"/>
                <w:sz w:val="18"/>
              </w:rPr>
              <w:t xml:space="preserve">181.51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181.51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181.51</w:t>
            </w:r>
          </w:p>
        </w:tc>
        <w:tc>
          <w:tcPr>
            <w:tcW w:w="1420" w:type="dxa"/>
            <w:tcBorders/>
            <w:vAlign w:val="center"/>
          </w:tcPr>
          <w:p>
            <w:pPr>
              <w:jc w:val="right"/>
            </w:pPr>
            <w:r>
              <w:rPr>
                <w:rFonts w:ascii="宋体" w:eastAsia="宋体" w:hAnsi="宋体" w:cs="宋体"/>
                <w:b w:val="0"/>
                <w:i w:val="0"/>
                <w:color w:val="000000"/>
                <w:sz w:val="18"/>
              </w:rPr>
              <w:t xml:space="preserve">181.51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181.51</w:t>
            </w:r>
          </w:p>
        </w:tc>
        <w:tc>
          <w:tcPr>
            <w:tcW w:w="2700" w:type="dxa"/>
            <w:tcBorders/>
            <w:vAlign w:val="center"/>
          </w:tcPr>
          <w:p>
            <w:pPr>
              <w:jc w:val="right"/>
            </w:pPr>
            <w:r>
              <w:rPr>
                <w:rFonts w:ascii="宋体" w:eastAsia="宋体" w:hAnsi="宋体" w:cs="宋体"/>
                <w:b/>
                <w:i w:val="0"/>
                <w:color w:val="000000"/>
                <w:sz w:val="25"/>
              </w:rPr>
              <w:t xml:space="preserve">181.51</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0.87</w:t>
            </w:r>
          </w:p>
        </w:tc>
        <w:tc>
          <w:tcPr>
            <w:tcW w:w="2700" w:type="dxa"/>
            <w:tcBorders/>
            <w:vAlign w:val="center"/>
          </w:tcPr>
          <w:p>
            <w:pPr>
              <w:jc w:val="right"/>
            </w:pPr>
            <w:r>
              <w:rPr>
                <w:rFonts w:ascii="宋体" w:eastAsia="宋体" w:hAnsi="宋体" w:cs="宋体"/>
                <w:b w:val="0"/>
                <w:i w:val="0"/>
                <w:color w:val="000000"/>
                <w:sz w:val="25"/>
              </w:rPr>
              <w:t xml:space="preserve">0.87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0.87</w:t>
            </w:r>
          </w:p>
        </w:tc>
        <w:tc>
          <w:tcPr>
            <w:tcW w:w="2700" w:type="dxa"/>
            <w:tcBorders/>
            <w:vAlign w:val="center"/>
          </w:tcPr>
          <w:p>
            <w:pPr>
              <w:jc w:val="right"/>
            </w:pPr>
            <w:r>
              <w:rPr>
                <w:rFonts w:ascii="宋体" w:eastAsia="宋体" w:hAnsi="宋体" w:cs="宋体"/>
                <w:b w:val="0"/>
                <w:i w:val="0"/>
                <w:color w:val="000000"/>
                <w:sz w:val="25"/>
              </w:rPr>
              <w:t xml:space="preserve">0.87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0.87</w:t>
            </w:r>
          </w:p>
        </w:tc>
        <w:tc>
          <w:tcPr>
            <w:tcW w:w="2700" w:type="dxa"/>
            <w:tcBorders/>
            <w:vAlign w:val="center"/>
          </w:tcPr>
          <w:p>
            <w:pPr>
              <w:jc w:val="right"/>
            </w:pPr>
            <w:r>
              <w:rPr>
                <w:rFonts w:ascii="宋体" w:eastAsia="宋体" w:hAnsi="宋体" w:cs="宋体"/>
                <w:b w:val="0"/>
                <w:i w:val="0"/>
                <w:color w:val="000000"/>
                <w:sz w:val="25"/>
              </w:rPr>
              <w:t xml:space="preserve">0.87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27.43</w:t>
            </w:r>
          </w:p>
        </w:tc>
        <w:tc>
          <w:tcPr>
            <w:tcW w:w="2700" w:type="dxa"/>
            <w:tcBorders/>
            <w:vAlign w:val="center"/>
          </w:tcPr>
          <w:p>
            <w:pPr>
              <w:jc w:val="right"/>
            </w:pPr>
            <w:r>
              <w:rPr>
                <w:rFonts w:ascii="宋体" w:eastAsia="宋体" w:hAnsi="宋体" w:cs="宋体"/>
                <w:b w:val="0"/>
                <w:i w:val="0"/>
                <w:color w:val="000000"/>
                <w:sz w:val="25"/>
              </w:rPr>
              <w:t xml:space="preserve">27.43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27.43</w:t>
            </w:r>
          </w:p>
        </w:tc>
        <w:tc>
          <w:tcPr>
            <w:tcW w:w="2700" w:type="dxa"/>
            <w:tcBorders/>
            <w:vAlign w:val="center"/>
          </w:tcPr>
          <w:p>
            <w:pPr>
              <w:jc w:val="right"/>
            </w:pPr>
            <w:r>
              <w:rPr>
                <w:rFonts w:ascii="宋体" w:eastAsia="宋体" w:hAnsi="宋体" w:cs="宋体"/>
                <w:b w:val="0"/>
                <w:i w:val="0"/>
                <w:color w:val="000000"/>
                <w:sz w:val="25"/>
              </w:rPr>
              <w:t xml:space="preserve">27.43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17.22</w:t>
            </w:r>
          </w:p>
        </w:tc>
        <w:tc>
          <w:tcPr>
            <w:tcW w:w="2700" w:type="dxa"/>
            <w:tcBorders/>
            <w:vAlign w:val="center"/>
          </w:tcPr>
          <w:p>
            <w:pPr>
              <w:jc w:val="right"/>
            </w:pPr>
            <w:r>
              <w:rPr>
                <w:rFonts w:ascii="宋体" w:eastAsia="宋体" w:hAnsi="宋体" w:cs="宋体"/>
                <w:b w:val="0"/>
                <w:i w:val="0"/>
                <w:color w:val="000000"/>
                <w:sz w:val="25"/>
              </w:rPr>
              <w:t xml:space="preserve">17.22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10.21</w:t>
            </w:r>
          </w:p>
        </w:tc>
        <w:tc>
          <w:tcPr>
            <w:tcW w:w="2700" w:type="dxa"/>
            <w:tcBorders/>
            <w:vAlign w:val="center"/>
          </w:tcPr>
          <w:p>
            <w:pPr>
              <w:jc w:val="right"/>
            </w:pPr>
            <w:r>
              <w:rPr>
                <w:rFonts w:ascii="宋体" w:eastAsia="宋体" w:hAnsi="宋体" w:cs="宋体"/>
                <w:b w:val="0"/>
                <w:i w:val="0"/>
                <w:color w:val="000000"/>
                <w:sz w:val="25"/>
              </w:rPr>
              <w:t xml:space="preserve">10.21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700" w:type="dxa"/>
            <w:tcBorders/>
            <w:vAlign w:val="center"/>
          </w:tcPr>
          <w:p>
            <w:pPr>
              <w:jc w:val="right"/>
            </w:pPr>
            <w:r>
              <w:rPr>
                <w:rFonts w:ascii="宋体" w:eastAsia="宋体" w:hAnsi="宋体" w:cs="宋体"/>
                <w:b w:val="0"/>
                <w:i w:val="0"/>
                <w:color w:val="000000"/>
                <w:sz w:val="25"/>
              </w:rPr>
              <w:t xml:space="preserve">5.00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139.22</w:t>
            </w:r>
          </w:p>
        </w:tc>
        <w:tc>
          <w:tcPr>
            <w:tcW w:w="2700" w:type="dxa"/>
            <w:tcBorders/>
            <w:vAlign w:val="center"/>
          </w:tcPr>
          <w:p>
            <w:pPr>
              <w:jc w:val="right"/>
            </w:pPr>
            <w:r>
              <w:rPr>
                <w:rFonts w:ascii="宋体" w:eastAsia="宋体" w:hAnsi="宋体" w:cs="宋体"/>
                <w:b w:val="0"/>
                <w:i w:val="0"/>
                <w:color w:val="000000"/>
                <w:sz w:val="25"/>
              </w:rPr>
              <w:t xml:space="preserve">139.22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125.94</w:t>
            </w:r>
          </w:p>
        </w:tc>
        <w:tc>
          <w:tcPr>
            <w:tcW w:w="2700" w:type="dxa"/>
            <w:tcBorders/>
            <w:vAlign w:val="center"/>
          </w:tcPr>
          <w:p>
            <w:pPr>
              <w:jc w:val="right"/>
            </w:pPr>
            <w:r>
              <w:rPr>
                <w:rFonts w:ascii="宋体" w:eastAsia="宋体" w:hAnsi="宋体" w:cs="宋体"/>
                <w:b w:val="0"/>
                <w:i w:val="0"/>
                <w:color w:val="000000"/>
                <w:sz w:val="25"/>
              </w:rPr>
              <w:t xml:space="preserve">125.94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125.94</w:t>
            </w:r>
          </w:p>
        </w:tc>
        <w:tc>
          <w:tcPr>
            <w:tcW w:w="2700" w:type="dxa"/>
            <w:tcBorders/>
            <w:vAlign w:val="center"/>
          </w:tcPr>
          <w:p>
            <w:pPr>
              <w:jc w:val="right"/>
            </w:pPr>
            <w:r>
              <w:rPr>
                <w:rFonts w:ascii="宋体" w:eastAsia="宋体" w:hAnsi="宋体" w:cs="宋体"/>
                <w:b w:val="0"/>
                <w:i w:val="0"/>
                <w:color w:val="000000"/>
                <w:sz w:val="25"/>
              </w:rPr>
              <w:t xml:space="preserve">125.94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13.28</w:t>
            </w:r>
          </w:p>
        </w:tc>
        <w:tc>
          <w:tcPr>
            <w:tcW w:w="2700" w:type="dxa"/>
            <w:tcBorders/>
            <w:vAlign w:val="center"/>
          </w:tcPr>
          <w:p>
            <w:pPr>
              <w:jc w:val="right"/>
            </w:pPr>
            <w:r>
              <w:rPr>
                <w:rFonts w:ascii="宋体" w:eastAsia="宋体" w:hAnsi="宋体" w:cs="宋体"/>
                <w:b w:val="0"/>
                <w:i w:val="0"/>
                <w:color w:val="000000"/>
                <w:sz w:val="25"/>
              </w:rPr>
              <w:t xml:space="preserve">13.28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13.28</w:t>
            </w:r>
          </w:p>
        </w:tc>
        <w:tc>
          <w:tcPr>
            <w:tcW w:w="2700" w:type="dxa"/>
            <w:tcBorders/>
            <w:vAlign w:val="center"/>
          </w:tcPr>
          <w:p>
            <w:pPr>
              <w:jc w:val="right"/>
            </w:pPr>
            <w:r>
              <w:rPr>
                <w:rFonts w:ascii="宋体" w:eastAsia="宋体" w:hAnsi="宋体" w:cs="宋体"/>
                <w:b w:val="0"/>
                <w:i w:val="0"/>
                <w:color w:val="000000"/>
                <w:sz w:val="25"/>
              </w:rPr>
              <w:t xml:space="preserve">13.28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8.98</w:t>
            </w:r>
          </w:p>
        </w:tc>
        <w:tc>
          <w:tcPr>
            <w:tcW w:w="2700" w:type="dxa"/>
            <w:tcBorders/>
            <w:vAlign w:val="center"/>
          </w:tcPr>
          <w:p>
            <w:pPr>
              <w:jc w:val="right"/>
            </w:pPr>
            <w:r>
              <w:rPr>
                <w:rFonts w:ascii="宋体" w:eastAsia="宋体" w:hAnsi="宋体" w:cs="宋体"/>
                <w:b w:val="0"/>
                <w:i w:val="0"/>
                <w:color w:val="000000"/>
                <w:sz w:val="25"/>
              </w:rPr>
              <w:t xml:space="preserve">8.98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8.98</w:t>
            </w:r>
          </w:p>
        </w:tc>
        <w:tc>
          <w:tcPr>
            <w:tcW w:w="2700" w:type="dxa"/>
            <w:tcBorders/>
            <w:vAlign w:val="center"/>
          </w:tcPr>
          <w:p>
            <w:pPr>
              <w:jc w:val="right"/>
            </w:pPr>
            <w:r>
              <w:rPr>
                <w:rFonts w:ascii="宋体" w:eastAsia="宋体" w:hAnsi="宋体" w:cs="宋体"/>
                <w:b w:val="0"/>
                <w:i w:val="0"/>
                <w:color w:val="000000"/>
                <w:sz w:val="25"/>
              </w:rPr>
              <w:t xml:space="preserve">8.98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8.98</w:t>
            </w:r>
          </w:p>
        </w:tc>
        <w:tc>
          <w:tcPr>
            <w:tcW w:w="2700" w:type="dxa"/>
            <w:tcBorders/>
            <w:vAlign w:val="center"/>
          </w:tcPr>
          <w:p>
            <w:pPr>
              <w:jc w:val="right"/>
            </w:pPr>
            <w:r>
              <w:rPr>
                <w:rFonts w:ascii="宋体" w:eastAsia="宋体" w:hAnsi="宋体" w:cs="宋体"/>
                <w:b w:val="0"/>
                <w:i w:val="0"/>
                <w:color w:val="000000"/>
                <w:sz w:val="25"/>
              </w:rPr>
              <w:t xml:space="preserve">8.98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154.93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9.35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43.01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1.74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2.77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50.77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33.64</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10.21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0.23</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5.00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0.55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3.11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8.98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17.22</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0.54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17.22</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0.87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1.67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172.15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9.35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单位：许昌市交通局交通工程定额质量监督站</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1.67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1.67</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181.51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减少2.37万元，下降1.29%</w:t>
      </w:r>
      <w:r>
        <w:rPr>
          <w:rFonts w:ascii="仿宋" w:eastAsia="仿宋" w:hAnsi="仿宋" w:cs="仿宋" w:hint="eastAsia"/>
          <w:kern w:val="0"/>
          <w:sz w:val="32"/>
          <w:szCs w:val="32"/>
          <w:lang w:val="en-US" w:eastAsia="zh-CN"/>
        </w:rPr>
        <w:t xml:space="preserve">。主要原因是2022年在职转退休1人，经费支出减少。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181.51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财政拨款收入181.51万元，占100.00%；上级补助收入0.00万元，占0.00%；事业收入0.00万元，占0.00%；经营收入0.00万元，占0.00%；附属单位上缴收入0.00万元，占0.00%；其他收入0.00万元，占0.00%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181.51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基本支出181.51万元，占100.00%；项目支出0.00万元，占0.00%；上缴上级支出0.00万元，占0.00%；经营支出0.00万元，占0.00%；对附属单位补助支出0.00万元，占0.00%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181.51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减少2.37万元，下降1.29%</w:t>
      </w:r>
      <w:r>
        <w:rPr>
          <w:rFonts w:ascii="仿宋" w:eastAsia="仿宋" w:hAnsi="仿宋" w:cs="仿宋" w:hint="eastAsia"/>
          <w:kern w:val="0"/>
          <w:sz w:val="32"/>
          <w:szCs w:val="32"/>
          <w:lang w:val="en-US" w:eastAsia="zh-CN"/>
        </w:rPr>
        <w:t xml:space="preserve">。主要原因是2022年在职转退休1人，经费支出减少。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181.51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减少2.37万元，下降1.29%</w:t>
      </w:r>
      <w:r>
        <w:rPr>
          <w:rFonts w:ascii="仿宋" w:eastAsia="仿宋" w:hAnsi="仿宋" w:cs="仿宋" w:hint="eastAsia"/>
          <w:kern w:val="0"/>
          <w:sz w:val="32"/>
          <w:szCs w:val="32"/>
          <w:lang w:val="en-US" w:eastAsia="zh-CN"/>
        </w:rPr>
        <w:t xml:space="preserve">。主要原因是2022年在职转退休1人，经费支出减少。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181.51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一般公共服务支出（类）0.87万元，占0.48%；社会保障和就业支出（类）27.43万元，占15.11%；卫生健康支出（类）5.00万元，占2.75%；交通运输支出（类）139.22万元，占76.70%；住房保障支出（类）8.98万元，占4.96%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169.11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181.51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107.33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年初预算数为0.87万元，决算数0.87万元,完成年初预算的100.00%，决算数与年初预算数不存在差异。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年初预算数为13.82万元，决算数17.22万元,完成年初预算的124.60%，决算数与年初预算数存在差异的主要原因是退休人员补发以前年度工资。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年初预算数为10.36万元，决算数10.21万元,完成年初预算的98.55%，决算数与年初预算数存在差异的主要原因是2023年养老保险缴费基数减少。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年初预算数为5.00万元，决算数5.00万元,完成年初预算的100.00%，决算数与年初预算数不存在差异。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5.交通运输支出（类）公路水路运输（款）其他公路水路运输支出（项）</w:t>
      </w:r>
      <w:r>
        <w:rPr>
          <w:rFonts w:ascii="仿宋" w:eastAsia="仿宋" w:hAnsi="仿宋" w:cs="仿宋" w:hint="default"/>
          <w:kern w:val="2"/>
          <w:sz w:val="32"/>
          <w:szCs w:val="32"/>
          <w:lang w:val="en-US" w:eastAsia="zh-CN"/>
        </w:rPr>
        <w:t xml:space="preserve">年初预算数为129.97万元，决算数125.94万元,完成年初预算的96.90%，决算数与年初预算数存在差异的主要原因是第四季度平时考核奖未发放。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年初预算数为0.00万元，决算数13.28万元,决算数与年初预算数存在差异的主要原因是未休假补贴工资未纳入年初预算。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年初预算数为9.09万元，决算数8.98万元,完成年初预算的98.79%，决算数与年初预算数存在差异的主要原因是2023年养老保险缴费基数减少。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181.51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其中：人员经费172.15万元，主要包括：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公用经费9.35万元，主要包括：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1.67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1.67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1.67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1.67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主要用于加油、修理、保险、通行费等费用。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181.51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指标设定科学、合理，针对性和实现性较强</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1194"/>
        <w:gridCol w:w="1402"/>
        <w:gridCol w:w="1043"/>
        <w:gridCol w:w="872"/>
        <w:gridCol w:w="2388"/>
        <w:gridCol w:w="1440"/>
        <w:gridCol w:w="1914"/>
        <w:gridCol w:w="872"/>
        <w:gridCol w:w="777"/>
        <w:gridCol w:w="1023"/>
        <w:gridCol w:w="1043"/>
        <w:gridCol w:w="872"/>
      </w:tblGrid>
      <w:tr>
        <w:trPr>
          <w:trHeight w:hRule="exact" w:val="616"/>
          <w:jc w:val="center"/>
        </w:trPr>
        <w:tc>
          <w:tcPr>
            <w:tcW w:w="14840"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36"/>
              </w:rPr>
              <w:t xml:space="preserve">部门整体自评表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451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3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许昌市交通局交通工程定额质量监督站</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部门整体支出情况</w:t>
            </w:r>
          </w:p>
        </w:tc>
        <w:tc>
          <w:tcPr>
            <w:tcW w:w="33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得分</w:t>
            </w: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169.11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181.51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181.51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7"/>
              </w:rPr>
              <w:t xml:space="preserve">资金来源：（1）政府预算资金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3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169.11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181.51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181.51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w:t>
            </w: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7"/>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w:t>
            </w: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3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7"/>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06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w:t>
            </w:r>
          </w:p>
        </w:tc>
      </w:tr>
      <w:tr>
        <w:trPr>
          <w:trHeight w:hRule="exact" w:val="301"/>
          <w:jc w:val="center"/>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年度履职目标</w:t>
            </w:r>
          </w:p>
        </w:tc>
        <w:tc>
          <w:tcPr>
            <w:tcW w:w="71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717"/>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贯彻执行国家、交通部和省交通厅颁发的交通基本建设的工作方针、政策和法规，依据国家有关法律、法规、规章和行业技术规范、规程及质量评定标准，对公路工程质量安全进行监督管理；对符合竣（交）工的公路水运工程年积极开展验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0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全年在建干线公路建设监督的项目7个，开展综合督查1次，日常巡查检查60次，处理问题梁板2块。对2022年度监理、试验检测机构、相关人员的信用评价初审工作及质量检测指标年度分析工作。完成了2023 年度公路检测机构水泥胶砂强度比对验证工作,参加比对的6个实验室参数检测整体良好。继续开展“平安工地”建设活动，持续推进监督工程项目分片包干负责制，落实“一岗双责”管理督查制度，针对在建项目“两区三场”严格规范管理，落实安全巡查检查记录20份，安全生产排查安全隐患整改13个。</w:t>
            </w:r>
          </w:p>
          <w:p>
            <w:pPr>
              <w:snapToGrid w:val="0"/>
              <w:spacing w:before="0" w:beforeAutospacing="0" w:after="0" w:afterAutospacing="0" w:line="240" w:lineRule="auto"/>
              <w:jc w:val="center"/>
              <w:rP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年度主要任务</w:t>
            </w:r>
          </w:p>
        </w:tc>
        <w:tc>
          <w:tcPr>
            <w:tcW w:w="24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任务名称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0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主要内容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0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2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4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安全监督、鉴定验收</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0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对在建公路建设项目质量安全监督工作；对符合竣（交）工的公路水运工程开展质量鉴定验收工作。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0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全年在建干线公路建设监督的项目7个，开展综合督查1次，日常巡查检查60次，处理问题梁板2块。对2022年度监理、试验检测机构、相关人员的信用评价初审工作及质量检测指标年度分析工作。完成了2023 年度公路检测机构水泥胶砂强度比对验证工作,参加比对的6个实验室参数检测整体良好。继续开展“平安工地”建设活动，持续推进监督工程项目分片包干负责制，落实“一岗双责”管理督查制度，针对在建项目“两区三场”严格规范管理，落实安全巡查检查记录20份，安全生产排查安全隐患整改13个。</w:t>
            </w:r>
          </w:p>
          <w:p>
            <w:pPr>
              <w:snapToGrid w:val="0"/>
              <w:spacing w:before="0" w:beforeAutospacing="0" w:after="0" w:afterAutospacing="0" w:line="240" w:lineRule="auto"/>
              <w:jc w:val="center"/>
              <w:rP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分值</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得分</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偏差度</w:t>
            </w: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绩效指标</w:t>
            </w:r>
          </w:p>
        </w:tc>
        <w:tc>
          <w:tcPr>
            <w:tcW w:w="1402"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年度履职目标相关性、工作任务科学性、绩效指标合理性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充分、科学、合理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达成预期</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预算编制完整性、决算真实性、资金使用合规性、资产管理规范性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完整、真实、合规、规范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达成预期</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9.5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0.05</w:t>
            </w: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偏差原因：部门制度执行不到位。改进措施：完善相关制度，加强人员管理，严格各项制度的落实。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绩效监控、部门绩效评价、结果应用完成性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完成性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达成预期</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承接年度总体工作的各牵头单位工作完成情况。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部门年度总体工作完成情况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0.99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以常态化为中心工作，高效推进科技信息化工作，完善监督机制，强化监督成效。</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0.98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群众满意度</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4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0.99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5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7"/>
              </w:rPr>
              <w:t xml:space="preserve">99.5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91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6839" w:h="11907" w:orient="landscape"/>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9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