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许昌市中小学教师培训中心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许昌市中小学教师培训中心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许昌市中小学教师培训中心概况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许昌市中小学教师培训中心是具有独立法人资格的正科级事业单位，属许昌市教育局直属二级机构。主要职能是：负责中小学教师培训和继续教育工作。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许昌市中小学教师培训中心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办公室、培训科、信息科、后勤科、财务科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许昌市中小学教师培训中心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根据《中共许昌市委机构编制委员会关于印发&lt;许昌市教育科学研究中心职能配置、内设机构和人员编制规定&gt;的通知》（许编〔2022〕90号）要求，2023年初，许昌市普通教育教学研究室、许昌市职业与成人教育教学研究室、许昌市电化教育馆、许昌市中小学教师培训中心四家局属事业单位进行重塑性改革，成立了许昌市教育科学研究中心（原4个机构撤销），为公益一类副县级事业单位，下内设机构5个，其原在职退休职工划入许昌市教育科学研究中心。许昌市教育科学研究中心于2023年12月完成基本合并工作。</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许昌市中小学教师培训中心。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209.59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169.71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4.31</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21.53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5.93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17.29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213.90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214.46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0.56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214.46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214.46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213.90</w:t>
            </w:r>
          </w:p>
        </w:tc>
        <w:tc>
          <w:tcPr>
            <w:tcW w:w="1440" w:type="dxa"/>
            <w:tcBorders/>
            <w:vAlign w:val="center"/>
          </w:tcPr>
          <w:p>
            <w:pPr>
              <w:jc w:val="right"/>
            </w:pPr>
            <w:r>
              <w:rPr>
                <w:rFonts w:ascii="宋体" w:eastAsia="宋体" w:hAnsi="宋体" w:cs="宋体"/>
                <w:b/>
                <w:i w:val="0"/>
                <w:color w:val="000000"/>
                <w:sz w:val="17"/>
              </w:rPr>
              <w:t xml:space="preserve">209.59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4.31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169.15</w:t>
            </w:r>
          </w:p>
        </w:tc>
        <w:tc>
          <w:tcPr>
            <w:tcW w:w="1440" w:type="dxa"/>
            <w:tcBorders/>
            <w:vAlign w:val="center"/>
          </w:tcPr>
          <w:p>
            <w:pPr>
              <w:jc w:val="right"/>
            </w:pPr>
            <w:r>
              <w:rPr>
                <w:rFonts w:ascii="宋体" w:eastAsia="宋体" w:hAnsi="宋体" w:cs="宋体"/>
                <w:b w:val="0"/>
                <w:i w:val="0"/>
                <w:color w:val="000000"/>
                <w:sz w:val="17"/>
              </w:rPr>
              <w:t xml:space="preserve">164.84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4.31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169.15</w:t>
            </w:r>
          </w:p>
        </w:tc>
        <w:tc>
          <w:tcPr>
            <w:tcW w:w="1440" w:type="dxa"/>
            <w:tcBorders/>
            <w:vAlign w:val="center"/>
          </w:tcPr>
          <w:p>
            <w:pPr>
              <w:jc w:val="right"/>
            </w:pPr>
            <w:r>
              <w:rPr>
                <w:rFonts w:ascii="宋体" w:eastAsia="宋体" w:hAnsi="宋体" w:cs="宋体"/>
                <w:b w:val="0"/>
                <w:i w:val="0"/>
                <w:color w:val="000000"/>
                <w:sz w:val="17"/>
              </w:rPr>
              <w:t xml:space="preserve">164.84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4.31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其他职业教育支出</w:t>
            </w:r>
          </w:p>
        </w:tc>
        <w:tc>
          <w:tcPr>
            <w:tcW w:w="1440" w:type="dxa"/>
            <w:tcBorders/>
            <w:vAlign w:val="center"/>
          </w:tcPr>
          <w:p>
            <w:pPr>
              <w:jc w:val="right"/>
            </w:pPr>
            <w:r>
              <w:rPr>
                <w:rFonts w:ascii="宋体" w:eastAsia="宋体" w:hAnsi="宋体" w:cs="宋体"/>
                <w:b w:val="0"/>
                <w:i w:val="0"/>
                <w:color w:val="000000"/>
                <w:sz w:val="17"/>
              </w:rPr>
              <w:t xml:space="preserve">169.15</w:t>
            </w:r>
          </w:p>
        </w:tc>
        <w:tc>
          <w:tcPr>
            <w:tcW w:w="1440" w:type="dxa"/>
            <w:tcBorders/>
            <w:vAlign w:val="center"/>
          </w:tcPr>
          <w:p>
            <w:pPr>
              <w:jc w:val="right"/>
            </w:pPr>
            <w:r>
              <w:rPr>
                <w:rFonts w:ascii="宋体" w:eastAsia="宋体" w:hAnsi="宋体" w:cs="宋体"/>
                <w:b w:val="0"/>
                <w:i w:val="0"/>
                <w:color w:val="000000"/>
                <w:sz w:val="17"/>
              </w:rPr>
              <w:t xml:space="preserve">164.84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4.31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21.53</w:t>
            </w:r>
          </w:p>
        </w:tc>
        <w:tc>
          <w:tcPr>
            <w:tcW w:w="1440" w:type="dxa"/>
            <w:tcBorders/>
            <w:vAlign w:val="center"/>
          </w:tcPr>
          <w:p>
            <w:pPr>
              <w:jc w:val="right"/>
            </w:pPr>
            <w:r>
              <w:rPr>
                <w:rFonts w:ascii="宋体" w:eastAsia="宋体" w:hAnsi="宋体" w:cs="宋体"/>
                <w:b w:val="0"/>
                <w:i w:val="0"/>
                <w:color w:val="000000"/>
                <w:sz w:val="17"/>
              </w:rPr>
              <w:t xml:space="preserve">21.53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21.53</w:t>
            </w:r>
          </w:p>
        </w:tc>
        <w:tc>
          <w:tcPr>
            <w:tcW w:w="1440" w:type="dxa"/>
            <w:tcBorders/>
            <w:vAlign w:val="center"/>
          </w:tcPr>
          <w:p>
            <w:pPr>
              <w:jc w:val="right"/>
            </w:pPr>
            <w:r>
              <w:rPr>
                <w:rFonts w:ascii="宋体" w:eastAsia="宋体" w:hAnsi="宋体" w:cs="宋体"/>
                <w:b w:val="0"/>
                <w:i w:val="0"/>
                <w:color w:val="000000"/>
                <w:sz w:val="17"/>
              </w:rPr>
              <w:t xml:space="preserve">21.53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15.15</w:t>
            </w:r>
          </w:p>
        </w:tc>
        <w:tc>
          <w:tcPr>
            <w:tcW w:w="1440" w:type="dxa"/>
            <w:tcBorders/>
            <w:vAlign w:val="center"/>
          </w:tcPr>
          <w:p>
            <w:pPr>
              <w:jc w:val="right"/>
            </w:pPr>
            <w:r>
              <w:rPr>
                <w:rFonts w:ascii="宋体" w:eastAsia="宋体" w:hAnsi="宋体" w:cs="宋体"/>
                <w:b w:val="0"/>
                <w:i w:val="0"/>
                <w:color w:val="000000"/>
                <w:sz w:val="17"/>
              </w:rPr>
              <w:t xml:space="preserve">15.15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6.38</w:t>
            </w:r>
          </w:p>
        </w:tc>
        <w:tc>
          <w:tcPr>
            <w:tcW w:w="1440" w:type="dxa"/>
            <w:tcBorders/>
            <w:vAlign w:val="center"/>
          </w:tcPr>
          <w:p>
            <w:pPr>
              <w:jc w:val="right"/>
            </w:pPr>
            <w:r>
              <w:rPr>
                <w:rFonts w:ascii="宋体" w:eastAsia="宋体" w:hAnsi="宋体" w:cs="宋体"/>
                <w:b w:val="0"/>
                <w:i w:val="0"/>
                <w:color w:val="000000"/>
                <w:sz w:val="17"/>
              </w:rPr>
              <w:t xml:space="preserve">6.38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5.93</w:t>
            </w:r>
          </w:p>
        </w:tc>
        <w:tc>
          <w:tcPr>
            <w:tcW w:w="1440" w:type="dxa"/>
            <w:tcBorders/>
            <w:vAlign w:val="center"/>
          </w:tcPr>
          <w:p>
            <w:pPr>
              <w:jc w:val="right"/>
            </w:pPr>
            <w:r>
              <w:rPr>
                <w:rFonts w:ascii="宋体" w:eastAsia="宋体" w:hAnsi="宋体" w:cs="宋体"/>
                <w:b w:val="0"/>
                <w:i w:val="0"/>
                <w:color w:val="000000"/>
                <w:sz w:val="17"/>
              </w:rPr>
              <w:t xml:space="preserve">5.93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5.93</w:t>
            </w:r>
          </w:p>
        </w:tc>
        <w:tc>
          <w:tcPr>
            <w:tcW w:w="1440" w:type="dxa"/>
            <w:tcBorders/>
            <w:vAlign w:val="center"/>
          </w:tcPr>
          <w:p>
            <w:pPr>
              <w:jc w:val="right"/>
            </w:pPr>
            <w:r>
              <w:rPr>
                <w:rFonts w:ascii="宋体" w:eastAsia="宋体" w:hAnsi="宋体" w:cs="宋体"/>
                <w:b w:val="0"/>
                <w:i w:val="0"/>
                <w:color w:val="000000"/>
                <w:sz w:val="17"/>
              </w:rPr>
              <w:t xml:space="preserve">5.93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5.93</w:t>
            </w:r>
          </w:p>
        </w:tc>
        <w:tc>
          <w:tcPr>
            <w:tcW w:w="1440" w:type="dxa"/>
            <w:tcBorders/>
            <w:vAlign w:val="center"/>
          </w:tcPr>
          <w:p>
            <w:pPr>
              <w:jc w:val="right"/>
            </w:pPr>
            <w:r>
              <w:rPr>
                <w:rFonts w:ascii="宋体" w:eastAsia="宋体" w:hAnsi="宋体" w:cs="宋体"/>
                <w:b w:val="0"/>
                <w:i w:val="0"/>
                <w:color w:val="000000"/>
                <w:sz w:val="17"/>
              </w:rPr>
              <w:t xml:space="preserve">5.93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17.29</w:t>
            </w:r>
          </w:p>
        </w:tc>
        <w:tc>
          <w:tcPr>
            <w:tcW w:w="1440" w:type="dxa"/>
            <w:tcBorders/>
            <w:vAlign w:val="center"/>
          </w:tcPr>
          <w:p>
            <w:pPr>
              <w:jc w:val="right"/>
            </w:pPr>
            <w:r>
              <w:rPr>
                <w:rFonts w:ascii="宋体" w:eastAsia="宋体" w:hAnsi="宋体" w:cs="宋体"/>
                <w:b w:val="0"/>
                <w:i w:val="0"/>
                <w:color w:val="000000"/>
                <w:sz w:val="17"/>
              </w:rPr>
              <w:t xml:space="preserve">17.29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17.29</w:t>
            </w:r>
          </w:p>
        </w:tc>
        <w:tc>
          <w:tcPr>
            <w:tcW w:w="1440" w:type="dxa"/>
            <w:tcBorders/>
            <w:vAlign w:val="center"/>
          </w:tcPr>
          <w:p>
            <w:pPr>
              <w:jc w:val="right"/>
            </w:pPr>
            <w:r>
              <w:rPr>
                <w:rFonts w:ascii="宋体" w:eastAsia="宋体" w:hAnsi="宋体" w:cs="宋体"/>
                <w:b w:val="0"/>
                <w:i w:val="0"/>
                <w:color w:val="000000"/>
                <w:sz w:val="17"/>
              </w:rPr>
              <w:t xml:space="preserve">17.29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17.29</w:t>
            </w:r>
          </w:p>
        </w:tc>
        <w:tc>
          <w:tcPr>
            <w:tcW w:w="1440" w:type="dxa"/>
            <w:tcBorders/>
            <w:vAlign w:val="center"/>
          </w:tcPr>
          <w:p>
            <w:pPr>
              <w:jc w:val="right"/>
            </w:pPr>
            <w:r>
              <w:rPr>
                <w:rFonts w:ascii="宋体" w:eastAsia="宋体" w:hAnsi="宋体" w:cs="宋体"/>
                <w:b w:val="0"/>
                <w:i w:val="0"/>
                <w:color w:val="000000"/>
                <w:sz w:val="17"/>
              </w:rPr>
              <w:t xml:space="preserve">17.29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214.46</w:t>
            </w:r>
          </w:p>
        </w:tc>
        <w:tc>
          <w:tcPr>
            <w:tcW w:w="1600" w:type="dxa"/>
            <w:tcBorders/>
            <w:vAlign w:val="center"/>
          </w:tcPr>
          <w:p>
            <w:pPr>
              <w:jc w:val="right"/>
            </w:pPr>
            <w:r>
              <w:rPr>
                <w:rFonts w:ascii="宋体" w:eastAsia="宋体" w:hAnsi="宋体" w:cs="宋体"/>
                <w:b/>
                <w:i w:val="0"/>
                <w:color w:val="000000"/>
                <w:sz w:val="19"/>
              </w:rPr>
              <w:t xml:space="preserve">214.46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169.71</w:t>
            </w:r>
          </w:p>
        </w:tc>
        <w:tc>
          <w:tcPr>
            <w:tcW w:w="1600" w:type="dxa"/>
            <w:tcBorders/>
            <w:vAlign w:val="center"/>
          </w:tcPr>
          <w:p>
            <w:pPr>
              <w:jc w:val="right"/>
            </w:pPr>
            <w:r>
              <w:rPr>
                <w:rFonts w:ascii="宋体" w:eastAsia="宋体" w:hAnsi="宋体" w:cs="宋体"/>
                <w:b w:val="0"/>
                <w:i w:val="0"/>
                <w:color w:val="000000"/>
                <w:sz w:val="19"/>
              </w:rPr>
              <w:t xml:space="preserve">169.71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169.71</w:t>
            </w:r>
          </w:p>
        </w:tc>
        <w:tc>
          <w:tcPr>
            <w:tcW w:w="1600" w:type="dxa"/>
            <w:tcBorders/>
            <w:vAlign w:val="center"/>
          </w:tcPr>
          <w:p>
            <w:pPr>
              <w:jc w:val="right"/>
            </w:pPr>
            <w:r>
              <w:rPr>
                <w:rFonts w:ascii="宋体" w:eastAsia="宋体" w:hAnsi="宋体" w:cs="宋体"/>
                <w:b w:val="0"/>
                <w:i w:val="0"/>
                <w:color w:val="000000"/>
                <w:sz w:val="19"/>
              </w:rPr>
              <w:t xml:space="preserve">169.71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其他职业教育支出</w:t>
            </w:r>
          </w:p>
        </w:tc>
        <w:tc>
          <w:tcPr>
            <w:tcW w:w="1600" w:type="dxa"/>
            <w:tcBorders/>
            <w:vAlign w:val="center"/>
          </w:tcPr>
          <w:p>
            <w:pPr>
              <w:jc w:val="right"/>
            </w:pPr>
            <w:r>
              <w:rPr>
                <w:rFonts w:ascii="宋体" w:eastAsia="宋体" w:hAnsi="宋体" w:cs="宋体"/>
                <w:b w:val="0"/>
                <w:i w:val="0"/>
                <w:color w:val="000000"/>
                <w:sz w:val="19"/>
              </w:rPr>
              <w:t xml:space="preserve">169.71</w:t>
            </w:r>
          </w:p>
        </w:tc>
        <w:tc>
          <w:tcPr>
            <w:tcW w:w="1600" w:type="dxa"/>
            <w:tcBorders/>
            <w:vAlign w:val="center"/>
          </w:tcPr>
          <w:p>
            <w:pPr>
              <w:jc w:val="right"/>
            </w:pPr>
            <w:r>
              <w:rPr>
                <w:rFonts w:ascii="宋体" w:eastAsia="宋体" w:hAnsi="宋体" w:cs="宋体"/>
                <w:b w:val="0"/>
                <w:i w:val="0"/>
                <w:color w:val="000000"/>
                <w:sz w:val="19"/>
              </w:rPr>
              <w:t xml:space="preserve">169.71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21.53</w:t>
            </w:r>
          </w:p>
        </w:tc>
        <w:tc>
          <w:tcPr>
            <w:tcW w:w="1600" w:type="dxa"/>
            <w:tcBorders/>
            <w:vAlign w:val="center"/>
          </w:tcPr>
          <w:p>
            <w:pPr>
              <w:jc w:val="right"/>
            </w:pPr>
            <w:r>
              <w:rPr>
                <w:rFonts w:ascii="宋体" w:eastAsia="宋体" w:hAnsi="宋体" w:cs="宋体"/>
                <w:b w:val="0"/>
                <w:i w:val="0"/>
                <w:color w:val="000000"/>
                <w:sz w:val="19"/>
              </w:rPr>
              <w:t xml:space="preserve">21.53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21.53</w:t>
            </w:r>
          </w:p>
        </w:tc>
        <w:tc>
          <w:tcPr>
            <w:tcW w:w="1600" w:type="dxa"/>
            <w:tcBorders/>
            <w:vAlign w:val="center"/>
          </w:tcPr>
          <w:p>
            <w:pPr>
              <w:jc w:val="right"/>
            </w:pPr>
            <w:r>
              <w:rPr>
                <w:rFonts w:ascii="宋体" w:eastAsia="宋体" w:hAnsi="宋体" w:cs="宋体"/>
                <w:b w:val="0"/>
                <w:i w:val="0"/>
                <w:color w:val="000000"/>
                <w:sz w:val="19"/>
              </w:rPr>
              <w:t xml:space="preserve">21.53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15.15</w:t>
            </w:r>
          </w:p>
        </w:tc>
        <w:tc>
          <w:tcPr>
            <w:tcW w:w="1600" w:type="dxa"/>
            <w:tcBorders/>
            <w:vAlign w:val="center"/>
          </w:tcPr>
          <w:p>
            <w:pPr>
              <w:jc w:val="right"/>
            </w:pPr>
            <w:r>
              <w:rPr>
                <w:rFonts w:ascii="宋体" w:eastAsia="宋体" w:hAnsi="宋体" w:cs="宋体"/>
                <w:b w:val="0"/>
                <w:i w:val="0"/>
                <w:color w:val="000000"/>
                <w:sz w:val="19"/>
              </w:rPr>
              <w:t xml:space="preserve">15.15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6.38</w:t>
            </w:r>
          </w:p>
        </w:tc>
        <w:tc>
          <w:tcPr>
            <w:tcW w:w="1600" w:type="dxa"/>
            <w:tcBorders/>
            <w:vAlign w:val="center"/>
          </w:tcPr>
          <w:p>
            <w:pPr>
              <w:jc w:val="right"/>
            </w:pPr>
            <w:r>
              <w:rPr>
                <w:rFonts w:ascii="宋体" w:eastAsia="宋体" w:hAnsi="宋体" w:cs="宋体"/>
                <w:b w:val="0"/>
                <w:i w:val="0"/>
                <w:color w:val="000000"/>
                <w:sz w:val="19"/>
              </w:rPr>
              <w:t xml:space="preserve">6.38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5.93</w:t>
            </w:r>
          </w:p>
        </w:tc>
        <w:tc>
          <w:tcPr>
            <w:tcW w:w="1600" w:type="dxa"/>
            <w:tcBorders/>
            <w:vAlign w:val="center"/>
          </w:tcPr>
          <w:p>
            <w:pPr>
              <w:jc w:val="right"/>
            </w:pPr>
            <w:r>
              <w:rPr>
                <w:rFonts w:ascii="宋体" w:eastAsia="宋体" w:hAnsi="宋体" w:cs="宋体"/>
                <w:b w:val="0"/>
                <w:i w:val="0"/>
                <w:color w:val="000000"/>
                <w:sz w:val="19"/>
              </w:rPr>
              <w:t xml:space="preserve">5.93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5.93</w:t>
            </w:r>
          </w:p>
        </w:tc>
        <w:tc>
          <w:tcPr>
            <w:tcW w:w="1600" w:type="dxa"/>
            <w:tcBorders/>
            <w:vAlign w:val="center"/>
          </w:tcPr>
          <w:p>
            <w:pPr>
              <w:jc w:val="right"/>
            </w:pPr>
            <w:r>
              <w:rPr>
                <w:rFonts w:ascii="宋体" w:eastAsia="宋体" w:hAnsi="宋体" w:cs="宋体"/>
                <w:b w:val="0"/>
                <w:i w:val="0"/>
                <w:color w:val="000000"/>
                <w:sz w:val="19"/>
              </w:rPr>
              <w:t xml:space="preserve">5.93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5.93</w:t>
            </w:r>
          </w:p>
        </w:tc>
        <w:tc>
          <w:tcPr>
            <w:tcW w:w="1600" w:type="dxa"/>
            <w:tcBorders/>
            <w:vAlign w:val="center"/>
          </w:tcPr>
          <w:p>
            <w:pPr>
              <w:jc w:val="right"/>
            </w:pPr>
            <w:r>
              <w:rPr>
                <w:rFonts w:ascii="宋体" w:eastAsia="宋体" w:hAnsi="宋体" w:cs="宋体"/>
                <w:b w:val="0"/>
                <w:i w:val="0"/>
                <w:color w:val="000000"/>
                <w:sz w:val="19"/>
              </w:rPr>
              <w:t xml:space="preserve">5.93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17.29</w:t>
            </w:r>
          </w:p>
        </w:tc>
        <w:tc>
          <w:tcPr>
            <w:tcW w:w="1600" w:type="dxa"/>
            <w:tcBorders/>
            <w:vAlign w:val="center"/>
          </w:tcPr>
          <w:p>
            <w:pPr>
              <w:jc w:val="right"/>
            </w:pPr>
            <w:r>
              <w:rPr>
                <w:rFonts w:ascii="宋体" w:eastAsia="宋体" w:hAnsi="宋体" w:cs="宋体"/>
                <w:b w:val="0"/>
                <w:i w:val="0"/>
                <w:color w:val="000000"/>
                <w:sz w:val="19"/>
              </w:rPr>
              <w:t xml:space="preserve">17.29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17.29</w:t>
            </w:r>
          </w:p>
        </w:tc>
        <w:tc>
          <w:tcPr>
            <w:tcW w:w="1600" w:type="dxa"/>
            <w:tcBorders/>
            <w:vAlign w:val="center"/>
          </w:tcPr>
          <w:p>
            <w:pPr>
              <w:jc w:val="right"/>
            </w:pPr>
            <w:r>
              <w:rPr>
                <w:rFonts w:ascii="宋体" w:eastAsia="宋体" w:hAnsi="宋体" w:cs="宋体"/>
                <w:b w:val="0"/>
                <w:i w:val="0"/>
                <w:color w:val="000000"/>
                <w:sz w:val="19"/>
              </w:rPr>
              <w:t xml:space="preserve">17.29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17.29</w:t>
            </w:r>
          </w:p>
        </w:tc>
        <w:tc>
          <w:tcPr>
            <w:tcW w:w="1600" w:type="dxa"/>
            <w:tcBorders/>
            <w:vAlign w:val="center"/>
          </w:tcPr>
          <w:p>
            <w:pPr>
              <w:jc w:val="right"/>
            </w:pPr>
            <w:r>
              <w:rPr>
                <w:rFonts w:ascii="宋体" w:eastAsia="宋体" w:hAnsi="宋体" w:cs="宋体"/>
                <w:b w:val="0"/>
                <w:i w:val="0"/>
                <w:color w:val="000000"/>
                <w:sz w:val="19"/>
              </w:rPr>
              <w:t xml:space="preserve">17.29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209.59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164.84</w:t>
            </w:r>
          </w:p>
        </w:tc>
        <w:tc>
          <w:tcPr>
            <w:tcW w:w="1420" w:type="dxa"/>
            <w:tcBorders/>
            <w:vAlign w:val="center"/>
          </w:tcPr>
          <w:p>
            <w:pPr>
              <w:jc w:val="right"/>
            </w:pPr>
            <w:r>
              <w:rPr>
                <w:rFonts w:ascii="宋体" w:eastAsia="宋体" w:hAnsi="宋体" w:cs="宋体"/>
                <w:b w:val="0"/>
                <w:i w:val="0"/>
                <w:color w:val="000000"/>
                <w:sz w:val="18"/>
              </w:rPr>
              <w:t xml:space="preserve">164.84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21.53</w:t>
            </w:r>
          </w:p>
        </w:tc>
        <w:tc>
          <w:tcPr>
            <w:tcW w:w="1420" w:type="dxa"/>
            <w:tcBorders/>
            <w:vAlign w:val="center"/>
          </w:tcPr>
          <w:p>
            <w:pPr>
              <w:jc w:val="right"/>
            </w:pPr>
            <w:r>
              <w:rPr>
                <w:rFonts w:ascii="宋体" w:eastAsia="宋体" w:hAnsi="宋体" w:cs="宋体"/>
                <w:b w:val="0"/>
                <w:i w:val="0"/>
                <w:color w:val="000000"/>
                <w:sz w:val="18"/>
              </w:rPr>
              <w:t xml:space="preserve">21.53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5.93</w:t>
            </w:r>
          </w:p>
        </w:tc>
        <w:tc>
          <w:tcPr>
            <w:tcW w:w="1420" w:type="dxa"/>
            <w:tcBorders/>
            <w:vAlign w:val="center"/>
          </w:tcPr>
          <w:p>
            <w:pPr>
              <w:jc w:val="right"/>
            </w:pPr>
            <w:r>
              <w:rPr>
                <w:rFonts w:ascii="宋体" w:eastAsia="宋体" w:hAnsi="宋体" w:cs="宋体"/>
                <w:b w:val="0"/>
                <w:i w:val="0"/>
                <w:color w:val="000000"/>
                <w:sz w:val="18"/>
              </w:rPr>
              <w:t xml:space="preserve">5.93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17.29</w:t>
            </w:r>
          </w:p>
        </w:tc>
        <w:tc>
          <w:tcPr>
            <w:tcW w:w="1420" w:type="dxa"/>
            <w:tcBorders/>
            <w:vAlign w:val="center"/>
          </w:tcPr>
          <w:p>
            <w:pPr>
              <w:jc w:val="right"/>
            </w:pPr>
            <w:r>
              <w:rPr>
                <w:rFonts w:ascii="宋体" w:eastAsia="宋体" w:hAnsi="宋体" w:cs="宋体"/>
                <w:b w:val="0"/>
                <w:i w:val="0"/>
                <w:color w:val="000000"/>
                <w:sz w:val="18"/>
              </w:rPr>
              <w:t xml:space="preserve">17.29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209.59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209.59</w:t>
            </w:r>
          </w:p>
        </w:tc>
        <w:tc>
          <w:tcPr>
            <w:tcW w:w="1420" w:type="dxa"/>
            <w:tcBorders/>
            <w:vAlign w:val="center"/>
          </w:tcPr>
          <w:p>
            <w:pPr>
              <w:jc w:val="right"/>
            </w:pPr>
            <w:r>
              <w:rPr>
                <w:rFonts w:ascii="宋体" w:eastAsia="宋体" w:hAnsi="宋体" w:cs="宋体"/>
                <w:b w:val="0"/>
                <w:i w:val="0"/>
                <w:color w:val="000000"/>
                <w:sz w:val="18"/>
              </w:rPr>
              <w:t xml:space="preserve">209.59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209.59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209.59</w:t>
            </w:r>
          </w:p>
        </w:tc>
        <w:tc>
          <w:tcPr>
            <w:tcW w:w="1420" w:type="dxa"/>
            <w:tcBorders/>
            <w:vAlign w:val="center"/>
          </w:tcPr>
          <w:p>
            <w:pPr>
              <w:jc w:val="right"/>
            </w:pPr>
            <w:r>
              <w:rPr>
                <w:rFonts w:ascii="宋体" w:eastAsia="宋体" w:hAnsi="宋体" w:cs="宋体"/>
                <w:b w:val="0"/>
                <w:i w:val="0"/>
                <w:color w:val="000000"/>
                <w:sz w:val="18"/>
              </w:rPr>
              <w:t xml:space="preserve">209.59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209.59</w:t>
            </w:r>
          </w:p>
        </w:tc>
        <w:tc>
          <w:tcPr>
            <w:tcW w:w="2700" w:type="dxa"/>
            <w:tcBorders/>
            <w:vAlign w:val="center"/>
          </w:tcPr>
          <w:p>
            <w:pPr>
              <w:jc w:val="right"/>
            </w:pPr>
            <w:r>
              <w:rPr>
                <w:rFonts w:ascii="宋体" w:eastAsia="宋体" w:hAnsi="宋体" w:cs="宋体"/>
                <w:b/>
                <w:i w:val="0"/>
                <w:color w:val="000000"/>
                <w:sz w:val="25"/>
              </w:rPr>
              <w:t xml:space="preserve">209.59</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164.84</w:t>
            </w:r>
          </w:p>
        </w:tc>
        <w:tc>
          <w:tcPr>
            <w:tcW w:w="2700" w:type="dxa"/>
            <w:tcBorders/>
            <w:vAlign w:val="center"/>
          </w:tcPr>
          <w:p>
            <w:pPr>
              <w:jc w:val="right"/>
            </w:pPr>
            <w:r>
              <w:rPr>
                <w:rFonts w:ascii="宋体" w:eastAsia="宋体" w:hAnsi="宋体" w:cs="宋体"/>
                <w:b w:val="0"/>
                <w:i w:val="0"/>
                <w:color w:val="000000"/>
                <w:sz w:val="25"/>
              </w:rPr>
              <w:t xml:space="preserve">164.84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164.84</w:t>
            </w:r>
          </w:p>
        </w:tc>
        <w:tc>
          <w:tcPr>
            <w:tcW w:w="2700" w:type="dxa"/>
            <w:tcBorders/>
            <w:vAlign w:val="center"/>
          </w:tcPr>
          <w:p>
            <w:pPr>
              <w:jc w:val="right"/>
            </w:pPr>
            <w:r>
              <w:rPr>
                <w:rFonts w:ascii="宋体" w:eastAsia="宋体" w:hAnsi="宋体" w:cs="宋体"/>
                <w:b w:val="0"/>
                <w:i w:val="0"/>
                <w:color w:val="000000"/>
                <w:sz w:val="25"/>
              </w:rPr>
              <w:t xml:space="preserve">164.84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其他职业教育支出</w:t>
            </w:r>
          </w:p>
        </w:tc>
        <w:tc>
          <w:tcPr>
            <w:tcW w:w="2700" w:type="dxa"/>
            <w:tcBorders/>
            <w:vAlign w:val="center"/>
          </w:tcPr>
          <w:p>
            <w:pPr>
              <w:jc w:val="right"/>
            </w:pPr>
            <w:r>
              <w:rPr>
                <w:rFonts w:ascii="宋体" w:eastAsia="宋体" w:hAnsi="宋体" w:cs="宋体"/>
                <w:b w:val="0"/>
                <w:i w:val="0"/>
                <w:color w:val="000000"/>
                <w:sz w:val="25"/>
              </w:rPr>
              <w:t xml:space="preserve">164.84</w:t>
            </w:r>
          </w:p>
        </w:tc>
        <w:tc>
          <w:tcPr>
            <w:tcW w:w="2700" w:type="dxa"/>
            <w:tcBorders/>
            <w:vAlign w:val="center"/>
          </w:tcPr>
          <w:p>
            <w:pPr>
              <w:jc w:val="right"/>
            </w:pPr>
            <w:r>
              <w:rPr>
                <w:rFonts w:ascii="宋体" w:eastAsia="宋体" w:hAnsi="宋体" w:cs="宋体"/>
                <w:b w:val="0"/>
                <w:i w:val="0"/>
                <w:color w:val="000000"/>
                <w:sz w:val="25"/>
              </w:rPr>
              <w:t xml:space="preserve">164.84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21.53</w:t>
            </w:r>
          </w:p>
        </w:tc>
        <w:tc>
          <w:tcPr>
            <w:tcW w:w="2700" w:type="dxa"/>
            <w:tcBorders/>
            <w:vAlign w:val="center"/>
          </w:tcPr>
          <w:p>
            <w:pPr>
              <w:jc w:val="right"/>
            </w:pPr>
            <w:r>
              <w:rPr>
                <w:rFonts w:ascii="宋体" w:eastAsia="宋体" w:hAnsi="宋体" w:cs="宋体"/>
                <w:b w:val="0"/>
                <w:i w:val="0"/>
                <w:color w:val="000000"/>
                <w:sz w:val="25"/>
              </w:rPr>
              <w:t xml:space="preserve">21.53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21.53</w:t>
            </w:r>
          </w:p>
        </w:tc>
        <w:tc>
          <w:tcPr>
            <w:tcW w:w="2700" w:type="dxa"/>
            <w:tcBorders/>
            <w:vAlign w:val="center"/>
          </w:tcPr>
          <w:p>
            <w:pPr>
              <w:jc w:val="right"/>
            </w:pPr>
            <w:r>
              <w:rPr>
                <w:rFonts w:ascii="宋体" w:eastAsia="宋体" w:hAnsi="宋体" w:cs="宋体"/>
                <w:b w:val="0"/>
                <w:i w:val="0"/>
                <w:color w:val="000000"/>
                <w:sz w:val="25"/>
              </w:rPr>
              <w:t xml:space="preserve">21.53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15.15</w:t>
            </w:r>
          </w:p>
        </w:tc>
        <w:tc>
          <w:tcPr>
            <w:tcW w:w="2700" w:type="dxa"/>
            <w:tcBorders/>
            <w:vAlign w:val="center"/>
          </w:tcPr>
          <w:p>
            <w:pPr>
              <w:jc w:val="right"/>
            </w:pPr>
            <w:r>
              <w:rPr>
                <w:rFonts w:ascii="宋体" w:eastAsia="宋体" w:hAnsi="宋体" w:cs="宋体"/>
                <w:b w:val="0"/>
                <w:i w:val="0"/>
                <w:color w:val="000000"/>
                <w:sz w:val="25"/>
              </w:rPr>
              <w:t xml:space="preserve">15.15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6.38</w:t>
            </w:r>
          </w:p>
        </w:tc>
        <w:tc>
          <w:tcPr>
            <w:tcW w:w="2700" w:type="dxa"/>
            <w:tcBorders/>
            <w:vAlign w:val="center"/>
          </w:tcPr>
          <w:p>
            <w:pPr>
              <w:jc w:val="right"/>
            </w:pPr>
            <w:r>
              <w:rPr>
                <w:rFonts w:ascii="宋体" w:eastAsia="宋体" w:hAnsi="宋体" w:cs="宋体"/>
                <w:b w:val="0"/>
                <w:i w:val="0"/>
                <w:color w:val="000000"/>
                <w:sz w:val="25"/>
              </w:rPr>
              <w:t xml:space="preserve">6.38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5.93</w:t>
            </w:r>
          </w:p>
        </w:tc>
        <w:tc>
          <w:tcPr>
            <w:tcW w:w="2700" w:type="dxa"/>
            <w:tcBorders/>
            <w:vAlign w:val="center"/>
          </w:tcPr>
          <w:p>
            <w:pPr>
              <w:jc w:val="right"/>
            </w:pPr>
            <w:r>
              <w:rPr>
                <w:rFonts w:ascii="宋体" w:eastAsia="宋体" w:hAnsi="宋体" w:cs="宋体"/>
                <w:b w:val="0"/>
                <w:i w:val="0"/>
                <w:color w:val="000000"/>
                <w:sz w:val="25"/>
              </w:rPr>
              <w:t xml:space="preserve">5.93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5.93</w:t>
            </w:r>
          </w:p>
        </w:tc>
        <w:tc>
          <w:tcPr>
            <w:tcW w:w="2700" w:type="dxa"/>
            <w:tcBorders/>
            <w:vAlign w:val="center"/>
          </w:tcPr>
          <w:p>
            <w:pPr>
              <w:jc w:val="right"/>
            </w:pPr>
            <w:r>
              <w:rPr>
                <w:rFonts w:ascii="宋体" w:eastAsia="宋体" w:hAnsi="宋体" w:cs="宋体"/>
                <w:b w:val="0"/>
                <w:i w:val="0"/>
                <w:color w:val="000000"/>
                <w:sz w:val="25"/>
              </w:rPr>
              <w:t xml:space="preserve">5.93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5.93</w:t>
            </w:r>
          </w:p>
        </w:tc>
        <w:tc>
          <w:tcPr>
            <w:tcW w:w="2700" w:type="dxa"/>
            <w:tcBorders/>
            <w:vAlign w:val="center"/>
          </w:tcPr>
          <w:p>
            <w:pPr>
              <w:jc w:val="right"/>
            </w:pPr>
            <w:r>
              <w:rPr>
                <w:rFonts w:ascii="宋体" w:eastAsia="宋体" w:hAnsi="宋体" w:cs="宋体"/>
                <w:b w:val="0"/>
                <w:i w:val="0"/>
                <w:color w:val="000000"/>
                <w:sz w:val="25"/>
              </w:rPr>
              <w:t xml:space="preserve">5.93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17.29</w:t>
            </w:r>
          </w:p>
        </w:tc>
        <w:tc>
          <w:tcPr>
            <w:tcW w:w="2700" w:type="dxa"/>
            <w:tcBorders/>
            <w:vAlign w:val="center"/>
          </w:tcPr>
          <w:p>
            <w:pPr>
              <w:jc w:val="right"/>
            </w:pPr>
            <w:r>
              <w:rPr>
                <w:rFonts w:ascii="宋体" w:eastAsia="宋体" w:hAnsi="宋体" w:cs="宋体"/>
                <w:b w:val="0"/>
                <w:i w:val="0"/>
                <w:color w:val="000000"/>
                <w:sz w:val="25"/>
              </w:rPr>
              <w:t xml:space="preserve">17.29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17.29</w:t>
            </w:r>
          </w:p>
        </w:tc>
        <w:tc>
          <w:tcPr>
            <w:tcW w:w="2700" w:type="dxa"/>
            <w:tcBorders/>
            <w:vAlign w:val="center"/>
          </w:tcPr>
          <w:p>
            <w:pPr>
              <w:jc w:val="right"/>
            </w:pPr>
            <w:r>
              <w:rPr>
                <w:rFonts w:ascii="宋体" w:eastAsia="宋体" w:hAnsi="宋体" w:cs="宋体"/>
                <w:b w:val="0"/>
                <w:i w:val="0"/>
                <w:color w:val="000000"/>
                <w:sz w:val="25"/>
              </w:rPr>
              <w:t xml:space="preserve">17.29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17.29</w:t>
            </w:r>
          </w:p>
        </w:tc>
        <w:tc>
          <w:tcPr>
            <w:tcW w:w="2700" w:type="dxa"/>
            <w:tcBorders/>
            <w:vAlign w:val="center"/>
          </w:tcPr>
          <w:p>
            <w:pPr>
              <w:jc w:val="right"/>
            </w:pPr>
            <w:r>
              <w:rPr>
                <w:rFonts w:ascii="宋体" w:eastAsia="宋体" w:hAnsi="宋体" w:cs="宋体"/>
                <w:b w:val="0"/>
                <w:i w:val="0"/>
                <w:color w:val="000000"/>
                <w:sz w:val="25"/>
              </w:rPr>
              <w:t xml:space="preserve">17.29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159.48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36.81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46.35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5.82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5.14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37.82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10.46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15.15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6.38</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0.55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5.93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17.29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2.89</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14.95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13.30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21.32</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13.30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1.44</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1.90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1.08</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1.75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172.78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36.81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单位：许昌市中小学教师培训中心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1.08</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214.46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减少182.00万元，下降45.91%</w:t>
      </w:r>
      <w:r>
        <w:rPr>
          <w:rFonts w:ascii="仿宋" w:eastAsia="仿宋" w:hAnsi="仿宋" w:cs="仿宋" w:hint="eastAsia"/>
          <w:kern w:val="0"/>
          <w:sz w:val="32"/>
          <w:szCs w:val="32"/>
          <w:lang w:val="en-US" w:eastAsia="zh-CN"/>
        </w:rPr>
        <w:t xml:space="preserve">。主要原因是我单位为差额供给单位，本年度因教师培训任务减少，非税收支减少。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213.90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财政拨款收入209.59万元，占97.99%；上级补助收入0.00万元，占0.00%；事业收入0.00万元，占0.00%；经营收入0.00万元，占0.00%；附属单位上缴收入0.00万元，占0.00%；其他收入4.31万元，占2.01%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214.46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基本支出214.46万元，占100.00%；项目支出0.00万元，占0.00%；上缴上级支出0.00万元，占0.00%；经营支出0.00万元，占0.00%；对附属单位补助支出0.00万元，占0.00%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209.59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减少185.94万元，下降47.01%</w:t>
      </w:r>
      <w:r>
        <w:rPr>
          <w:rFonts w:ascii="仿宋" w:eastAsia="仿宋" w:hAnsi="仿宋" w:cs="仿宋" w:hint="eastAsia"/>
          <w:kern w:val="0"/>
          <w:sz w:val="32"/>
          <w:szCs w:val="32"/>
          <w:lang w:val="en-US" w:eastAsia="zh-CN"/>
        </w:rPr>
        <w:t xml:space="preserve">。主要原因是我单位为差额供给单位，本年度因教师培训任务减少，非税收支减少。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209.59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97.73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减少185.94万元，下降47.01%</w:t>
      </w:r>
      <w:r>
        <w:rPr>
          <w:rFonts w:ascii="仿宋" w:eastAsia="仿宋" w:hAnsi="仿宋" w:cs="仿宋" w:hint="eastAsia"/>
          <w:kern w:val="0"/>
          <w:sz w:val="32"/>
          <w:szCs w:val="32"/>
          <w:lang w:val="en-US" w:eastAsia="zh-CN"/>
        </w:rPr>
        <w:t xml:space="preserve">。主要原因是我单位为差额供给单位，本年度因教师培训任务减少，非税收支减少。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209.59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教育支出（类）164.84万元，占78.65%；社会保障和就业支出（类）21.53万元，占10.27%；卫生健康支出（类）5.93万元，占2.83%；住房保障支出（类）17.29万元，占8.25%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491.43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209.59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42.65</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1.教育支出（类）职业教育（款）其他职业教育支出（项）</w:t>
      </w:r>
      <w:r>
        <w:rPr>
          <w:rFonts w:ascii="仿宋" w:eastAsia="仿宋" w:hAnsi="仿宋" w:cs="仿宋" w:hint="default"/>
          <w:kern w:val="2"/>
          <w:sz w:val="32"/>
          <w:szCs w:val="32"/>
          <w:lang w:val="en-US" w:eastAsia="zh-CN"/>
        </w:rPr>
        <w:t xml:space="preserve">年初预算数为436.03万元，决算数164.84万元,完成年初预算的37.80%，决算数与年初预算数存在差异的主要原因是我单位为差额供给单位，本年度因教师培训任务减少，非税收支减少。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年初预算数为17.00万元，决算数15.15万元,完成年初预算的89.12%，决算数与年初预算数存在差异的主要原因是我单位为差额供给单位，本年度因教师培训任务减少，非税收支减少。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3.社会保障和就业支出（类）行政事业单位养老支出（款）机关事业单位职业年金缴费支出（项）</w:t>
      </w:r>
      <w:r>
        <w:rPr>
          <w:rFonts w:ascii="仿宋" w:eastAsia="仿宋" w:hAnsi="仿宋" w:cs="仿宋" w:hint="default"/>
          <w:kern w:val="2"/>
          <w:sz w:val="32"/>
          <w:szCs w:val="32"/>
          <w:lang w:val="en-US" w:eastAsia="zh-CN"/>
        </w:rPr>
        <w:t xml:space="preserve">年初预算数为9.40万元，决算数6.38万元,完成年初预算的67.87%，决算数与年初预算数存在差异的主要原因是我单位为差额供给单位，本年度因教师培训任务减少，非税收支减少。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年初预算数为7.00万元，决算数5.93万元,完成年初预算的84.71%，决算数与年初预算数存在差异的主要原因是我单位为差额供给单位，本年度因教师培训任务减少，非税收支减少。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5.住房保障支出（类）住房改革支出（款）住房公积金（项）</w:t>
      </w:r>
      <w:r>
        <w:rPr>
          <w:rFonts w:ascii="仿宋" w:eastAsia="仿宋" w:hAnsi="仿宋" w:cs="仿宋" w:hint="default"/>
          <w:kern w:val="2"/>
          <w:sz w:val="32"/>
          <w:szCs w:val="32"/>
          <w:lang w:val="en-US" w:eastAsia="zh-CN"/>
        </w:rPr>
        <w:t xml:space="preserve">年初预算数为22.00万元，决算数17.29万元,完成年初预算的78.59%，决算数与年初预算数存在差异的主要原因是我单位为差额供给单位，本年度因教师培训任务减少，非税收支减少。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209.59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其中：人员经费172.78万元，主要包括：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公用经费36.81万元，主要包括：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，完成预算的54.00%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2023年度“三公”经费支出决算数与预算数存在差异的主要原因是我单位为差额供给单位，本年度因教师培训任务减少，非税收支减少。</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,完成预算的54.00%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，完成预算的54.00%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决算数与预算数存在差异的主要原因是我单位为差额供给单位，本年度因教师培训任务减少，用于公车运行的非税收支减少。</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主要用于公车加油费及公车保险、维修等日常维护费用。</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491.43</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88.4</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良好</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受非税收入所限，我单位全年收支经费受到了极大影响。在已开展的各项活动中，我单位严格按照预算批复开展活动，预期工作目标均基本完成</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818"/>
        <w:gridCol w:w="885"/>
        <w:gridCol w:w="1360"/>
        <w:gridCol w:w="2101"/>
        <w:gridCol w:w="2035"/>
        <w:gridCol w:w="818"/>
        <w:gridCol w:w="630"/>
        <w:gridCol w:w="630"/>
        <w:gridCol w:w="630"/>
      </w:tblGrid>
      <w:tr>
        <w:trPr>
          <w:trHeight w:hRule="exact" w:val="318"/>
          <w:jc w:val="center"/>
        </w:trPr>
        <w:tc>
          <w:tcPr>
            <w:tcW w:w="7199" w:type="dxa"/>
            <w:hMerge w:val="restart"/>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1"/>
              </w:rPr>
              <w:t xml:space="preserve">本级部门(单位)整体绩效目标表</w:t>
            </w: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w="818"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r>
      <w:tr>
        <w:trPr>
          <w:trHeight w:hRule="exact" w:val="159"/>
          <w:jc w:val="center"/>
        </w:trPr>
        <w:tc>
          <w:tcPr>
            <w:tcW w:w="7199" w:type="dxa"/>
            <w:hMerge w:val="restart"/>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13"/>
              </w:rPr>
              <w:t xml:space="preserve">（2023年度）  </w:t>
            </w: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w="818"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r>
      <w:tr>
        <w:trPr>
          <w:trHeight w:hRule="exact" w:val="159"/>
          <w:jc w:val="center"/>
        </w:trPr>
        <w:tc>
          <w:tcPr>
            <w:tcW w:w="818" w:type="dxa"/>
            <w:tcBorders/>
            <w:shd w:val="clear" w:color="auto" w:fill="auto"/>
            <w:vAlign w:val="center"/>
          </w:tcPr>
          <w:p>
            <w:pPr>
              <w:snapToGrid w:val="0"/>
              <w:spacing w:before="0" w:beforeAutospacing="0" w:after="0" w:afterAutospacing="0" w:line="240" w:lineRule="auto"/>
              <w:jc w:val="center"/>
            </w:pPr>
          </w:p>
        </w:tc>
        <w:tc>
          <w:tcPr>
            <w:tcW w:w="885" w:type="dxa"/>
            <w:tcBorders/>
            <w:shd w:val="clear" w:color="auto" w:fill="auto"/>
            <w:vAlign w:val="center"/>
          </w:tcPr>
          <w:p>
            <w:pPr>
              <w:snapToGrid w:val="0"/>
              <w:spacing w:before="0" w:beforeAutospacing="0" w:after="0" w:afterAutospacing="0" w:line="240" w:lineRule="auto"/>
              <w:jc w:val="center"/>
            </w:pPr>
          </w:p>
        </w:tc>
        <w:tc>
          <w:tcPr>
            <w:tcW w:w="1360" w:type="dxa"/>
            <w:tcBorders/>
            <w:shd w:val="clear" w:color="auto" w:fill="auto"/>
            <w:vAlign w:val="center"/>
          </w:tcPr>
          <w:p>
            <w:pPr>
              <w:snapToGrid w:val="0"/>
              <w:spacing w:before="0" w:beforeAutospacing="0" w:after="0" w:afterAutospacing="0" w:line="240" w:lineRule="auto"/>
              <w:jc w:val="center"/>
            </w:pPr>
          </w:p>
        </w:tc>
        <w:tc>
          <w:tcPr>
            <w:tcW w:w="2101" w:type="dxa"/>
            <w:tcBorders/>
            <w:shd w:val="clear" w:color="auto" w:fill="auto"/>
            <w:vAlign w:val="center"/>
          </w:tcPr>
          <w:p>
            <w:pPr>
              <w:snapToGrid w:val="0"/>
              <w:spacing w:before="0" w:beforeAutospacing="0" w:after="0" w:afterAutospacing="0" w:line="240" w:lineRule="auto"/>
              <w:jc w:val="center"/>
            </w:pPr>
          </w:p>
        </w:tc>
        <w:tc>
          <w:tcPr>
            <w:tcW w:w="2035" w:type="dxa"/>
            <w:tcBorders/>
            <w:shd w:val="clear" w:color="auto" w:fill="auto"/>
            <w:vAlign w:val="center"/>
          </w:tcPr>
          <w:p>
            <w:pPr>
              <w:snapToGrid w:val="0"/>
              <w:spacing w:before="0" w:beforeAutospacing="0" w:after="0" w:afterAutospacing="0" w:line="240" w:lineRule="auto"/>
              <w:jc w:val="center"/>
            </w:pPr>
          </w:p>
        </w:tc>
        <w:tc>
          <w:tcPr>
            <w:tcW w:w="818"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r>
      <w:tr>
        <w:trPr>
          <w:trHeight w:hRule="exact" w:val="569"/>
          <w:jc w:val="center"/>
        </w:trPr>
        <w:tc>
          <w:tcPr>
            <w:tcW w:w="818"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2101"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2035"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1448"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0"/>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1260"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孙涛  2983550</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59"/>
          <w:jc w:val="center"/>
        </w:trPr>
        <w:tc>
          <w:tcPr>
            <w:tcW w:w="17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部门（单位）名称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0"/>
              </w:rPr>
              <w:t xml:space="preserve">许昌市中小学教师培训中心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年度履职目标</w:t>
            </w:r>
          </w:p>
        </w:tc>
        <w:tc>
          <w:tcPr>
            <w:tcW w:w="638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0"/>
              </w:rPr>
              <w:t xml:space="preserve">继续开展全市中小学教师继续教育全员岗位培训工作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全年执行数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预算执行率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得分</w:t>
            </w:r>
          </w:p>
        </w:tc>
      </w:tr>
      <w:tr>
        <w:trPr>
          <w:trHeight w:hRule="exact" w:val="159"/>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预算情况  </w:t>
            </w:r>
          </w:p>
        </w:tc>
        <w:tc>
          <w:tcPr>
            <w:tcW w:w="22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491.43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214.46</w:t>
            </w:r>
          </w:p>
        </w:tc>
        <w:tc>
          <w:tcPr>
            <w:tcW w:w="63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=F7/D7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4.4</w:t>
            </w: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资金来源</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（1）基本支出</w:t>
            </w: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491.43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172.628107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214.46</w:t>
            </w:r>
          </w:p>
        </w:tc>
        <w:tc>
          <w:tcPr>
            <w:tcW w:w="63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w:t>
            </w: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（2）项目支出</w:t>
            </w: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w:t>
            </w:r>
          </w:p>
        </w:tc>
        <w:tc>
          <w:tcPr>
            <w:tcW w:w="63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w:t>
            </w: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0"/>
              </w:rPr>
              <w:t xml:space="preserve">目标名称</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主要内容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0"/>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继续开展全市中小学教师继续教育全员岗位培训工作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tcPr>
          <w:p>
            <w:pPr>
              <w:snapToGrid w:val="0"/>
              <w:spacing w:before="0" w:beforeAutospacing="0" w:after="0" w:afterAutospacing="0" w:line="240" w:lineRule="auto"/>
              <w:jc w:val="left"/>
            </w:pPr>
            <w:r>
              <w:rPr>
                <w:rFonts w:ascii="Calibri" w:eastAsia="Calibri" w:hAnsi="Calibri" w:cs="Calibri"/>
                <w:b w:val="0"/>
                <w:i w:val="0"/>
                <w:color w:val="000000"/>
                <w:sz w:val="10"/>
              </w:rPr>
              <w:t xml:space="preserve">继续开展全市中小学教师继续教育全员岗位培训工作</w:t>
            </w:r>
          </w:p>
        </w:tc>
        <w:tc>
          <w:tcPr>
            <w:tcW w:type="auto" w:w="0"/>
            <w:hMerge/>
            <w:tcBorders>
              <w:top w:val="single" w:sz="4" w:space="0" w:color="000000"/>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159"/>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一级指标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二级指标</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三级指标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指标值</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指标值说明</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实际完成值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得分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未完成原因分析及改进措施</w:t>
            </w:r>
          </w:p>
        </w:tc>
      </w:tr>
      <w:tr>
        <w:trPr>
          <w:trHeight w:hRule="exact" w:val="159"/>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 投入管理指标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工作目标管理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年度履职目标相关性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围绕年度履职工作目标有序开展</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相关</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工作任务科学性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制定有年度工作任务</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科学</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绩效指标合理性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绩效指标制定合理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合理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预算和财务管理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预算编制完整性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预算编制完整</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专项资金细化率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0.95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预算执行率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预算调整率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0.05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0.05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结转结余率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0.05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“三公经费”控制率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政府采购执行率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决算真实性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决算数据真实</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真实</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资金使用合规性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资金使用合理合规</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合规</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管理制度健全性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建立有完善的管理制度</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完善</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预决算信息公开性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预决算按时间节点、要求进行了公开</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公开</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资产管理规范性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资产有管理制度，并有专人进行管理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规范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绩效管理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绩效目标编制完成率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绩效监控完成率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绩效自评完成率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部门绩效评价完成率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评价结果应用率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1"/>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产出指标  </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重点工作任务完成</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无</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规范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履职目标实现</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保证履职工作目标完成</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完备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效益指标  </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履职效益</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电教教学研究工作健康持续发展</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健康持续发展</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满意度</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学校教师满意度</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17"/>
          <w:jc w:val="center"/>
        </w:trPr>
        <w:tc>
          <w:tcPr>
            <w:tcW w:w="801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总分（100分）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=SUM(G14:G37)+G7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0"/>
              </w:rPr>
              <w:t xml:space="preserve">=SUM(H14:H37)+I7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7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