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中国民主同盟许昌市委员会部门决算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中国民主同盟许昌市委员会概况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中国民主同盟许昌市委员会概况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（一）负责领导全市各级民盟组织贯彻执行民盟中央、民盟省委决策和民盟市委、常委和主委会议决定。</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（二）切实履行参政党职能，把促进发展作为参政议政的第一要务，有效的组织参政议政活动，充分发挥组织群体作用。</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（三）切实加强自身建设，不断加强思想建设、组织建设和干部队伍建设。</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（四）完善参政党机制，坚持民主集中制，使盟务工作做到制度化、规范化、程序化。</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（五）维护盟员及其联系人士的合法权益和合理要求，调动盟员和所联系人士的积极性，努力推进社会主义物质文明、政治文明和精神文明建设。</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（六）掌握我市盟务工作的全面情况，督促检查各项盟务工作的贯彻落实，正确处理协调盟内外的各种关系。</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（七）注重政治力量，按组织发展原则发展盟员，加强对人才库的管理，积极物色中青年骨干，积极选拔、培养、推荐后备干部。</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（八）完成民盟河南省委和中共许昌市委所交办的其他各项事务。</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中国民主同盟许昌市委员会内设机构1个,包括：办公室。</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从决算单位构成看，中国民主同盟许昌市委员会部门决算包括：本级决算（1个）。</w:t>
      </w:r>
      <w:bookmarkStart w:id="0" w:name="_GoBack"/>
      <w:bookmarkEnd w:id="0"/>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纳入本部门2023年度部门决算编制范围的单位共1个，具体是：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中国民主同盟许昌市委员会(本级)</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pPr>
        <w:bidi w:val="0"/>
        <w:rPr>
          <w:rFonts w:hint="eastAsia"/>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部门：中国民主同盟许昌市委员会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70.88</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63.02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2.80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2.51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2.55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70.88</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70.88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70.88</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70.88</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部门：中国民主同盟许昌市委员会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70.88</w:t>
            </w:r>
          </w:p>
        </w:tc>
        <w:tc>
          <w:tcPr>
            <w:tcW w:w="1440" w:type="dxa"/>
            <w:vAlign w:val="center"/>
          </w:tcPr>
          <w:p>
            <w:pPr>
              <w:jc w:val="right"/>
            </w:pPr>
            <w:r>
              <w:rPr>
                <w:rFonts w:ascii="宋体" w:hAnsi="宋体" w:eastAsia="宋体" w:cs="宋体"/>
                <w:b/>
                <w:i w:val="0"/>
                <w:color w:val="000000"/>
                <w:sz w:val="17"/>
              </w:rPr>
              <w:t>70.88</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63.02</w:t>
            </w:r>
          </w:p>
        </w:tc>
        <w:tc>
          <w:tcPr>
            <w:tcW w:w="1440" w:type="dxa"/>
            <w:vAlign w:val="center"/>
          </w:tcPr>
          <w:p>
            <w:pPr>
              <w:jc w:val="right"/>
            </w:pPr>
            <w:r>
              <w:rPr>
                <w:rFonts w:ascii="宋体" w:hAnsi="宋体" w:eastAsia="宋体" w:cs="宋体"/>
                <w:b w:val="0"/>
                <w:i w:val="0"/>
                <w:color w:val="000000"/>
                <w:sz w:val="17"/>
              </w:rPr>
              <w:t>63.02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20128</w:t>
            </w:r>
          </w:p>
        </w:tc>
        <w:tc>
          <w:tcPr>
            <w:tcW w:w="3140" w:type="dxa"/>
            <w:vAlign w:val="center"/>
          </w:tcPr>
          <w:p>
            <w:pPr>
              <w:jc w:val="left"/>
            </w:pPr>
            <w:r>
              <w:rPr>
                <w:rFonts w:ascii="宋体" w:hAnsi="宋体" w:eastAsia="宋体" w:cs="宋体"/>
                <w:b w:val="0"/>
                <w:i w:val="0"/>
                <w:color w:val="000000"/>
                <w:sz w:val="17"/>
              </w:rPr>
              <w:t>民主党派及工商联事务</w:t>
            </w:r>
          </w:p>
        </w:tc>
        <w:tc>
          <w:tcPr>
            <w:tcW w:w="1440" w:type="dxa"/>
            <w:vAlign w:val="center"/>
          </w:tcPr>
          <w:p>
            <w:pPr>
              <w:jc w:val="right"/>
            </w:pPr>
            <w:r>
              <w:rPr>
                <w:rFonts w:ascii="宋体" w:hAnsi="宋体" w:eastAsia="宋体" w:cs="宋体"/>
                <w:b w:val="0"/>
                <w:i w:val="0"/>
                <w:color w:val="000000"/>
                <w:sz w:val="17"/>
              </w:rPr>
              <w:t>62.23</w:t>
            </w:r>
          </w:p>
        </w:tc>
        <w:tc>
          <w:tcPr>
            <w:tcW w:w="1440" w:type="dxa"/>
            <w:vAlign w:val="center"/>
          </w:tcPr>
          <w:p>
            <w:pPr>
              <w:jc w:val="right"/>
            </w:pPr>
            <w:r>
              <w:rPr>
                <w:rFonts w:ascii="宋体" w:hAnsi="宋体" w:eastAsia="宋体" w:cs="宋体"/>
                <w:b w:val="0"/>
                <w:i w:val="0"/>
                <w:color w:val="000000"/>
                <w:sz w:val="17"/>
              </w:rPr>
              <w:t>62.23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2012801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62.23</w:t>
            </w:r>
          </w:p>
        </w:tc>
        <w:tc>
          <w:tcPr>
            <w:tcW w:w="1440" w:type="dxa"/>
            <w:vAlign w:val="center"/>
          </w:tcPr>
          <w:p>
            <w:pPr>
              <w:jc w:val="right"/>
            </w:pPr>
            <w:r>
              <w:rPr>
                <w:rFonts w:ascii="宋体" w:hAnsi="宋体" w:eastAsia="宋体" w:cs="宋体"/>
                <w:b w:val="0"/>
                <w:i w:val="0"/>
                <w:color w:val="000000"/>
                <w:sz w:val="17"/>
              </w:rPr>
              <w:t>62.23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0.11</w:t>
            </w:r>
          </w:p>
        </w:tc>
        <w:tc>
          <w:tcPr>
            <w:tcW w:w="1440" w:type="dxa"/>
            <w:vAlign w:val="center"/>
          </w:tcPr>
          <w:p>
            <w:pPr>
              <w:jc w:val="right"/>
            </w:pPr>
            <w:r>
              <w:rPr>
                <w:rFonts w:ascii="宋体" w:hAnsi="宋体" w:eastAsia="宋体" w:cs="宋体"/>
                <w:b w:val="0"/>
                <w:i w:val="0"/>
                <w:color w:val="000000"/>
                <w:sz w:val="17"/>
              </w:rPr>
              <w:t>0.11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0.11</w:t>
            </w:r>
          </w:p>
        </w:tc>
        <w:tc>
          <w:tcPr>
            <w:tcW w:w="1440" w:type="dxa"/>
            <w:vAlign w:val="center"/>
          </w:tcPr>
          <w:p>
            <w:pPr>
              <w:jc w:val="right"/>
            </w:pPr>
            <w:r>
              <w:rPr>
                <w:rFonts w:ascii="宋体" w:hAnsi="宋体" w:eastAsia="宋体" w:cs="宋体"/>
                <w:b w:val="0"/>
                <w:i w:val="0"/>
                <w:color w:val="000000"/>
                <w:sz w:val="17"/>
              </w:rPr>
              <w:t>0.11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0.69</w:t>
            </w:r>
          </w:p>
        </w:tc>
        <w:tc>
          <w:tcPr>
            <w:tcW w:w="1440" w:type="dxa"/>
            <w:vAlign w:val="center"/>
          </w:tcPr>
          <w:p>
            <w:pPr>
              <w:jc w:val="right"/>
            </w:pPr>
            <w:r>
              <w:rPr>
                <w:rFonts w:ascii="宋体" w:hAnsi="宋体" w:eastAsia="宋体" w:cs="宋体"/>
                <w:b w:val="0"/>
                <w:i w:val="0"/>
                <w:color w:val="000000"/>
                <w:sz w:val="17"/>
              </w:rPr>
              <w:t>0.69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0.69</w:t>
            </w:r>
          </w:p>
        </w:tc>
        <w:tc>
          <w:tcPr>
            <w:tcW w:w="1440" w:type="dxa"/>
            <w:vAlign w:val="center"/>
          </w:tcPr>
          <w:p>
            <w:pPr>
              <w:jc w:val="right"/>
            </w:pPr>
            <w:r>
              <w:rPr>
                <w:rFonts w:ascii="宋体" w:hAnsi="宋体" w:eastAsia="宋体" w:cs="宋体"/>
                <w:b w:val="0"/>
                <w:i w:val="0"/>
                <w:color w:val="000000"/>
                <w:sz w:val="17"/>
              </w:rPr>
              <w:t>0.69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2.80</w:t>
            </w:r>
          </w:p>
        </w:tc>
        <w:tc>
          <w:tcPr>
            <w:tcW w:w="1440" w:type="dxa"/>
            <w:vAlign w:val="center"/>
          </w:tcPr>
          <w:p>
            <w:pPr>
              <w:jc w:val="right"/>
            </w:pPr>
            <w:r>
              <w:rPr>
                <w:rFonts w:ascii="宋体" w:hAnsi="宋体" w:eastAsia="宋体" w:cs="宋体"/>
                <w:b w:val="0"/>
                <w:i w:val="0"/>
                <w:color w:val="000000"/>
                <w:sz w:val="17"/>
              </w:rPr>
              <w:t>2.80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2.80</w:t>
            </w:r>
          </w:p>
        </w:tc>
        <w:tc>
          <w:tcPr>
            <w:tcW w:w="1440" w:type="dxa"/>
            <w:vAlign w:val="center"/>
          </w:tcPr>
          <w:p>
            <w:pPr>
              <w:jc w:val="right"/>
            </w:pPr>
            <w:r>
              <w:rPr>
                <w:rFonts w:ascii="宋体" w:hAnsi="宋体" w:eastAsia="宋体" w:cs="宋体"/>
                <w:b w:val="0"/>
                <w:i w:val="0"/>
                <w:color w:val="000000"/>
                <w:sz w:val="17"/>
              </w:rPr>
              <w:t>2.80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2.80</w:t>
            </w:r>
          </w:p>
        </w:tc>
        <w:tc>
          <w:tcPr>
            <w:tcW w:w="1440" w:type="dxa"/>
            <w:vAlign w:val="center"/>
          </w:tcPr>
          <w:p>
            <w:pPr>
              <w:jc w:val="right"/>
            </w:pPr>
            <w:r>
              <w:rPr>
                <w:rFonts w:ascii="宋体" w:hAnsi="宋体" w:eastAsia="宋体" w:cs="宋体"/>
                <w:b w:val="0"/>
                <w:i w:val="0"/>
                <w:color w:val="000000"/>
                <w:sz w:val="17"/>
              </w:rPr>
              <w:t>2.80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2.51</w:t>
            </w:r>
          </w:p>
        </w:tc>
        <w:tc>
          <w:tcPr>
            <w:tcW w:w="1440" w:type="dxa"/>
            <w:vAlign w:val="center"/>
          </w:tcPr>
          <w:p>
            <w:pPr>
              <w:jc w:val="right"/>
            </w:pPr>
            <w:r>
              <w:rPr>
                <w:rFonts w:ascii="宋体" w:hAnsi="宋体" w:eastAsia="宋体" w:cs="宋体"/>
                <w:b w:val="0"/>
                <w:i w:val="0"/>
                <w:color w:val="000000"/>
                <w:sz w:val="17"/>
              </w:rPr>
              <w:t>2.51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2.51</w:t>
            </w:r>
          </w:p>
        </w:tc>
        <w:tc>
          <w:tcPr>
            <w:tcW w:w="1440" w:type="dxa"/>
            <w:vAlign w:val="center"/>
          </w:tcPr>
          <w:p>
            <w:pPr>
              <w:jc w:val="right"/>
            </w:pPr>
            <w:r>
              <w:rPr>
                <w:rFonts w:ascii="宋体" w:hAnsi="宋体" w:eastAsia="宋体" w:cs="宋体"/>
                <w:b w:val="0"/>
                <w:i w:val="0"/>
                <w:color w:val="000000"/>
                <w:sz w:val="17"/>
              </w:rPr>
              <w:t>2.51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1.23</w:t>
            </w:r>
          </w:p>
        </w:tc>
        <w:tc>
          <w:tcPr>
            <w:tcW w:w="1440" w:type="dxa"/>
            <w:vAlign w:val="center"/>
          </w:tcPr>
          <w:p>
            <w:pPr>
              <w:jc w:val="right"/>
            </w:pPr>
            <w:r>
              <w:rPr>
                <w:rFonts w:ascii="宋体" w:hAnsi="宋体" w:eastAsia="宋体" w:cs="宋体"/>
                <w:b w:val="0"/>
                <w:i w:val="0"/>
                <w:color w:val="000000"/>
                <w:sz w:val="17"/>
              </w:rPr>
              <w:t>1.23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1.28</w:t>
            </w:r>
          </w:p>
        </w:tc>
        <w:tc>
          <w:tcPr>
            <w:tcW w:w="1440" w:type="dxa"/>
            <w:vAlign w:val="center"/>
          </w:tcPr>
          <w:p>
            <w:pPr>
              <w:jc w:val="right"/>
            </w:pPr>
            <w:r>
              <w:rPr>
                <w:rFonts w:ascii="宋体" w:hAnsi="宋体" w:eastAsia="宋体" w:cs="宋体"/>
                <w:b w:val="0"/>
                <w:i w:val="0"/>
                <w:color w:val="000000"/>
                <w:sz w:val="17"/>
              </w:rPr>
              <w:t>1.28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2.55</w:t>
            </w:r>
          </w:p>
        </w:tc>
        <w:tc>
          <w:tcPr>
            <w:tcW w:w="1440" w:type="dxa"/>
            <w:vAlign w:val="center"/>
          </w:tcPr>
          <w:p>
            <w:pPr>
              <w:jc w:val="right"/>
            </w:pPr>
            <w:r>
              <w:rPr>
                <w:rFonts w:ascii="宋体" w:hAnsi="宋体" w:eastAsia="宋体" w:cs="宋体"/>
                <w:b w:val="0"/>
                <w:i w:val="0"/>
                <w:color w:val="000000"/>
                <w:sz w:val="17"/>
              </w:rPr>
              <w:t>2.55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2.55</w:t>
            </w:r>
          </w:p>
        </w:tc>
        <w:tc>
          <w:tcPr>
            <w:tcW w:w="1440" w:type="dxa"/>
            <w:vAlign w:val="center"/>
          </w:tcPr>
          <w:p>
            <w:pPr>
              <w:jc w:val="right"/>
            </w:pPr>
            <w:r>
              <w:rPr>
                <w:rFonts w:ascii="宋体" w:hAnsi="宋体" w:eastAsia="宋体" w:cs="宋体"/>
                <w:b w:val="0"/>
                <w:i w:val="0"/>
                <w:color w:val="000000"/>
                <w:sz w:val="17"/>
              </w:rPr>
              <w:t>2.55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2.55</w:t>
            </w:r>
          </w:p>
        </w:tc>
        <w:tc>
          <w:tcPr>
            <w:tcW w:w="1440" w:type="dxa"/>
            <w:vAlign w:val="center"/>
          </w:tcPr>
          <w:p>
            <w:pPr>
              <w:jc w:val="right"/>
            </w:pPr>
            <w:r>
              <w:rPr>
                <w:rFonts w:ascii="宋体" w:hAnsi="宋体" w:eastAsia="宋体" w:cs="宋体"/>
                <w:b w:val="0"/>
                <w:i w:val="0"/>
                <w:color w:val="000000"/>
                <w:sz w:val="17"/>
              </w:rPr>
              <w:t>2.55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部门：中国民主同盟许昌市委员会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70.88</w:t>
            </w:r>
          </w:p>
        </w:tc>
        <w:tc>
          <w:tcPr>
            <w:tcW w:w="1600" w:type="dxa"/>
            <w:vAlign w:val="center"/>
          </w:tcPr>
          <w:p>
            <w:pPr>
              <w:jc w:val="right"/>
            </w:pPr>
            <w:r>
              <w:rPr>
                <w:rFonts w:ascii="宋体" w:hAnsi="宋体" w:eastAsia="宋体" w:cs="宋体"/>
                <w:b/>
                <w:i w:val="0"/>
                <w:color w:val="000000"/>
                <w:sz w:val="19"/>
              </w:rPr>
              <w:t>70.88</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63.02</w:t>
            </w:r>
          </w:p>
        </w:tc>
        <w:tc>
          <w:tcPr>
            <w:tcW w:w="1600" w:type="dxa"/>
            <w:vAlign w:val="center"/>
          </w:tcPr>
          <w:p>
            <w:pPr>
              <w:jc w:val="right"/>
            </w:pPr>
            <w:r>
              <w:rPr>
                <w:rFonts w:ascii="宋体" w:hAnsi="宋体" w:eastAsia="宋体" w:cs="宋体"/>
                <w:b w:val="0"/>
                <w:i w:val="0"/>
                <w:color w:val="000000"/>
                <w:sz w:val="19"/>
              </w:rPr>
              <w:t>63.02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20128</w:t>
            </w:r>
          </w:p>
        </w:tc>
        <w:tc>
          <w:tcPr>
            <w:tcW w:w="3480" w:type="dxa"/>
            <w:vAlign w:val="center"/>
          </w:tcPr>
          <w:p>
            <w:pPr>
              <w:jc w:val="left"/>
            </w:pPr>
            <w:r>
              <w:rPr>
                <w:rFonts w:ascii="宋体" w:hAnsi="宋体" w:eastAsia="宋体" w:cs="宋体"/>
                <w:b w:val="0"/>
                <w:i w:val="0"/>
                <w:color w:val="000000"/>
                <w:sz w:val="19"/>
              </w:rPr>
              <w:t>民主党派及工商联事务</w:t>
            </w:r>
          </w:p>
        </w:tc>
        <w:tc>
          <w:tcPr>
            <w:tcW w:w="1600" w:type="dxa"/>
            <w:vAlign w:val="center"/>
          </w:tcPr>
          <w:p>
            <w:pPr>
              <w:jc w:val="right"/>
            </w:pPr>
            <w:r>
              <w:rPr>
                <w:rFonts w:ascii="宋体" w:hAnsi="宋体" w:eastAsia="宋体" w:cs="宋体"/>
                <w:b w:val="0"/>
                <w:i w:val="0"/>
                <w:color w:val="000000"/>
                <w:sz w:val="19"/>
              </w:rPr>
              <w:t>62.23</w:t>
            </w:r>
          </w:p>
        </w:tc>
        <w:tc>
          <w:tcPr>
            <w:tcW w:w="1600" w:type="dxa"/>
            <w:vAlign w:val="center"/>
          </w:tcPr>
          <w:p>
            <w:pPr>
              <w:jc w:val="right"/>
            </w:pPr>
            <w:r>
              <w:rPr>
                <w:rFonts w:ascii="宋体" w:hAnsi="宋体" w:eastAsia="宋体" w:cs="宋体"/>
                <w:b w:val="0"/>
                <w:i w:val="0"/>
                <w:color w:val="000000"/>
                <w:sz w:val="19"/>
              </w:rPr>
              <w:t>62.23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2012801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62.23</w:t>
            </w:r>
          </w:p>
        </w:tc>
        <w:tc>
          <w:tcPr>
            <w:tcW w:w="1600" w:type="dxa"/>
            <w:vAlign w:val="center"/>
          </w:tcPr>
          <w:p>
            <w:pPr>
              <w:jc w:val="right"/>
            </w:pPr>
            <w:r>
              <w:rPr>
                <w:rFonts w:ascii="宋体" w:hAnsi="宋体" w:eastAsia="宋体" w:cs="宋体"/>
                <w:b w:val="0"/>
                <w:i w:val="0"/>
                <w:color w:val="000000"/>
                <w:sz w:val="19"/>
              </w:rPr>
              <w:t>62.23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0.11</w:t>
            </w:r>
          </w:p>
        </w:tc>
        <w:tc>
          <w:tcPr>
            <w:tcW w:w="1600" w:type="dxa"/>
            <w:vAlign w:val="center"/>
          </w:tcPr>
          <w:p>
            <w:pPr>
              <w:jc w:val="right"/>
            </w:pPr>
            <w:r>
              <w:rPr>
                <w:rFonts w:ascii="宋体" w:hAnsi="宋体" w:eastAsia="宋体" w:cs="宋体"/>
                <w:b w:val="0"/>
                <w:i w:val="0"/>
                <w:color w:val="000000"/>
                <w:sz w:val="19"/>
              </w:rPr>
              <w:t>0.11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0.11</w:t>
            </w:r>
          </w:p>
        </w:tc>
        <w:tc>
          <w:tcPr>
            <w:tcW w:w="1600" w:type="dxa"/>
            <w:vAlign w:val="center"/>
          </w:tcPr>
          <w:p>
            <w:pPr>
              <w:jc w:val="right"/>
            </w:pPr>
            <w:r>
              <w:rPr>
                <w:rFonts w:ascii="宋体" w:hAnsi="宋体" w:eastAsia="宋体" w:cs="宋体"/>
                <w:b w:val="0"/>
                <w:i w:val="0"/>
                <w:color w:val="000000"/>
                <w:sz w:val="19"/>
              </w:rPr>
              <w:t>0.11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0.69</w:t>
            </w:r>
          </w:p>
        </w:tc>
        <w:tc>
          <w:tcPr>
            <w:tcW w:w="1600" w:type="dxa"/>
            <w:vAlign w:val="center"/>
          </w:tcPr>
          <w:p>
            <w:pPr>
              <w:jc w:val="right"/>
            </w:pPr>
            <w:r>
              <w:rPr>
                <w:rFonts w:ascii="宋体" w:hAnsi="宋体" w:eastAsia="宋体" w:cs="宋体"/>
                <w:b w:val="0"/>
                <w:i w:val="0"/>
                <w:color w:val="000000"/>
                <w:sz w:val="19"/>
              </w:rPr>
              <w:t>0.69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0.69</w:t>
            </w:r>
          </w:p>
        </w:tc>
        <w:tc>
          <w:tcPr>
            <w:tcW w:w="1600" w:type="dxa"/>
            <w:vAlign w:val="center"/>
          </w:tcPr>
          <w:p>
            <w:pPr>
              <w:jc w:val="right"/>
            </w:pPr>
            <w:r>
              <w:rPr>
                <w:rFonts w:ascii="宋体" w:hAnsi="宋体" w:eastAsia="宋体" w:cs="宋体"/>
                <w:b w:val="0"/>
                <w:i w:val="0"/>
                <w:color w:val="000000"/>
                <w:sz w:val="19"/>
              </w:rPr>
              <w:t>0.69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2.80</w:t>
            </w:r>
          </w:p>
        </w:tc>
        <w:tc>
          <w:tcPr>
            <w:tcW w:w="1600" w:type="dxa"/>
            <w:vAlign w:val="center"/>
          </w:tcPr>
          <w:p>
            <w:pPr>
              <w:jc w:val="right"/>
            </w:pPr>
            <w:r>
              <w:rPr>
                <w:rFonts w:ascii="宋体" w:hAnsi="宋体" w:eastAsia="宋体" w:cs="宋体"/>
                <w:b w:val="0"/>
                <w:i w:val="0"/>
                <w:color w:val="000000"/>
                <w:sz w:val="19"/>
              </w:rPr>
              <w:t>2.80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2.80</w:t>
            </w:r>
          </w:p>
        </w:tc>
        <w:tc>
          <w:tcPr>
            <w:tcW w:w="1600" w:type="dxa"/>
            <w:vAlign w:val="center"/>
          </w:tcPr>
          <w:p>
            <w:pPr>
              <w:jc w:val="right"/>
            </w:pPr>
            <w:r>
              <w:rPr>
                <w:rFonts w:ascii="宋体" w:hAnsi="宋体" w:eastAsia="宋体" w:cs="宋体"/>
                <w:b w:val="0"/>
                <w:i w:val="0"/>
                <w:color w:val="000000"/>
                <w:sz w:val="19"/>
              </w:rPr>
              <w:t>2.80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2.80</w:t>
            </w:r>
          </w:p>
        </w:tc>
        <w:tc>
          <w:tcPr>
            <w:tcW w:w="1600" w:type="dxa"/>
            <w:vAlign w:val="center"/>
          </w:tcPr>
          <w:p>
            <w:pPr>
              <w:jc w:val="right"/>
            </w:pPr>
            <w:r>
              <w:rPr>
                <w:rFonts w:ascii="宋体" w:hAnsi="宋体" w:eastAsia="宋体" w:cs="宋体"/>
                <w:b w:val="0"/>
                <w:i w:val="0"/>
                <w:color w:val="000000"/>
                <w:sz w:val="19"/>
              </w:rPr>
              <w:t>2.80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2.51</w:t>
            </w:r>
          </w:p>
        </w:tc>
        <w:tc>
          <w:tcPr>
            <w:tcW w:w="1600" w:type="dxa"/>
            <w:vAlign w:val="center"/>
          </w:tcPr>
          <w:p>
            <w:pPr>
              <w:jc w:val="right"/>
            </w:pPr>
            <w:r>
              <w:rPr>
                <w:rFonts w:ascii="宋体" w:hAnsi="宋体" w:eastAsia="宋体" w:cs="宋体"/>
                <w:b w:val="0"/>
                <w:i w:val="0"/>
                <w:color w:val="000000"/>
                <w:sz w:val="19"/>
              </w:rPr>
              <w:t>2.51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2.51</w:t>
            </w:r>
          </w:p>
        </w:tc>
        <w:tc>
          <w:tcPr>
            <w:tcW w:w="1600" w:type="dxa"/>
            <w:vAlign w:val="center"/>
          </w:tcPr>
          <w:p>
            <w:pPr>
              <w:jc w:val="right"/>
            </w:pPr>
            <w:r>
              <w:rPr>
                <w:rFonts w:ascii="宋体" w:hAnsi="宋体" w:eastAsia="宋体" w:cs="宋体"/>
                <w:b w:val="0"/>
                <w:i w:val="0"/>
                <w:color w:val="000000"/>
                <w:sz w:val="19"/>
              </w:rPr>
              <w:t>2.51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1.23</w:t>
            </w:r>
          </w:p>
        </w:tc>
        <w:tc>
          <w:tcPr>
            <w:tcW w:w="1600" w:type="dxa"/>
            <w:vAlign w:val="center"/>
          </w:tcPr>
          <w:p>
            <w:pPr>
              <w:jc w:val="right"/>
            </w:pPr>
            <w:r>
              <w:rPr>
                <w:rFonts w:ascii="宋体" w:hAnsi="宋体" w:eastAsia="宋体" w:cs="宋体"/>
                <w:b w:val="0"/>
                <w:i w:val="0"/>
                <w:color w:val="000000"/>
                <w:sz w:val="19"/>
              </w:rPr>
              <w:t>1.23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1.28</w:t>
            </w:r>
          </w:p>
        </w:tc>
        <w:tc>
          <w:tcPr>
            <w:tcW w:w="1600" w:type="dxa"/>
            <w:vAlign w:val="center"/>
          </w:tcPr>
          <w:p>
            <w:pPr>
              <w:jc w:val="right"/>
            </w:pPr>
            <w:r>
              <w:rPr>
                <w:rFonts w:ascii="宋体" w:hAnsi="宋体" w:eastAsia="宋体" w:cs="宋体"/>
                <w:b w:val="0"/>
                <w:i w:val="0"/>
                <w:color w:val="000000"/>
                <w:sz w:val="19"/>
              </w:rPr>
              <w:t>1.28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2.55</w:t>
            </w:r>
          </w:p>
        </w:tc>
        <w:tc>
          <w:tcPr>
            <w:tcW w:w="1600" w:type="dxa"/>
            <w:vAlign w:val="center"/>
          </w:tcPr>
          <w:p>
            <w:pPr>
              <w:jc w:val="right"/>
            </w:pPr>
            <w:r>
              <w:rPr>
                <w:rFonts w:ascii="宋体" w:hAnsi="宋体" w:eastAsia="宋体" w:cs="宋体"/>
                <w:b w:val="0"/>
                <w:i w:val="0"/>
                <w:color w:val="000000"/>
                <w:sz w:val="19"/>
              </w:rPr>
              <w:t>2.55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2.55</w:t>
            </w:r>
          </w:p>
        </w:tc>
        <w:tc>
          <w:tcPr>
            <w:tcW w:w="1600" w:type="dxa"/>
            <w:vAlign w:val="center"/>
          </w:tcPr>
          <w:p>
            <w:pPr>
              <w:jc w:val="right"/>
            </w:pPr>
            <w:r>
              <w:rPr>
                <w:rFonts w:ascii="宋体" w:hAnsi="宋体" w:eastAsia="宋体" w:cs="宋体"/>
                <w:b w:val="0"/>
                <w:i w:val="0"/>
                <w:color w:val="000000"/>
                <w:sz w:val="19"/>
              </w:rPr>
              <w:t>2.55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2.55</w:t>
            </w:r>
          </w:p>
        </w:tc>
        <w:tc>
          <w:tcPr>
            <w:tcW w:w="1600" w:type="dxa"/>
            <w:vAlign w:val="center"/>
          </w:tcPr>
          <w:p>
            <w:pPr>
              <w:jc w:val="right"/>
            </w:pPr>
            <w:r>
              <w:rPr>
                <w:rFonts w:ascii="宋体" w:hAnsi="宋体" w:eastAsia="宋体" w:cs="宋体"/>
                <w:b w:val="0"/>
                <w:i w:val="0"/>
                <w:color w:val="000000"/>
                <w:sz w:val="19"/>
              </w:rPr>
              <w:t>2.55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部门：中国民主同盟许昌市委员会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70.88</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63.02</w:t>
            </w:r>
          </w:p>
        </w:tc>
        <w:tc>
          <w:tcPr>
            <w:tcW w:w="1420" w:type="dxa"/>
            <w:vAlign w:val="center"/>
          </w:tcPr>
          <w:p>
            <w:pPr>
              <w:jc w:val="right"/>
            </w:pPr>
            <w:r>
              <w:rPr>
                <w:rFonts w:ascii="宋体" w:hAnsi="宋体" w:eastAsia="宋体" w:cs="宋体"/>
                <w:b w:val="0"/>
                <w:i w:val="0"/>
                <w:color w:val="000000"/>
                <w:sz w:val="18"/>
              </w:rPr>
              <w:t>63.02</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2.80</w:t>
            </w:r>
          </w:p>
        </w:tc>
        <w:tc>
          <w:tcPr>
            <w:tcW w:w="1420" w:type="dxa"/>
            <w:vAlign w:val="center"/>
          </w:tcPr>
          <w:p>
            <w:pPr>
              <w:jc w:val="right"/>
            </w:pPr>
            <w:r>
              <w:rPr>
                <w:rFonts w:ascii="宋体" w:hAnsi="宋体" w:eastAsia="宋体" w:cs="宋体"/>
                <w:b w:val="0"/>
                <w:i w:val="0"/>
                <w:color w:val="000000"/>
                <w:sz w:val="18"/>
              </w:rPr>
              <w:t>2.80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2.51</w:t>
            </w:r>
          </w:p>
        </w:tc>
        <w:tc>
          <w:tcPr>
            <w:tcW w:w="1420" w:type="dxa"/>
            <w:vAlign w:val="center"/>
          </w:tcPr>
          <w:p>
            <w:pPr>
              <w:jc w:val="right"/>
            </w:pPr>
            <w:r>
              <w:rPr>
                <w:rFonts w:ascii="宋体" w:hAnsi="宋体" w:eastAsia="宋体" w:cs="宋体"/>
                <w:b w:val="0"/>
                <w:i w:val="0"/>
                <w:color w:val="000000"/>
                <w:sz w:val="18"/>
              </w:rPr>
              <w:t>2.51</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2.55</w:t>
            </w:r>
          </w:p>
        </w:tc>
        <w:tc>
          <w:tcPr>
            <w:tcW w:w="1420" w:type="dxa"/>
            <w:vAlign w:val="center"/>
          </w:tcPr>
          <w:p>
            <w:pPr>
              <w:jc w:val="right"/>
            </w:pPr>
            <w:r>
              <w:rPr>
                <w:rFonts w:ascii="宋体" w:hAnsi="宋体" w:eastAsia="宋体" w:cs="宋体"/>
                <w:b w:val="0"/>
                <w:i w:val="0"/>
                <w:color w:val="000000"/>
                <w:sz w:val="18"/>
              </w:rPr>
              <w:t>2.55</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70.88</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70.88</w:t>
            </w:r>
          </w:p>
        </w:tc>
        <w:tc>
          <w:tcPr>
            <w:tcW w:w="1420" w:type="dxa"/>
            <w:vAlign w:val="center"/>
          </w:tcPr>
          <w:p>
            <w:pPr>
              <w:jc w:val="right"/>
            </w:pPr>
            <w:r>
              <w:rPr>
                <w:rFonts w:ascii="宋体" w:hAnsi="宋体" w:eastAsia="宋体" w:cs="宋体"/>
                <w:b w:val="0"/>
                <w:i w:val="0"/>
                <w:color w:val="000000"/>
                <w:sz w:val="18"/>
              </w:rPr>
              <w:t>70.88</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70.88</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70.88</w:t>
            </w:r>
          </w:p>
        </w:tc>
        <w:tc>
          <w:tcPr>
            <w:tcW w:w="1420" w:type="dxa"/>
            <w:vAlign w:val="center"/>
          </w:tcPr>
          <w:p>
            <w:pPr>
              <w:jc w:val="right"/>
            </w:pPr>
            <w:r>
              <w:rPr>
                <w:rFonts w:ascii="宋体" w:hAnsi="宋体" w:eastAsia="宋体" w:cs="宋体"/>
                <w:b w:val="0"/>
                <w:i w:val="0"/>
                <w:color w:val="000000"/>
                <w:sz w:val="18"/>
              </w:rPr>
              <w:t>70.88</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部门：中国民主同盟许昌市委员会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70.88</w:t>
            </w:r>
          </w:p>
        </w:tc>
        <w:tc>
          <w:tcPr>
            <w:tcW w:w="2700" w:type="dxa"/>
            <w:vAlign w:val="center"/>
          </w:tcPr>
          <w:p>
            <w:pPr>
              <w:jc w:val="right"/>
            </w:pPr>
            <w:r>
              <w:rPr>
                <w:rFonts w:ascii="宋体" w:hAnsi="宋体" w:eastAsia="宋体" w:cs="宋体"/>
                <w:b/>
                <w:i w:val="0"/>
                <w:color w:val="000000"/>
                <w:sz w:val="25"/>
              </w:rPr>
              <w:t>70.88</w:t>
            </w:r>
          </w:p>
        </w:tc>
        <w:tc>
          <w:tcPr>
            <w:tcW w:w="2658" w:type="dxa"/>
            <w:vAlign w:val="center"/>
          </w:tcPr>
          <w:p>
            <w:pPr>
              <w:jc w:val="right"/>
            </w:pPr>
            <w:r>
              <w:rPr>
                <w:rFonts w:ascii="宋体" w:hAnsi="宋体" w:eastAsia="宋体" w:cs="宋体"/>
                <w:b/>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63.02</w:t>
            </w:r>
          </w:p>
        </w:tc>
        <w:tc>
          <w:tcPr>
            <w:tcW w:w="2700" w:type="dxa"/>
            <w:vAlign w:val="center"/>
          </w:tcPr>
          <w:p>
            <w:pPr>
              <w:jc w:val="right"/>
            </w:pPr>
            <w:r>
              <w:rPr>
                <w:rFonts w:ascii="宋体" w:hAnsi="宋体" w:eastAsia="宋体" w:cs="宋体"/>
                <w:b w:val="0"/>
                <w:i w:val="0"/>
                <w:color w:val="000000"/>
                <w:sz w:val="25"/>
              </w:rPr>
              <w:t>63.02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20128</w:t>
            </w:r>
          </w:p>
        </w:tc>
        <w:tc>
          <w:tcPr>
            <w:tcW w:w="4700" w:type="dxa"/>
            <w:vAlign w:val="center"/>
          </w:tcPr>
          <w:p>
            <w:pPr>
              <w:jc w:val="left"/>
            </w:pPr>
            <w:r>
              <w:rPr>
                <w:rFonts w:ascii="宋体" w:hAnsi="宋体" w:eastAsia="宋体" w:cs="宋体"/>
                <w:b w:val="0"/>
                <w:i w:val="0"/>
                <w:color w:val="000000"/>
                <w:sz w:val="25"/>
              </w:rPr>
              <w:t>民主党派及工商联事务</w:t>
            </w:r>
          </w:p>
        </w:tc>
        <w:tc>
          <w:tcPr>
            <w:tcW w:w="2700" w:type="dxa"/>
            <w:vAlign w:val="center"/>
          </w:tcPr>
          <w:p>
            <w:pPr>
              <w:jc w:val="right"/>
            </w:pPr>
            <w:r>
              <w:rPr>
                <w:rFonts w:ascii="宋体" w:hAnsi="宋体" w:eastAsia="宋体" w:cs="宋体"/>
                <w:b w:val="0"/>
                <w:i w:val="0"/>
                <w:color w:val="000000"/>
                <w:sz w:val="25"/>
              </w:rPr>
              <w:t>62.23</w:t>
            </w:r>
          </w:p>
        </w:tc>
        <w:tc>
          <w:tcPr>
            <w:tcW w:w="2700" w:type="dxa"/>
            <w:vAlign w:val="center"/>
          </w:tcPr>
          <w:p>
            <w:pPr>
              <w:jc w:val="right"/>
            </w:pPr>
            <w:r>
              <w:rPr>
                <w:rFonts w:ascii="宋体" w:hAnsi="宋体" w:eastAsia="宋体" w:cs="宋体"/>
                <w:b w:val="0"/>
                <w:i w:val="0"/>
                <w:color w:val="000000"/>
                <w:sz w:val="25"/>
              </w:rPr>
              <w:t>62.23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2012801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62.23</w:t>
            </w:r>
          </w:p>
        </w:tc>
        <w:tc>
          <w:tcPr>
            <w:tcW w:w="2700" w:type="dxa"/>
            <w:vAlign w:val="center"/>
          </w:tcPr>
          <w:p>
            <w:pPr>
              <w:jc w:val="right"/>
            </w:pPr>
            <w:r>
              <w:rPr>
                <w:rFonts w:ascii="宋体" w:hAnsi="宋体" w:eastAsia="宋体" w:cs="宋体"/>
                <w:b w:val="0"/>
                <w:i w:val="0"/>
                <w:color w:val="000000"/>
                <w:sz w:val="25"/>
              </w:rPr>
              <w:t>62.23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0.11</w:t>
            </w:r>
          </w:p>
        </w:tc>
        <w:tc>
          <w:tcPr>
            <w:tcW w:w="2700" w:type="dxa"/>
            <w:vAlign w:val="center"/>
          </w:tcPr>
          <w:p>
            <w:pPr>
              <w:jc w:val="right"/>
            </w:pPr>
            <w:r>
              <w:rPr>
                <w:rFonts w:ascii="宋体" w:hAnsi="宋体" w:eastAsia="宋体" w:cs="宋体"/>
                <w:b w:val="0"/>
                <w:i w:val="0"/>
                <w:color w:val="000000"/>
                <w:sz w:val="25"/>
              </w:rPr>
              <w:t>0.11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0.11</w:t>
            </w:r>
          </w:p>
        </w:tc>
        <w:tc>
          <w:tcPr>
            <w:tcW w:w="2700" w:type="dxa"/>
            <w:vAlign w:val="center"/>
          </w:tcPr>
          <w:p>
            <w:pPr>
              <w:jc w:val="right"/>
            </w:pPr>
            <w:r>
              <w:rPr>
                <w:rFonts w:ascii="宋体" w:hAnsi="宋体" w:eastAsia="宋体" w:cs="宋体"/>
                <w:b w:val="0"/>
                <w:i w:val="0"/>
                <w:color w:val="000000"/>
                <w:sz w:val="25"/>
              </w:rPr>
              <w:t>0.11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0.69</w:t>
            </w:r>
          </w:p>
        </w:tc>
        <w:tc>
          <w:tcPr>
            <w:tcW w:w="2700" w:type="dxa"/>
            <w:vAlign w:val="center"/>
          </w:tcPr>
          <w:p>
            <w:pPr>
              <w:jc w:val="right"/>
            </w:pPr>
            <w:r>
              <w:rPr>
                <w:rFonts w:ascii="宋体" w:hAnsi="宋体" w:eastAsia="宋体" w:cs="宋体"/>
                <w:b w:val="0"/>
                <w:i w:val="0"/>
                <w:color w:val="000000"/>
                <w:sz w:val="25"/>
              </w:rPr>
              <w:t>0.69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0.69</w:t>
            </w:r>
          </w:p>
        </w:tc>
        <w:tc>
          <w:tcPr>
            <w:tcW w:w="2700" w:type="dxa"/>
            <w:vAlign w:val="center"/>
          </w:tcPr>
          <w:p>
            <w:pPr>
              <w:jc w:val="right"/>
            </w:pPr>
            <w:r>
              <w:rPr>
                <w:rFonts w:ascii="宋体" w:hAnsi="宋体" w:eastAsia="宋体" w:cs="宋体"/>
                <w:b w:val="0"/>
                <w:i w:val="0"/>
                <w:color w:val="000000"/>
                <w:sz w:val="25"/>
              </w:rPr>
              <w:t>0.69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2.80</w:t>
            </w:r>
          </w:p>
        </w:tc>
        <w:tc>
          <w:tcPr>
            <w:tcW w:w="2700" w:type="dxa"/>
            <w:vAlign w:val="center"/>
          </w:tcPr>
          <w:p>
            <w:pPr>
              <w:jc w:val="right"/>
            </w:pPr>
            <w:r>
              <w:rPr>
                <w:rFonts w:ascii="宋体" w:hAnsi="宋体" w:eastAsia="宋体" w:cs="宋体"/>
                <w:b w:val="0"/>
                <w:i w:val="0"/>
                <w:color w:val="000000"/>
                <w:sz w:val="25"/>
              </w:rPr>
              <w:t>2.80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2.80</w:t>
            </w:r>
          </w:p>
        </w:tc>
        <w:tc>
          <w:tcPr>
            <w:tcW w:w="2700" w:type="dxa"/>
            <w:vAlign w:val="center"/>
          </w:tcPr>
          <w:p>
            <w:pPr>
              <w:jc w:val="right"/>
            </w:pPr>
            <w:r>
              <w:rPr>
                <w:rFonts w:ascii="宋体" w:hAnsi="宋体" w:eastAsia="宋体" w:cs="宋体"/>
                <w:b w:val="0"/>
                <w:i w:val="0"/>
                <w:color w:val="000000"/>
                <w:sz w:val="25"/>
              </w:rPr>
              <w:t>2.80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2.80</w:t>
            </w:r>
          </w:p>
        </w:tc>
        <w:tc>
          <w:tcPr>
            <w:tcW w:w="2700" w:type="dxa"/>
            <w:vAlign w:val="center"/>
          </w:tcPr>
          <w:p>
            <w:pPr>
              <w:jc w:val="right"/>
            </w:pPr>
            <w:r>
              <w:rPr>
                <w:rFonts w:ascii="宋体" w:hAnsi="宋体" w:eastAsia="宋体" w:cs="宋体"/>
                <w:b w:val="0"/>
                <w:i w:val="0"/>
                <w:color w:val="000000"/>
                <w:sz w:val="25"/>
              </w:rPr>
              <w:t>2.80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2.51</w:t>
            </w:r>
          </w:p>
        </w:tc>
        <w:tc>
          <w:tcPr>
            <w:tcW w:w="2700" w:type="dxa"/>
            <w:vAlign w:val="center"/>
          </w:tcPr>
          <w:p>
            <w:pPr>
              <w:jc w:val="right"/>
            </w:pPr>
            <w:r>
              <w:rPr>
                <w:rFonts w:ascii="宋体" w:hAnsi="宋体" w:eastAsia="宋体" w:cs="宋体"/>
                <w:b w:val="0"/>
                <w:i w:val="0"/>
                <w:color w:val="000000"/>
                <w:sz w:val="25"/>
              </w:rPr>
              <w:t>2.51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2.51</w:t>
            </w:r>
          </w:p>
        </w:tc>
        <w:tc>
          <w:tcPr>
            <w:tcW w:w="2700" w:type="dxa"/>
            <w:vAlign w:val="center"/>
          </w:tcPr>
          <w:p>
            <w:pPr>
              <w:jc w:val="right"/>
            </w:pPr>
            <w:r>
              <w:rPr>
                <w:rFonts w:ascii="宋体" w:hAnsi="宋体" w:eastAsia="宋体" w:cs="宋体"/>
                <w:b w:val="0"/>
                <w:i w:val="0"/>
                <w:color w:val="000000"/>
                <w:sz w:val="25"/>
              </w:rPr>
              <w:t>2.51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1.23</w:t>
            </w:r>
          </w:p>
        </w:tc>
        <w:tc>
          <w:tcPr>
            <w:tcW w:w="2700" w:type="dxa"/>
            <w:vAlign w:val="center"/>
          </w:tcPr>
          <w:p>
            <w:pPr>
              <w:jc w:val="right"/>
            </w:pPr>
            <w:r>
              <w:rPr>
                <w:rFonts w:ascii="宋体" w:hAnsi="宋体" w:eastAsia="宋体" w:cs="宋体"/>
                <w:b w:val="0"/>
                <w:i w:val="0"/>
                <w:color w:val="000000"/>
                <w:sz w:val="25"/>
              </w:rPr>
              <w:t>1.23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1.28</w:t>
            </w:r>
          </w:p>
        </w:tc>
        <w:tc>
          <w:tcPr>
            <w:tcW w:w="2700" w:type="dxa"/>
            <w:vAlign w:val="center"/>
          </w:tcPr>
          <w:p>
            <w:pPr>
              <w:jc w:val="right"/>
            </w:pPr>
            <w:r>
              <w:rPr>
                <w:rFonts w:ascii="宋体" w:hAnsi="宋体" w:eastAsia="宋体" w:cs="宋体"/>
                <w:b w:val="0"/>
                <w:i w:val="0"/>
                <w:color w:val="000000"/>
                <w:sz w:val="25"/>
              </w:rPr>
              <w:t>1.28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2.55</w:t>
            </w:r>
          </w:p>
        </w:tc>
        <w:tc>
          <w:tcPr>
            <w:tcW w:w="2700" w:type="dxa"/>
            <w:vAlign w:val="center"/>
          </w:tcPr>
          <w:p>
            <w:pPr>
              <w:jc w:val="right"/>
            </w:pPr>
            <w:r>
              <w:rPr>
                <w:rFonts w:ascii="宋体" w:hAnsi="宋体" w:eastAsia="宋体" w:cs="宋体"/>
                <w:b w:val="0"/>
                <w:i w:val="0"/>
                <w:color w:val="000000"/>
                <w:sz w:val="25"/>
              </w:rPr>
              <w:t>2.55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2.55</w:t>
            </w:r>
          </w:p>
        </w:tc>
        <w:tc>
          <w:tcPr>
            <w:tcW w:w="2700" w:type="dxa"/>
            <w:vAlign w:val="center"/>
          </w:tcPr>
          <w:p>
            <w:pPr>
              <w:jc w:val="right"/>
            </w:pPr>
            <w:r>
              <w:rPr>
                <w:rFonts w:ascii="宋体" w:hAnsi="宋体" w:eastAsia="宋体" w:cs="宋体"/>
                <w:b w:val="0"/>
                <w:i w:val="0"/>
                <w:color w:val="000000"/>
                <w:sz w:val="25"/>
              </w:rPr>
              <w:t>2.55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2.55</w:t>
            </w:r>
          </w:p>
        </w:tc>
        <w:tc>
          <w:tcPr>
            <w:tcW w:w="2700" w:type="dxa"/>
            <w:vAlign w:val="center"/>
          </w:tcPr>
          <w:p>
            <w:pPr>
              <w:jc w:val="right"/>
            </w:pPr>
            <w:r>
              <w:rPr>
                <w:rFonts w:ascii="宋体" w:hAnsi="宋体" w:eastAsia="宋体" w:cs="宋体"/>
                <w:b w:val="0"/>
                <w:i w:val="0"/>
                <w:color w:val="000000"/>
                <w:sz w:val="25"/>
              </w:rPr>
              <w:t>2.55</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部门：中国民主同盟许昌市委员会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58.88</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11.40</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12.30</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3.63</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35.16</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0.84</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3.49</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0.20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2.70</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0.50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1.33</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1.28</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0.23</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0.07</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0.44</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2.56</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0.10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0.91</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0.11</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0.14</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3.02</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1.28</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58.88</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12.00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部门：中国民主同盟许昌市委员会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说明：我部门没有政府性基金收入，也没有使用政府性基金安排的支出，故本表无数据。</w:t>
      </w:r>
    </w:p>
    <w:p>
      <w:pPr>
        <w:rPr>
          <w:rFonts w:hint="default" w:ascii="华文中宋" w:hAnsi="华文中宋" w:eastAsia="华文中宋" w:cs="华文中宋"/>
          <w:color w:val="000000"/>
          <w:kern w:val="0"/>
          <w:sz w:val="32"/>
          <w:szCs w:val="32"/>
          <w:lang w:val="en-US" w:eastAsia="zh-CN"/>
        </w:rPr>
      </w:pP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部门：中国民主同盟许昌市委员会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pPr>
              <w:jc w:val="right"/>
            </w:pPr>
            <w:r>
              <w:rPr>
                <w:rFonts w:ascii="宋体" w:hAnsi="宋体" w:eastAsia="宋体" w:cs="宋体"/>
                <w:b/>
                <w:i w:val="0"/>
                <w:color w:val="000000"/>
                <w:sz w:val="28"/>
              </w:rPr>
              <w:t>0</w:t>
            </w: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部门：中国民主同盟许昌市委员会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说明：我部门没有预算安排的三公经费，也没有预算安排的三公支出，故本表无数据。</w:t>
      </w: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2023年度收、支总计均为70.88万元。与上年度相比，收、支总计各增加45.98万元，增长184.66%。主要原因是我单位增加一名领导干部，人员经费增加。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收入合计70.88万元，其中：财政拨款收入70.88万元，占100.00%；上级补助收入0.00万元，占0.00%；事业收入0.00万元，占0.00%；经营收入0.00万元，占0.00%；附属单位上缴收入0.00万元，占0.00%；其他收入0.00万元，占0.00%</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2023年度支出合计70.88万元，其中：基本支出70.88万元，占100.00%；项目支出0.00万元，占0.00%；上缴上级支出0.00万元，占0.00%；经营支出0.00万元，占0.00%；对附属单位补助支出0.00万元，占0.00%</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2023年度财政拨款收、支总计均为70.88万元。与上年度相比，财政拨款收、支总计各增加45.98万元，增长184.66%。主要原因是我单位增加一名领导干部，人员经费增加。</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2023年度一般公共预算财政拨款支出70.88万元，占支出合计的100.00%。与上年度相比，一般公共预算财政拨款支出增加45.98万元，增长184.66%。主要原因是我单位增加一名领导干部，人员经费增加。</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一般公共预算财政拨款支出70.88万元，主要用于以下方面：一般公共服务支出（类）63.02万元，占88.91%；社会保障和就业支出（类）2.80万元，占3.95%；卫生健康支出（类）2.51万元，占3.54%；住房保障支出（类）2.55万元，占3.60%</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2023年度一般公共预算财政拨款支出年初预算为33.25万元，支出决算为70.88万元，完成年初预算的213.17%。其中：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1.一般公共服务支出（类）民主党派及工商联事务（款）行政运行（项）</w:t>
      </w:r>
      <w:r>
        <w:rPr>
          <w:rFonts w:hint="default" w:ascii="仿宋" w:hAnsi="仿宋" w:eastAsia="仿宋" w:cs="仿宋"/>
          <w:kern w:val="0"/>
          <w:sz w:val="32"/>
          <w:szCs w:val="32"/>
          <w:lang w:val="en-US" w:eastAsia="zh-CN"/>
        </w:rPr>
        <w:t>年初预算数为28.83万元，决算数62.23万元,完成年初预算的215.85%，决算数与年初预算数存在差异的主要原因是我单位增加一名领导干部，人员经费增加。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2.一般公共服务支出（类）群众团体事务（款）工会事务（项）</w:t>
      </w:r>
      <w:r>
        <w:rPr>
          <w:rFonts w:hint="default" w:ascii="仿宋" w:hAnsi="仿宋" w:eastAsia="仿宋" w:cs="仿宋"/>
          <w:kern w:val="0"/>
          <w:sz w:val="32"/>
          <w:szCs w:val="32"/>
          <w:lang w:val="en-US" w:eastAsia="zh-CN"/>
        </w:rPr>
        <w:t>年初预算数为0.11万元，决算数0.11万元,完成年初预算的100.00%，决算数与年初预算数不存在差异。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3.一般公共服务支出（类）其他一般公共服务支出（款）其他一般公共服务支出（项）</w:t>
      </w:r>
      <w:r>
        <w:rPr>
          <w:rFonts w:hint="default" w:ascii="仿宋" w:hAnsi="仿宋" w:eastAsia="仿宋" w:cs="仿宋"/>
          <w:kern w:val="0"/>
          <w:sz w:val="32"/>
          <w:szCs w:val="32"/>
          <w:lang w:val="en-US" w:eastAsia="zh-CN"/>
        </w:rPr>
        <w:t>年初预算数为0.00万元，决算数0.69万元,决算数与年初预算数存在差异的主要原因是财政统一下达指标用于发放2021年平安建设奖。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4.社会保障和就业支出（类）行政事业单位养老支出（款）机关事业单位基本养老保险缴费支出（项）</w:t>
      </w:r>
      <w:r>
        <w:rPr>
          <w:rFonts w:hint="default" w:ascii="仿宋" w:hAnsi="仿宋" w:eastAsia="仿宋" w:cs="仿宋"/>
          <w:kern w:val="0"/>
          <w:sz w:val="32"/>
          <w:szCs w:val="32"/>
          <w:lang w:val="en-US" w:eastAsia="zh-CN"/>
        </w:rPr>
        <w:t>年初预算数为1.48万元，决算数2.80万元,完成年初预算的189.19%，决算数与年初预算数存在差异的主要原因是社保基数调整。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5.卫生健康支出（类）行政事业单位医疗（款）行政单位医疗（项）</w:t>
      </w:r>
      <w:r>
        <w:rPr>
          <w:rFonts w:hint="default" w:ascii="仿宋" w:hAnsi="仿宋" w:eastAsia="仿宋" w:cs="仿宋"/>
          <w:kern w:val="0"/>
          <w:sz w:val="32"/>
          <w:szCs w:val="32"/>
          <w:lang w:val="en-US" w:eastAsia="zh-CN"/>
        </w:rPr>
        <w:t>年初预算数为0.70万元，决算数1.23万元,完成年初预算的175.71%，决算数与年初预算数存在差异的主要原因是社保基数调整。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6.卫生健康支出（类）行政事业单位医疗（款）公务员医疗补助（项）</w:t>
      </w:r>
      <w:r>
        <w:rPr>
          <w:rFonts w:hint="default" w:ascii="仿宋" w:hAnsi="仿宋" w:eastAsia="仿宋" w:cs="仿宋"/>
          <w:kern w:val="0"/>
          <w:sz w:val="32"/>
          <w:szCs w:val="32"/>
          <w:lang w:val="en-US" w:eastAsia="zh-CN"/>
        </w:rPr>
        <w:t>年初预算数为0.78万元，决算数1.28万元,完成年初预算的164.10%，决算数与年初预算数存在差异的主要原因是社保基数调整。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7.住房保障支出（类）住房改革支出（款）住房公积金（项）</w:t>
      </w:r>
      <w:r>
        <w:rPr>
          <w:rFonts w:hint="default" w:ascii="仿宋" w:hAnsi="仿宋" w:eastAsia="仿宋" w:cs="仿宋"/>
          <w:kern w:val="0"/>
          <w:sz w:val="32"/>
          <w:szCs w:val="32"/>
          <w:lang w:val="en-US" w:eastAsia="zh-CN"/>
        </w:rPr>
        <w:t>年初预算数为1.34万元，决算数2.55万元,完成年初预算的190.30%，决算数与年初预算数存在差异的主要原因是我单位增加一名领导干部，公积金增加。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基本支出70.88万元。其中：人员经费58.88万元，主要包括：基本工资、津贴补贴、奖金、机关事业单位基本养老保险缴费、职工基本医疗保险缴费、公务员医疗补助缴费、其他社会保障缴费、住房公积金。公用经费12.00万元，主要包括：办公费、印刷费、咨询费、电费、物业管理费、差旅费、维修（护）费、租赁费、工会经费、福利费、其他交通费用、其他商品和服务支出、办公设备购置。</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2023年度“三公”经费财政拨款支出预算为0.00万元，支出决算为0.00万元。2023年度“三公”经费支出决算数与预算数无差异。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2023年度“三公”经费财政拨款支出决算中，因公出国（境）费支出决算0.00万元；公务用车购置及运行费支出决算0.00万元；公务接待费支出决算0.00万元。具体情况如下：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0.00万元。2023年期末，部门开支财政拨款的公务用车保有量为</w:t>
      </w:r>
      <w:r>
        <w:rPr>
          <w:rFonts w:hint="eastAsia" w:ascii="仿宋" w:hAnsi="仿宋" w:eastAsia="仿宋" w:cs="仿宋"/>
          <w:kern w:val="2"/>
          <w:sz w:val="32"/>
          <w:szCs w:val="32"/>
          <w:lang w:val="en-US" w:eastAsia="zh-CN"/>
        </w:rPr>
        <w:t>0</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2023年度机关运行经费支出12.00万元，较2022年度增长4.94万元，增长69.97%，主要原因是我单位人员增加，公用经费增加。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2023年期末，本部门共有车辆0辆，其中：省级领导干部用车0辆、主要领导干部用车0辆、机要通信用车0辆、应急保障车0辆、执法执勤用车0辆、特种专业技术用车0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rPr>
        <w:t>我部门对本部门</w:t>
      </w:r>
      <w:r>
        <w:rPr>
          <w:rFonts w:hint="eastAsia" w:ascii="仿宋" w:hAnsi="仿宋" w:eastAsia="仿宋" w:cs="仿宋"/>
          <w:kern w:val="0"/>
          <w:sz w:val="32"/>
          <w:szCs w:val="32"/>
          <w:lang w:val="en-US" w:eastAsia="zh-CN"/>
        </w:rPr>
        <w:t>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1.部门整体绩效自评。</w:t>
      </w:r>
      <w:r>
        <w:rPr>
          <w:rFonts w:hint="eastAsia" w:ascii="仿宋" w:hAnsi="仿宋" w:eastAsia="仿宋" w:cs="仿宋"/>
          <w:kern w:val="0"/>
          <w:sz w:val="32"/>
          <w:szCs w:val="32"/>
          <w:lang w:val="en-US" w:eastAsia="zh-CN"/>
        </w:rPr>
        <w:t>涉及预算资金70.88万元。自评得分为98.84分，等级为“优</w:t>
      </w:r>
      <w:r>
        <w:rPr>
          <w:rFonts w:hint="default" w:ascii="仿宋" w:hAnsi="仿宋" w:eastAsia="仿宋" w:cs="仿宋"/>
          <w:kern w:val="0"/>
          <w:sz w:val="32"/>
          <w:szCs w:val="32"/>
          <w:lang w:val="en-US" w:eastAsia="zh-CN"/>
        </w:rPr>
        <w:t>”</w:t>
      </w:r>
      <w:r>
        <w:rPr>
          <w:rFonts w:hint="eastAsia" w:ascii="仿宋" w:hAnsi="仿宋" w:eastAsia="仿宋" w:cs="仿宋"/>
          <w:kern w:val="0"/>
          <w:sz w:val="32"/>
          <w:szCs w:val="32"/>
          <w:lang w:val="en-US" w:eastAsia="zh-CN"/>
        </w:rPr>
        <w:t>。从部门整体自评情况来看，2023年我部门整体绩效评价结果满意。按照盟省委的安排部署，结合盟市委工作实际，全面开展“教育、文化、医疗、科技、法律、公益”系列社会服务活动，打造社会服务品牌。开展社会服务活动，单位履职效能进一步提升，各项工作基本完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2.项目绩效自评。</w:t>
      </w:r>
      <w:r>
        <w:rPr>
          <w:rFonts w:hint="eastAsia" w:ascii="仿宋" w:hAnsi="仿宋" w:eastAsia="仿宋" w:cs="仿宋"/>
          <w:kern w:val="0"/>
          <w:sz w:val="32"/>
          <w:szCs w:val="32"/>
          <w:lang w:val="en-US" w:eastAsia="zh-CN"/>
        </w:rPr>
        <w:t>根据工作实际，我部门没有项目需要开展项目绩效自评。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根据工作实际，我部门未选取项目开展部门重点绩效评价。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7"/>
        <w:gridCol w:w="2204"/>
        <w:gridCol w:w="278"/>
        <w:gridCol w:w="278"/>
        <w:gridCol w:w="2276"/>
        <w:gridCol w:w="1397"/>
        <w:gridCol w:w="1237"/>
        <w:gridCol w:w="675"/>
        <w:gridCol w:w="812"/>
        <w:gridCol w:w="1244"/>
        <w:gridCol w:w="3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1"/>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部门整体自评表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中国民主同盟许昌市委员会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71.02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88.52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70.88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继承和弘扬民盟“奔走国是，关注民生”的优良传统，按照“四新三好”对标提升活动的方案要求，从上到下形成讲学习、讲政治、讲正气、讲大局、讲团结、讲奉献的良好氛围。开展好学习贯彻中国共产党二十大精神系列活动。做好组织发展工作，注重把好入口关，重点做好高校、基础教育、文化艺术以及与之相关的科技领域盟员的发展。持续推进教育、文化、医疗、科技、法律、公益系列活动。打造社会服务品牌，以活动促带动，不断增强盟组织活力。</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继承和弘扬民盟“奔走国是，关注民生”的优良传统，按照“四新三好”对标提升活动的方案要求，从上到下形成讲学习、讲政治、讲正气、讲大局、讲团结、讲奉献的良好氛围。开展好学习贯彻中国共产党二十大精神系列活动。做好组织发展工作，注重把好入口关，重点做好高校、基础教育、文化艺术以及与之相关的科技领域盟员的发展。持续推进教育、文化、医疗、科技、法律、公益系列活动。打造社会服务品牌，以活动促带动，不断增强盟组织活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开展社会服务活动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持续做好民盟特色社会服务工作</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做好参政议政工作</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围绕市委市政府中心工作，认真调研，撰写调研报告</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140.87%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1308.70%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2023年我单位调入一名厅级干部，人员经费增加，因此调整预算数额较大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组织开展盟员学习活动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充分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持续开展社会服务活动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充分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参政议政，撰写调研报告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持续做好民盟特色社会服务工作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参政议政能力提升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精准开展社会服务活动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精准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社会公众满意度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bl>
    <w:p>
      <w:pPr>
        <w:pStyle w:val="10"/>
        <w:sectPr>
          <w:pgSz w:w="16838" w:h="11906" w:orient="landscape"/>
          <w:pgMar w:top="1800" w:right="1440" w:bottom="1800" w:left="1440" w:header="851" w:footer="992" w:gutter="0"/>
          <w:cols w:space="720"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5"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l1uVLQAAAABQEAAA8AAAAAAAAAAQAgAAAAOAAAAGRycy9kb3ducmV2Lnht&#10;bFBLAQIUABQAAAAIAIdO4kBXzMh66wEAAMEDAAAOAAAAAAAAAAEAIAAAADUBAABkcnMvZTJvRG9j&#10;LnhtbFBLBQYAAAAABgAGAFkBAACS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7B365"/>
    <w:multiLevelType w:val="multilevel"/>
    <w:tmpl w:val="FFD7B365"/>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2FC7A14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beaf16fb-94b8-4b1b-926f-1d1a7fe92fbc"/>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7</TotalTime>
  <ScaleCrop>false</ScaleCrop>
  <LinksUpToDate>false</LinksUpToDate>
  <CharactersWithSpaces>19414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2024-10-09T16:05:37Z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DF94CE1DC53D4C5F990C8EECCB3F5EB2_13</vt:lpwstr>
  </property>
</Properties>
</file>