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中国国际贸易促进委员会河南省分会许昌支会单位决算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中国国际贸易促进委员会河南省分会许昌支会概况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中国国际贸易促进委员会河南省分会许昌支会概况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（一）依照中华人民共和国的法律、法规、政策和国际惯例，开展促进本市出口创汇、利用外资、引进国外先进技术设备和各种形式的对外经济贸易交流与合作等活动。</w:t>
      </w:r>
      <w:bookmarkStart w:id="0" w:name="_GoBack"/>
      <w:bookmarkEnd w:id="0"/>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利用民间渠道优势和地方商会的服务、协调、桥梁、纽带职能，为本市会员企业提供优质高效服务，促进许昌同世界各国、各地区之间的贸易和经济关系的发展，增进许昌同世界各国人民及经济贸易界的相互了解与友谊。</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中国国际贸易促进委员会河南省分会许昌支会内设机构1个</w:t>
      </w:r>
      <w:r>
        <w:rPr>
          <w:rFonts w:hint="default" w:ascii="仿宋" w:hAnsi="仿宋" w:eastAsia="仿宋" w:cs="仿宋"/>
          <w:kern w:val="0"/>
          <w:sz w:val="32"/>
          <w:szCs w:val="32"/>
          <w:lang w:val="en" w:eastAsia="zh-CN"/>
        </w:rPr>
        <w:t>，</w:t>
      </w:r>
      <w:r>
        <w:rPr>
          <w:rFonts w:hint="eastAsia" w:ascii="仿宋" w:hAnsi="仿宋" w:eastAsia="仿宋" w:cs="仿宋"/>
          <w:kern w:val="0"/>
          <w:sz w:val="32"/>
          <w:szCs w:val="32"/>
          <w:lang w:val="en-US" w:eastAsia="zh-CN"/>
        </w:rPr>
        <w:t>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从决算单位构成看，中国国际贸易促进委员会河南省分会许昌支会单位决算包括：本级决算（1个）。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中国国际贸易促进委员会河南省分会许昌支会</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104.87</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72.03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3.66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104.87</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111.26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6.39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111.26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111.26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104.87</w:t>
            </w:r>
          </w:p>
        </w:tc>
        <w:tc>
          <w:tcPr>
            <w:tcW w:w="1440" w:type="dxa"/>
            <w:vAlign w:val="center"/>
          </w:tcPr>
          <w:p>
            <w:pPr>
              <w:jc w:val="right"/>
            </w:pPr>
            <w:r>
              <w:rPr>
                <w:rFonts w:ascii="宋体" w:hAnsi="宋体" w:eastAsia="宋体" w:cs="宋体"/>
                <w:b/>
                <w:i w:val="0"/>
                <w:color w:val="000000"/>
                <w:sz w:val="17"/>
              </w:rPr>
              <w:t>104.87</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72.03</w:t>
            </w:r>
          </w:p>
        </w:tc>
        <w:tc>
          <w:tcPr>
            <w:tcW w:w="1440" w:type="dxa"/>
            <w:vAlign w:val="center"/>
          </w:tcPr>
          <w:p>
            <w:pPr>
              <w:jc w:val="right"/>
            </w:pPr>
            <w:r>
              <w:rPr>
                <w:rFonts w:ascii="宋体" w:hAnsi="宋体" w:eastAsia="宋体" w:cs="宋体"/>
                <w:b w:val="0"/>
                <w:i w:val="0"/>
                <w:color w:val="000000"/>
                <w:sz w:val="17"/>
              </w:rPr>
              <w:t>72.03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67.10</w:t>
            </w:r>
          </w:p>
        </w:tc>
        <w:tc>
          <w:tcPr>
            <w:tcW w:w="1440" w:type="dxa"/>
            <w:vAlign w:val="center"/>
          </w:tcPr>
          <w:p>
            <w:pPr>
              <w:jc w:val="right"/>
            </w:pPr>
            <w:r>
              <w:rPr>
                <w:rFonts w:ascii="宋体" w:hAnsi="宋体" w:eastAsia="宋体" w:cs="宋体"/>
                <w:b w:val="0"/>
                <w:i w:val="0"/>
                <w:color w:val="000000"/>
                <w:sz w:val="17"/>
              </w:rPr>
              <w:t>67.10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67.10</w:t>
            </w:r>
          </w:p>
        </w:tc>
        <w:tc>
          <w:tcPr>
            <w:tcW w:w="1440" w:type="dxa"/>
            <w:vAlign w:val="center"/>
          </w:tcPr>
          <w:p>
            <w:pPr>
              <w:jc w:val="right"/>
            </w:pPr>
            <w:r>
              <w:rPr>
                <w:rFonts w:ascii="宋体" w:hAnsi="宋体" w:eastAsia="宋体" w:cs="宋体"/>
                <w:b w:val="0"/>
                <w:i w:val="0"/>
                <w:color w:val="000000"/>
                <w:sz w:val="17"/>
              </w:rPr>
              <w:t>67.10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0.54</w:t>
            </w:r>
          </w:p>
        </w:tc>
        <w:tc>
          <w:tcPr>
            <w:tcW w:w="1440" w:type="dxa"/>
            <w:vAlign w:val="center"/>
          </w:tcPr>
          <w:p>
            <w:pPr>
              <w:jc w:val="right"/>
            </w:pPr>
            <w:r>
              <w:rPr>
                <w:rFonts w:ascii="宋体" w:hAnsi="宋体" w:eastAsia="宋体" w:cs="宋体"/>
                <w:b w:val="0"/>
                <w:i w:val="0"/>
                <w:color w:val="000000"/>
                <w:sz w:val="17"/>
              </w:rPr>
              <w:t>0.54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0.54</w:t>
            </w:r>
          </w:p>
        </w:tc>
        <w:tc>
          <w:tcPr>
            <w:tcW w:w="1440" w:type="dxa"/>
            <w:vAlign w:val="center"/>
          </w:tcPr>
          <w:p>
            <w:pPr>
              <w:jc w:val="right"/>
            </w:pPr>
            <w:r>
              <w:rPr>
                <w:rFonts w:ascii="宋体" w:hAnsi="宋体" w:eastAsia="宋体" w:cs="宋体"/>
                <w:b w:val="0"/>
                <w:i w:val="0"/>
                <w:color w:val="000000"/>
                <w:sz w:val="17"/>
              </w:rPr>
              <w:t>0.54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4.39</w:t>
            </w:r>
          </w:p>
        </w:tc>
        <w:tc>
          <w:tcPr>
            <w:tcW w:w="1440" w:type="dxa"/>
            <w:vAlign w:val="center"/>
          </w:tcPr>
          <w:p>
            <w:pPr>
              <w:jc w:val="right"/>
            </w:pPr>
            <w:r>
              <w:rPr>
                <w:rFonts w:ascii="宋体" w:hAnsi="宋体" w:eastAsia="宋体" w:cs="宋体"/>
                <w:b w:val="0"/>
                <w:i w:val="0"/>
                <w:color w:val="000000"/>
                <w:sz w:val="17"/>
              </w:rPr>
              <w:t>4.39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4.39</w:t>
            </w:r>
          </w:p>
        </w:tc>
        <w:tc>
          <w:tcPr>
            <w:tcW w:w="1440" w:type="dxa"/>
            <w:vAlign w:val="center"/>
          </w:tcPr>
          <w:p>
            <w:pPr>
              <w:jc w:val="right"/>
            </w:pPr>
            <w:r>
              <w:rPr>
                <w:rFonts w:ascii="宋体" w:hAnsi="宋体" w:eastAsia="宋体" w:cs="宋体"/>
                <w:b w:val="0"/>
                <w:i w:val="0"/>
                <w:color w:val="000000"/>
                <w:sz w:val="17"/>
              </w:rPr>
              <w:t>4.39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25.14</w:t>
            </w:r>
          </w:p>
        </w:tc>
        <w:tc>
          <w:tcPr>
            <w:tcW w:w="1440" w:type="dxa"/>
            <w:vAlign w:val="center"/>
          </w:tcPr>
          <w:p>
            <w:pPr>
              <w:jc w:val="right"/>
            </w:pPr>
            <w:r>
              <w:rPr>
                <w:rFonts w:ascii="宋体" w:hAnsi="宋体" w:eastAsia="宋体" w:cs="宋体"/>
                <w:b w:val="0"/>
                <w:i w:val="0"/>
                <w:color w:val="000000"/>
                <w:sz w:val="17"/>
              </w:rPr>
              <w:t>25.14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25.14</w:t>
            </w:r>
          </w:p>
        </w:tc>
        <w:tc>
          <w:tcPr>
            <w:tcW w:w="1440" w:type="dxa"/>
            <w:vAlign w:val="center"/>
          </w:tcPr>
          <w:p>
            <w:pPr>
              <w:jc w:val="right"/>
            </w:pPr>
            <w:r>
              <w:rPr>
                <w:rFonts w:ascii="宋体" w:hAnsi="宋体" w:eastAsia="宋体" w:cs="宋体"/>
                <w:b w:val="0"/>
                <w:i w:val="0"/>
                <w:color w:val="000000"/>
                <w:sz w:val="17"/>
              </w:rPr>
              <w:t>25.14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20.95</w:t>
            </w:r>
          </w:p>
        </w:tc>
        <w:tc>
          <w:tcPr>
            <w:tcW w:w="1440" w:type="dxa"/>
            <w:vAlign w:val="center"/>
          </w:tcPr>
          <w:p>
            <w:pPr>
              <w:jc w:val="right"/>
            </w:pPr>
            <w:r>
              <w:rPr>
                <w:rFonts w:ascii="宋体" w:hAnsi="宋体" w:eastAsia="宋体" w:cs="宋体"/>
                <w:b w:val="0"/>
                <w:i w:val="0"/>
                <w:color w:val="000000"/>
                <w:sz w:val="17"/>
              </w:rPr>
              <w:t>20.95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4.19</w:t>
            </w:r>
          </w:p>
        </w:tc>
        <w:tc>
          <w:tcPr>
            <w:tcW w:w="1440" w:type="dxa"/>
            <w:vAlign w:val="center"/>
          </w:tcPr>
          <w:p>
            <w:pPr>
              <w:jc w:val="right"/>
            </w:pPr>
            <w:r>
              <w:rPr>
                <w:rFonts w:ascii="宋体" w:hAnsi="宋体" w:eastAsia="宋体" w:cs="宋体"/>
                <w:b w:val="0"/>
                <w:i w:val="0"/>
                <w:color w:val="000000"/>
                <w:sz w:val="17"/>
              </w:rPr>
              <w:t>4.19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3.66</w:t>
            </w:r>
          </w:p>
        </w:tc>
        <w:tc>
          <w:tcPr>
            <w:tcW w:w="1440" w:type="dxa"/>
            <w:vAlign w:val="center"/>
          </w:tcPr>
          <w:p>
            <w:pPr>
              <w:jc w:val="right"/>
            </w:pPr>
            <w:r>
              <w:rPr>
                <w:rFonts w:ascii="宋体" w:hAnsi="宋体" w:eastAsia="宋体" w:cs="宋体"/>
                <w:b w:val="0"/>
                <w:i w:val="0"/>
                <w:color w:val="000000"/>
                <w:sz w:val="17"/>
              </w:rPr>
              <w:t>3.66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3.66</w:t>
            </w:r>
          </w:p>
        </w:tc>
        <w:tc>
          <w:tcPr>
            <w:tcW w:w="1440" w:type="dxa"/>
            <w:vAlign w:val="center"/>
          </w:tcPr>
          <w:p>
            <w:pPr>
              <w:jc w:val="right"/>
            </w:pPr>
            <w:r>
              <w:rPr>
                <w:rFonts w:ascii="宋体" w:hAnsi="宋体" w:eastAsia="宋体" w:cs="宋体"/>
                <w:b w:val="0"/>
                <w:i w:val="0"/>
                <w:color w:val="000000"/>
                <w:sz w:val="17"/>
              </w:rPr>
              <w:t>3.66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1.74</w:t>
            </w:r>
          </w:p>
        </w:tc>
        <w:tc>
          <w:tcPr>
            <w:tcW w:w="1440" w:type="dxa"/>
            <w:vAlign w:val="center"/>
          </w:tcPr>
          <w:p>
            <w:pPr>
              <w:jc w:val="right"/>
            </w:pPr>
            <w:r>
              <w:rPr>
                <w:rFonts w:ascii="宋体" w:hAnsi="宋体" w:eastAsia="宋体" w:cs="宋体"/>
                <w:b w:val="0"/>
                <w:i w:val="0"/>
                <w:color w:val="000000"/>
                <w:sz w:val="17"/>
              </w:rPr>
              <w:t>1.74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1.93</w:t>
            </w:r>
          </w:p>
        </w:tc>
        <w:tc>
          <w:tcPr>
            <w:tcW w:w="1440" w:type="dxa"/>
            <w:vAlign w:val="center"/>
          </w:tcPr>
          <w:p>
            <w:pPr>
              <w:jc w:val="right"/>
            </w:pPr>
            <w:r>
              <w:rPr>
                <w:rFonts w:ascii="宋体" w:hAnsi="宋体" w:eastAsia="宋体" w:cs="宋体"/>
                <w:b w:val="0"/>
                <w:i w:val="0"/>
                <w:color w:val="000000"/>
                <w:sz w:val="17"/>
              </w:rPr>
              <w:t>1.93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4.03</w:t>
            </w:r>
          </w:p>
        </w:tc>
        <w:tc>
          <w:tcPr>
            <w:tcW w:w="1440" w:type="dxa"/>
            <w:vAlign w:val="center"/>
          </w:tcPr>
          <w:p>
            <w:pPr>
              <w:jc w:val="right"/>
            </w:pPr>
            <w:r>
              <w:rPr>
                <w:rFonts w:ascii="宋体" w:hAnsi="宋体" w:eastAsia="宋体" w:cs="宋体"/>
                <w:b w:val="0"/>
                <w:i w:val="0"/>
                <w:color w:val="000000"/>
                <w:sz w:val="17"/>
              </w:rPr>
              <w:t>4.03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4.03</w:t>
            </w:r>
          </w:p>
        </w:tc>
        <w:tc>
          <w:tcPr>
            <w:tcW w:w="1440" w:type="dxa"/>
            <w:vAlign w:val="center"/>
          </w:tcPr>
          <w:p>
            <w:pPr>
              <w:jc w:val="right"/>
            </w:pPr>
            <w:r>
              <w:rPr>
                <w:rFonts w:ascii="宋体" w:hAnsi="宋体" w:eastAsia="宋体" w:cs="宋体"/>
                <w:b w:val="0"/>
                <w:i w:val="0"/>
                <w:color w:val="000000"/>
                <w:sz w:val="17"/>
              </w:rPr>
              <w:t>4.03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4.03</w:t>
            </w:r>
          </w:p>
        </w:tc>
        <w:tc>
          <w:tcPr>
            <w:tcW w:w="1440" w:type="dxa"/>
            <w:vAlign w:val="center"/>
          </w:tcPr>
          <w:p>
            <w:pPr>
              <w:jc w:val="right"/>
            </w:pPr>
            <w:r>
              <w:rPr>
                <w:rFonts w:ascii="宋体" w:hAnsi="宋体" w:eastAsia="宋体" w:cs="宋体"/>
                <w:b w:val="0"/>
                <w:i w:val="0"/>
                <w:color w:val="000000"/>
                <w:sz w:val="17"/>
              </w:rPr>
              <w:t>4.03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111.26</w:t>
            </w:r>
          </w:p>
        </w:tc>
        <w:tc>
          <w:tcPr>
            <w:tcW w:w="1600" w:type="dxa"/>
            <w:vAlign w:val="center"/>
          </w:tcPr>
          <w:p>
            <w:pPr>
              <w:jc w:val="right"/>
            </w:pPr>
            <w:r>
              <w:rPr>
                <w:rFonts w:ascii="宋体" w:hAnsi="宋体" w:eastAsia="宋体" w:cs="宋体"/>
                <w:b/>
                <w:i w:val="0"/>
                <w:color w:val="000000"/>
                <w:sz w:val="19"/>
              </w:rPr>
              <w:t>104.87</w:t>
            </w:r>
          </w:p>
        </w:tc>
        <w:tc>
          <w:tcPr>
            <w:tcW w:w="1600" w:type="dxa"/>
            <w:vAlign w:val="center"/>
          </w:tcPr>
          <w:p>
            <w:pPr>
              <w:jc w:val="right"/>
            </w:pPr>
            <w:r>
              <w:rPr>
                <w:rFonts w:ascii="宋体" w:hAnsi="宋体" w:eastAsia="宋体" w:cs="宋体"/>
                <w:b/>
                <w:i w:val="0"/>
                <w:color w:val="000000"/>
                <w:sz w:val="19"/>
              </w:rPr>
              <w:t>6.39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72.03</w:t>
            </w:r>
          </w:p>
        </w:tc>
        <w:tc>
          <w:tcPr>
            <w:tcW w:w="1600" w:type="dxa"/>
            <w:vAlign w:val="center"/>
          </w:tcPr>
          <w:p>
            <w:pPr>
              <w:jc w:val="right"/>
            </w:pPr>
            <w:r>
              <w:rPr>
                <w:rFonts w:ascii="宋体" w:hAnsi="宋体" w:eastAsia="宋体" w:cs="宋体"/>
                <w:b w:val="0"/>
                <w:i w:val="0"/>
                <w:color w:val="000000"/>
                <w:sz w:val="19"/>
              </w:rPr>
              <w:t>72.03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67.10</w:t>
            </w:r>
          </w:p>
        </w:tc>
        <w:tc>
          <w:tcPr>
            <w:tcW w:w="1600" w:type="dxa"/>
            <w:vAlign w:val="center"/>
          </w:tcPr>
          <w:p>
            <w:pPr>
              <w:jc w:val="right"/>
            </w:pPr>
            <w:r>
              <w:rPr>
                <w:rFonts w:ascii="宋体" w:hAnsi="宋体" w:eastAsia="宋体" w:cs="宋体"/>
                <w:b w:val="0"/>
                <w:i w:val="0"/>
                <w:color w:val="000000"/>
                <w:sz w:val="19"/>
              </w:rPr>
              <w:t>67.10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67.10</w:t>
            </w:r>
          </w:p>
        </w:tc>
        <w:tc>
          <w:tcPr>
            <w:tcW w:w="1600" w:type="dxa"/>
            <w:vAlign w:val="center"/>
          </w:tcPr>
          <w:p>
            <w:pPr>
              <w:jc w:val="right"/>
            </w:pPr>
            <w:r>
              <w:rPr>
                <w:rFonts w:ascii="宋体" w:hAnsi="宋体" w:eastAsia="宋体" w:cs="宋体"/>
                <w:b w:val="0"/>
                <w:i w:val="0"/>
                <w:color w:val="000000"/>
                <w:sz w:val="19"/>
              </w:rPr>
              <w:t>67.10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0.54</w:t>
            </w:r>
          </w:p>
        </w:tc>
        <w:tc>
          <w:tcPr>
            <w:tcW w:w="1600" w:type="dxa"/>
            <w:vAlign w:val="center"/>
          </w:tcPr>
          <w:p>
            <w:pPr>
              <w:jc w:val="right"/>
            </w:pPr>
            <w:r>
              <w:rPr>
                <w:rFonts w:ascii="宋体" w:hAnsi="宋体" w:eastAsia="宋体" w:cs="宋体"/>
                <w:b w:val="0"/>
                <w:i w:val="0"/>
                <w:color w:val="000000"/>
                <w:sz w:val="19"/>
              </w:rPr>
              <w:t>0.54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0.54</w:t>
            </w:r>
          </w:p>
        </w:tc>
        <w:tc>
          <w:tcPr>
            <w:tcW w:w="1600" w:type="dxa"/>
            <w:vAlign w:val="center"/>
          </w:tcPr>
          <w:p>
            <w:pPr>
              <w:jc w:val="right"/>
            </w:pPr>
            <w:r>
              <w:rPr>
                <w:rFonts w:ascii="宋体" w:hAnsi="宋体" w:eastAsia="宋体" w:cs="宋体"/>
                <w:b w:val="0"/>
                <w:i w:val="0"/>
                <w:color w:val="000000"/>
                <w:sz w:val="19"/>
              </w:rPr>
              <w:t>0.54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4.39</w:t>
            </w:r>
          </w:p>
        </w:tc>
        <w:tc>
          <w:tcPr>
            <w:tcW w:w="1600" w:type="dxa"/>
            <w:vAlign w:val="center"/>
          </w:tcPr>
          <w:p>
            <w:pPr>
              <w:jc w:val="right"/>
            </w:pPr>
            <w:r>
              <w:rPr>
                <w:rFonts w:ascii="宋体" w:hAnsi="宋体" w:eastAsia="宋体" w:cs="宋体"/>
                <w:b w:val="0"/>
                <w:i w:val="0"/>
                <w:color w:val="000000"/>
                <w:sz w:val="19"/>
              </w:rPr>
              <w:t>4.39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4.39</w:t>
            </w:r>
          </w:p>
        </w:tc>
        <w:tc>
          <w:tcPr>
            <w:tcW w:w="1600" w:type="dxa"/>
            <w:vAlign w:val="center"/>
          </w:tcPr>
          <w:p>
            <w:pPr>
              <w:jc w:val="right"/>
            </w:pPr>
            <w:r>
              <w:rPr>
                <w:rFonts w:ascii="宋体" w:hAnsi="宋体" w:eastAsia="宋体" w:cs="宋体"/>
                <w:b w:val="0"/>
                <w:i w:val="0"/>
                <w:color w:val="000000"/>
                <w:sz w:val="19"/>
              </w:rPr>
              <w:t>4.39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25.14</w:t>
            </w:r>
          </w:p>
        </w:tc>
        <w:tc>
          <w:tcPr>
            <w:tcW w:w="1600" w:type="dxa"/>
            <w:vAlign w:val="center"/>
          </w:tcPr>
          <w:p>
            <w:pPr>
              <w:jc w:val="right"/>
            </w:pPr>
            <w:r>
              <w:rPr>
                <w:rFonts w:ascii="宋体" w:hAnsi="宋体" w:eastAsia="宋体" w:cs="宋体"/>
                <w:b w:val="0"/>
                <w:i w:val="0"/>
                <w:color w:val="000000"/>
                <w:sz w:val="19"/>
              </w:rPr>
              <w:t>25.14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25.14</w:t>
            </w:r>
          </w:p>
        </w:tc>
        <w:tc>
          <w:tcPr>
            <w:tcW w:w="1600" w:type="dxa"/>
            <w:vAlign w:val="center"/>
          </w:tcPr>
          <w:p>
            <w:pPr>
              <w:jc w:val="right"/>
            </w:pPr>
            <w:r>
              <w:rPr>
                <w:rFonts w:ascii="宋体" w:hAnsi="宋体" w:eastAsia="宋体" w:cs="宋体"/>
                <w:b w:val="0"/>
                <w:i w:val="0"/>
                <w:color w:val="000000"/>
                <w:sz w:val="19"/>
              </w:rPr>
              <w:t>25.14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20.95</w:t>
            </w:r>
          </w:p>
        </w:tc>
        <w:tc>
          <w:tcPr>
            <w:tcW w:w="1600" w:type="dxa"/>
            <w:vAlign w:val="center"/>
          </w:tcPr>
          <w:p>
            <w:pPr>
              <w:jc w:val="right"/>
            </w:pPr>
            <w:r>
              <w:rPr>
                <w:rFonts w:ascii="宋体" w:hAnsi="宋体" w:eastAsia="宋体" w:cs="宋体"/>
                <w:b w:val="0"/>
                <w:i w:val="0"/>
                <w:color w:val="000000"/>
                <w:sz w:val="19"/>
              </w:rPr>
              <w:t>20.95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4.19</w:t>
            </w:r>
          </w:p>
        </w:tc>
        <w:tc>
          <w:tcPr>
            <w:tcW w:w="1600" w:type="dxa"/>
            <w:vAlign w:val="center"/>
          </w:tcPr>
          <w:p>
            <w:pPr>
              <w:jc w:val="right"/>
            </w:pPr>
            <w:r>
              <w:rPr>
                <w:rFonts w:ascii="宋体" w:hAnsi="宋体" w:eastAsia="宋体" w:cs="宋体"/>
                <w:b w:val="0"/>
                <w:i w:val="0"/>
                <w:color w:val="000000"/>
                <w:sz w:val="19"/>
              </w:rPr>
              <w:t>4.19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3.66</w:t>
            </w:r>
          </w:p>
        </w:tc>
        <w:tc>
          <w:tcPr>
            <w:tcW w:w="1600" w:type="dxa"/>
            <w:vAlign w:val="center"/>
          </w:tcPr>
          <w:p>
            <w:pPr>
              <w:jc w:val="right"/>
            </w:pPr>
            <w:r>
              <w:rPr>
                <w:rFonts w:ascii="宋体" w:hAnsi="宋体" w:eastAsia="宋体" w:cs="宋体"/>
                <w:b w:val="0"/>
                <w:i w:val="0"/>
                <w:color w:val="000000"/>
                <w:sz w:val="19"/>
              </w:rPr>
              <w:t>3.66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3.66</w:t>
            </w:r>
          </w:p>
        </w:tc>
        <w:tc>
          <w:tcPr>
            <w:tcW w:w="1600" w:type="dxa"/>
            <w:vAlign w:val="center"/>
          </w:tcPr>
          <w:p>
            <w:pPr>
              <w:jc w:val="right"/>
            </w:pPr>
            <w:r>
              <w:rPr>
                <w:rFonts w:ascii="宋体" w:hAnsi="宋体" w:eastAsia="宋体" w:cs="宋体"/>
                <w:b w:val="0"/>
                <w:i w:val="0"/>
                <w:color w:val="000000"/>
                <w:sz w:val="19"/>
              </w:rPr>
              <w:t>3.66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1.74</w:t>
            </w:r>
          </w:p>
        </w:tc>
        <w:tc>
          <w:tcPr>
            <w:tcW w:w="1600" w:type="dxa"/>
            <w:vAlign w:val="center"/>
          </w:tcPr>
          <w:p>
            <w:pPr>
              <w:jc w:val="right"/>
            </w:pPr>
            <w:r>
              <w:rPr>
                <w:rFonts w:ascii="宋体" w:hAnsi="宋体" w:eastAsia="宋体" w:cs="宋体"/>
                <w:b w:val="0"/>
                <w:i w:val="0"/>
                <w:color w:val="000000"/>
                <w:sz w:val="19"/>
              </w:rPr>
              <w:t>1.74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1.93</w:t>
            </w:r>
          </w:p>
        </w:tc>
        <w:tc>
          <w:tcPr>
            <w:tcW w:w="1600" w:type="dxa"/>
            <w:vAlign w:val="center"/>
          </w:tcPr>
          <w:p>
            <w:pPr>
              <w:jc w:val="right"/>
            </w:pPr>
            <w:r>
              <w:rPr>
                <w:rFonts w:ascii="宋体" w:hAnsi="宋体" w:eastAsia="宋体" w:cs="宋体"/>
                <w:b w:val="0"/>
                <w:i w:val="0"/>
                <w:color w:val="000000"/>
                <w:sz w:val="19"/>
              </w:rPr>
              <w:t>1.93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w:t>
            </w:r>
          </w:p>
        </w:tc>
        <w:tc>
          <w:tcPr>
            <w:tcW w:w="3480" w:type="dxa"/>
            <w:vAlign w:val="center"/>
          </w:tcPr>
          <w:p>
            <w:pPr>
              <w:jc w:val="left"/>
            </w:pPr>
            <w:r>
              <w:rPr>
                <w:rFonts w:ascii="宋体" w:hAnsi="宋体" w:eastAsia="宋体" w:cs="宋体"/>
                <w:b w:val="0"/>
                <w:i w:val="0"/>
                <w:color w:val="000000"/>
                <w:sz w:val="19"/>
              </w:rPr>
              <w:t>商业服务业等支出</w:t>
            </w:r>
          </w:p>
        </w:tc>
        <w:tc>
          <w:tcPr>
            <w:tcW w:w="1600" w:type="dxa"/>
            <w:vAlign w:val="center"/>
          </w:tcPr>
          <w:p>
            <w:pPr>
              <w:jc w:val="right"/>
            </w:pPr>
            <w:r>
              <w:rPr>
                <w:rFonts w:ascii="宋体" w:hAnsi="宋体" w:eastAsia="宋体" w:cs="宋体"/>
                <w:b w:val="0"/>
                <w:i w:val="0"/>
                <w:color w:val="000000"/>
                <w:sz w:val="19"/>
              </w:rPr>
              <w:t>6.39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w:t>
            </w:r>
          </w:p>
        </w:tc>
        <w:tc>
          <w:tcPr>
            <w:tcW w:w="3480" w:type="dxa"/>
            <w:vAlign w:val="center"/>
          </w:tcPr>
          <w:p>
            <w:pPr>
              <w:jc w:val="left"/>
            </w:pPr>
            <w:r>
              <w:rPr>
                <w:rFonts w:ascii="宋体" w:hAnsi="宋体" w:eastAsia="宋体" w:cs="宋体"/>
                <w:b w:val="0"/>
                <w:i w:val="0"/>
                <w:color w:val="000000"/>
                <w:sz w:val="19"/>
              </w:rPr>
              <w:t>商业流通事务</w:t>
            </w:r>
          </w:p>
        </w:tc>
        <w:tc>
          <w:tcPr>
            <w:tcW w:w="1600" w:type="dxa"/>
            <w:vAlign w:val="center"/>
          </w:tcPr>
          <w:p>
            <w:pPr>
              <w:jc w:val="right"/>
            </w:pPr>
            <w:r>
              <w:rPr>
                <w:rFonts w:ascii="宋体" w:hAnsi="宋体" w:eastAsia="宋体" w:cs="宋体"/>
                <w:b w:val="0"/>
                <w:i w:val="0"/>
                <w:color w:val="000000"/>
                <w:sz w:val="19"/>
              </w:rPr>
              <w:t>6.39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6.39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4.03</w:t>
            </w:r>
          </w:p>
        </w:tc>
        <w:tc>
          <w:tcPr>
            <w:tcW w:w="1600" w:type="dxa"/>
            <w:vAlign w:val="center"/>
          </w:tcPr>
          <w:p>
            <w:pPr>
              <w:jc w:val="right"/>
            </w:pPr>
            <w:r>
              <w:rPr>
                <w:rFonts w:ascii="宋体" w:hAnsi="宋体" w:eastAsia="宋体" w:cs="宋体"/>
                <w:b w:val="0"/>
                <w:i w:val="0"/>
                <w:color w:val="000000"/>
                <w:sz w:val="19"/>
              </w:rPr>
              <w:t>4.03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4.03</w:t>
            </w:r>
          </w:p>
        </w:tc>
        <w:tc>
          <w:tcPr>
            <w:tcW w:w="1600" w:type="dxa"/>
            <w:vAlign w:val="center"/>
          </w:tcPr>
          <w:p>
            <w:pPr>
              <w:jc w:val="right"/>
            </w:pPr>
            <w:r>
              <w:rPr>
                <w:rFonts w:ascii="宋体" w:hAnsi="宋体" w:eastAsia="宋体" w:cs="宋体"/>
                <w:b w:val="0"/>
                <w:i w:val="0"/>
                <w:color w:val="000000"/>
                <w:sz w:val="19"/>
              </w:rPr>
              <w:t>4.03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4.03</w:t>
            </w:r>
          </w:p>
        </w:tc>
        <w:tc>
          <w:tcPr>
            <w:tcW w:w="1600" w:type="dxa"/>
            <w:vAlign w:val="center"/>
          </w:tcPr>
          <w:p>
            <w:pPr>
              <w:jc w:val="right"/>
            </w:pPr>
            <w:r>
              <w:rPr>
                <w:rFonts w:ascii="宋体" w:hAnsi="宋体" w:eastAsia="宋体" w:cs="宋体"/>
                <w:b w:val="0"/>
                <w:i w:val="0"/>
                <w:color w:val="000000"/>
                <w:sz w:val="19"/>
              </w:rPr>
              <w:t>4.03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104.87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72.03</w:t>
            </w:r>
          </w:p>
        </w:tc>
        <w:tc>
          <w:tcPr>
            <w:tcW w:w="1420" w:type="dxa"/>
            <w:vAlign w:val="center"/>
          </w:tcPr>
          <w:p>
            <w:pPr>
              <w:jc w:val="right"/>
            </w:pPr>
            <w:r>
              <w:rPr>
                <w:rFonts w:ascii="宋体" w:hAnsi="宋体" w:eastAsia="宋体" w:cs="宋体"/>
                <w:b w:val="0"/>
                <w:i w:val="0"/>
                <w:color w:val="000000"/>
                <w:sz w:val="18"/>
              </w:rPr>
              <w:t>72.03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25.14</w:t>
            </w:r>
          </w:p>
        </w:tc>
        <w:tc>
          <w:tcPr>
            <w:tcW w:w="1420" w:type="dxa"/>
            <w:vAlign w:val="center"/>
          </w:tcPr>
          <w:p>
            <w:pPr>
              <w:jc w:val="right"/>
            </w:pPr>
            <w:r>
              <w:rPr>
                <w:rFonts w:ascii="宋体" w:hAnsi="宋体" w:eastAsia="宋体" w:cs="宋体"/>
                <w:b w:val="0"/>
                <w:i w:val="0"/>
                <w:color w:val="000000"/>
                <w:sz w:val="18"/>
              </w:rPr>
              <w:t>25.14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3.66</w:t>
            </w:r>
          </w:p>
        </w:tc>
        <w:tc>
          <w:tcPr>
            <w:tcW w:w="1420" w:type="dxa"/>
            <w:vAlign w:val="center"/>
          </w:tcPr>
          <w:p>
            <w:pPr>
              <w:jc w:val="right"/>
            </w:pPr>
            <w:r>
              <w:rPr>
                <w:rFonts w:ascii="宋体" w:hAnsi="宋体" w:eastAsia="宋体" w:cs="宋体"/>
                <w:b w:val="0"/>
                <w:i w:val="0"/>
                <w:color w:val="000000"/>
                <w:sz w:val="18"/>
              </w:rPr>
              <w:t>3.66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6.39</w:t>
            </w:r>
          </w:p>
        </w:tc>
        <w:tc>
          <w:tcPr>
            <w:tcW w:w="1420" w:type="dxa"/>
            <w:vAlign w:val="center"/>
          </w:tcPr>
          <w:p>
            <w:pPr>
              <w:jc w:val="right"/>
            </w:pPr>
            <w:r>
              <w:rPr>
                <w:rFonts w:ascii="宋体" w:hAnsi="宋体" w:eastAsia="宋体" w:cs="宋体"/>
                <w:b w:val="0"/>
                <w:i w:val="0"/>
                <w:color w:val="000000"/>
                <w:sz w:val="18"/>
              </w:rPr>
              <w:t>6.39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4.03</w:t>
            </w:r>
          </w:p>
        </w:tc>
        <w:tc>
          <w:tcPr>
            <w:tcW w:w="1420" w:type="dxa"/>
            <w:vAlign w:val="center"/>
          </w:tcPr>
          <w:p>
            <w:pPr>
              <w:jc w:val="right"/>
            </w:pPr>
            <w:r>
              <w:rPr>
                <w:rFonts w:ascii="宋体" w:hAnsi="宋体" w:eastAsia="宋体" w:cs="宋体"/>
                <w:b w:val="0"/>
                <w:i w:val="0"/>
                <w:color w:val="000000"/>
                <w:sz w:val="18"/>
              </w:rPr>
              <w:t>4.03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104.87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111.26</w:t>
            </w:r>
          </w:p>
        </w:tc>
        <w:tc>
          <w:tcPr>
            <w:tcW w:w="1420" w:type="dxa"/>
            <w:vAlign w:val="center"/>
          </w:tcPr>
          <w:p>
            <w:pPr>
              <w:jc w:val="right"/>
            </w:pPr>
            <w:r>
              <w:rPr>
                <w:rFonts w:ascii="宋体" w:hAnsi="宋体" w:eastAsia="宋体" w:cs="宋体"/>
                <w:b w:val="0"/>
                <w:i w:val="0"/>
                <w:color w:val="000000"/>
                <w:sz w:val="18"/>
              </w:rPr>
              <w:t>111.26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6.39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6.39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111.26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111.26</w:t>
            </w:r>
          </w:p>
        </w:tc>
        <w:tc>
          <w:tcPr>
            <w:tcW w:w="1420" w:type="dxa"/>
            <w:vAlign w:val="center"/>
          </w:tcPr>
          <w:p>
            <w:pPr>
              <w:jc w:val="right"/>
            </w:pPr>
            <w:r>
              <w:rPr>
                <w:rFonts w:ascii="宋体" w:hAnsi="宋体" w:eastAsia="宋体" w:cs="宋体"/>
                <w:b w:val="0"/>
                <w:i w:val="0"/>
                <w:color w:val="000000"/>
                <w:sz w:val="18"/>
              </w:rPr>
              <w:t>111.26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111.26</w:t>
            </w:r>
          </w:p>
        </w:tc>
        <w:tc>
          <w:tcPr>
            <w:tcW w:w="2700" w:type="dxa"/>
            <w:vAlign w:val="center"/>
          </w:tcPr>
          <w:p>
            <w:pPr>
              <w:jc w:val="right"/>
            </w:pPr>
            <w:r>
              <w:rPr>
                <w:rFonts w:ascii="宋体" w:hAnsi="宋体" w:eastAsia="宋体" w:cs="宋体"/>
                <w:b/>
                <w:i w:val="0"/>
                <w:color w:val="000000"/>
                <w:sz w:val="25"/>
              </w:rPr>
              <w:t>104.87</w:t>
            </w:r>
          </w:p>
        </w:tc>
        <w:tc>
          <w:tcPr>
            <w:tcW w:w="2658" w:type="dxa"/>
            <w:vAlign w:val="center"/>
          </w:tcPr>
          <w:p>
            <w:pPr>
              <w:jc w:val="right"/>
            </w:pPr>
            <w:r>
              <w:rPr>
                <w:rFonts w:ascii="宋体" w:hAnsi="宋体" w:eastAsia="宋体" w:cs="宋体"/>
                <w:b/>
                <w:i w:val="0"/>
                <w:color w:val="000000"/>
                <w:sz w:val="25"/>
              </w:rPr>
              <w:t>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72.03</w:t>
            </w:r>
          </w:p>
        </w:tc>
        <w:tc>
          <w:tcPr>
            <w:tcW w:w="2700" w:type="dxa"/>
            <w:vAlign w:val="center"/>
          </w:tcPr>
          <w:p>
            <w:pPr>
              <w:jc w:val="right"/>
            </w:pPr>
            <w:r>
              <w:rPr>
                <w:rFonts w:ascii="宋体" w:hAnsi="宋体" w:eastAsia="宋体" w:cs="宋体"/>
                <w:b w:val="0"/>
                <w:i w:val="0"/>
                <w:color w:val="000000"/>
                <w:sz w:val="25"/>
              </w:rPr>
              <w:t>72.03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67.10</w:t>
            </w:r>
          </w:p>
        </w:tc>
        <w:tc>
          <w:tcPr>
            <w:tcW w:w="2700" w:type="dxa"/>
            <w:vAlign w:val="center"/>
          </w:tcPr>
          <w:p>
            <w:pPr>
              <w:jc w:val="right"/>
            </w:pPr>
            <w:r>
              <w:rPr>
                <w:rFonts w:ascii="宋体" w:hAnsi="宋体" w:eastAsia="宋体" w:cs="宋体"/>
                <w:b w:val="0"/>
                <w:i w:val="0"/>
                <w:color w:val="000000"/>
                <w:sz w:val="25"/>
              </w:rPr>
              <w:t>67.10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67.10</w:t>
            </w:r>
          </w:p>
        </w:tc>
        <w:tc>
          <w:tcPr>
            <w:tcW w:w="2700" w:type="dxa"/>
            <w:vAlign w:val="center"/>
          </w:tcPr>
          <w:p>
            <w:pPr>
              <w:jc w:val="right"/>
            </w:pPr>
            <w:r>
              <w:rPr>
                <w:rFonts w:ascii="宋体" w:hAnsi="宋体" w:eastAsia="宋体" w:cs="宋体"/>
                <w:b w:val="0"/>
                <w:i w:val="0"/>
                <w:color w:val="000000"/>
                <w:sz w:val="25"/>
              </w:rPr>
              <w:t>67.10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0.54</w:t>
            </w:r>
          </w:p>
        </w:tc>
        <w:tc>
          <w:tcPr>
            <w:tcW w:w="2700" w:type="dxa"/>
            <w:vAlign w:val="center"/>
          </w:tcPr>
          <w:p>
            <w:pPr>
              <w:jc w:val="right"/>
            </w:pPr>
            <w:r>
              <w:rPr>
                <w:rFonts w:ascii="宋体" w:hAnsi="宋体" w:eastAsia="宋体" w:cs="宋体"/>
                <w:b w:val="0"/>
                <w:i w:val="0"/>
                <w:color w:val="000000"/>
                <w:sz w:val="25"/>
              </w:rPr>
              <w:t>0.54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0.54</w:t>
            </w:r>
          </w:p>
        </w:tc>
        <w:tc>
          <w:tcPr>
            <w:tcW w:w="2700" w:type="dxa"/>
            <w:vAlign w:val="center"/>
          </w:tcPr>
          <w:p>
            <w:pPr>
              <w:jc w:val="right"/>
            </w:pPr>
            <w:r>
              <w:rPr>
                <w:rFonts w:ascii="宋体" w:hAnsi="宋体" w:eastAsia="宋体" w:cs="宋体"/>
                <w:b w:val="0"/>
                <w:i w:val="0"/>
                <w:color w:val="000000"/>
                <w:sz w:val="25"/>
              </w:rPr>
              <w:t>0.54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4.39</w:t>
            </w:r>
          </w:p>
        </w:tc>
        <w:tc>
          <w:tcPr>
            <w:tcW w:w="2700" w:type="dxa"/>
            <w:vAlign w:val="center"/>
          </w:tcPr>
          <w:p>
            <w:pPr>
              <w:jc w:val="right"/>
            </w:pPr>
            <w:r>
              <w:rPr>
                <w:rFonts w:ascii="宋体" w:hAnsi="宋体" w:eastAsia="宋体" w:cs="宋体"/>
                <w:b w:val="0"/>
                <w:i w:val="0"/>
                <w:color w:val="000000"/>
                <w:sz w:val="25"/>
              </w:rPr>
              <w:t>4.39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4.39</w:t>
            </w:r>
          </w:p>
        </w:tc>
        <w:tc>
          <w:tcPr>
            <w:tcW w:w="2700" w:type="dxa"/>
            <w:vAlign w:val="center"/>
          </w:tcPr>
          <w:p>
            <w:pPr>
              <w:jc w:val="right"/>
            </w:pPr>
            <w:r>
              <w:rPr>
                <w:rFonts w:ascii="宋体" w:hAnsi="宋体" w:eastAsia="宋体" w:cs="宋体"/>
                <w:b w:val="0"/>
                <w:i w:val="0"/>
                <w:color w:val="000000"/>
                <w:sz w:val="25"/>
              </w:rPr>
              <w:t>4.39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25.14</w:t>
            </w:r>
          </w:p>
        </w:tc>
        <w:tc>
          <w:tcPr>
            <w:tcW w:w="2700" w:type="dxa"/>
            <w:vAlign w:val="center"/>
          </w:tcPr>
          <w:p>
            <w:pPr>
              <w:jc w:val="right"/>
            </w:pPr>
            <w:r>
              <w:rPr>
                <w:rFonts w:ascii="宋体" w:hAnsi="宋体" w:eastAsia="宋体" w:cs="宋体"/>
                <w:b w:val="0"/>
                <w:i w:val="0"/>
                <w:color w:val="000000"/>
                <w:sz w:val="25"/>
              </w:rPr>
              <w:t>25.14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25.14</w:t>
            </w:r>
          </w:p>
        </w:tc>
        <w:tc>
          <w:tcPr>
            <w:tcW w:w="2700" w:type="dxa"/>
            <w:vAlign w:val="center"/>
          </w:tcPr>
          <w:p>
            <w:pPr>
              <w:jc w:val="right"/>
            </w:pPr>
            <w:r>
              <w:rPr>
                <w:rFonts w:ascii="宋体" w:hAnsi="宋体" w:eastAsia="宋体" w:cs="宋体"/>
                <w:b w:val="0"/>
                <w:i w:val="0"/>
                <w:color w:val="000000"/>
                <w:sz w:val="25"/>
              </w:rPr>
              <w:t>25.14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20.95</w:t>
            </w:r>
          </w:p>
        </w:tc>
        <w:tc>
          <w:tcPr>
            <w:tcW w:w="2700" w:type="dxa"/>
            <w:vAlign w:val="center"/>
          </w:tcPr>
          <w:p>
            <w:pPr>
              <w:jc w:val="right"/>
            </w:pPr>
            <w:r>
              <w:rPr>
                <w:rFonts w:ascii="宋体" w:hAnsi="宋体" w:eastAsia="宋体" w:cs="宋体"/>
                <w:b w:val="0"/>
                <w:i w:val="0"/>
                <w:color w:val="000000"/>
                <w:sz w:val="25"/>
              </w:rPr>
              <w:t>20.95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4.19</w:t>
            </w:r>
          </w:p>
        </w:tc>
        <w:tc>
          <w:tcPr>
            <w:tcW w:w="2700" w:type="dxa"/>
            <w:vAlign w:val="center"/>
          </w:tcPr>
          <w:p>
            <w:pPr>
              <w:jc w:val="right"/>
            </w:pPr>
            <w:r>
              <w:rPr>
                <w:rFonts w:ascii="宋体" w:hAnsi="宋体" w:eastAsia="宋体" w:cs="宋体"/>
                <w:b w:val="0"/>
                <w:i w:val="0"/>
                <w:color w:val="000000"/>
                <w:sz w:val="25"/>
              </w:rPr>
              <w:t>4.19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3.66</w:t>
            </w:r>
          </w:p>
        </w:tc>
        <w:tc>
          <w:tcPr>
            <w:tcW w:w="2700" w:type="dxa"/>
            <w:vAlign w:val="center"/>
          </w:tcPr>
          <w:p>
            <w:pPr>
              <w:jc w:val="right"/>
            </w:pPr>
            <w:r>
              <w:rPr>
                <w:rFonts w:ascii="宋体" w:hAnsi="宋体" w:eastAsia="宋体" w:cs="宋体"/>
                <w:b w:val="0"/>
                <w:i w:val="0"/>
                <w:color w:val="000000"/>
                <w:sz w:val="25"/>
              </w:rPr>
              <w:t>3.66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3.66</w:t>
            </w:r>
          </w:p>
        </w:tc>
        <w:tc>
          <w:tcPr>
            <w:tcW w:w="2700" w:type="dxa"/>
            <w:vAlign w:val="center"/>
          </w:tcPr>
          <w:p>
            <w:pPr>
              <w:jc w:val="right"/>
            </w:pPr>
            <w:r>
              <w:rPr>
                <w:rFonts w:ascii="宋体" w:hAnsi="宋体" w:eastAsia="宋体" w:cs="宋体"/>
                <w:b w:val="0"/>
                <w:i w:val="0"/>
                <w:color w:val="000000"/>
                <w:sz w:val="25"/>
              </w:rPr>
              <w:t>3.66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1.74</w:t>
            </w:r>
          </w:p>
        </w:tc>
        <w:tc>
          <w:tcPr>
            <w:tcW w:w="2700" w:type="dxa"/>
            <w:vAlign w:val="center"/>
          </w:tcPr>
          <w:p>
            <w:pPr>
              <w:jc w:val="right"/>
            </w:pPr>
            <w:r>
              <w:rPr>
                <w:rFonts w:ascii="宋体" w:hAnsi="宋体" w:eastAsia="宋体" w:cs="宋体"/>
                <w:b w:val="0"/>
                <w:i w:val="0"/>
                <w:color w:val="000000"/>
                <w:sz w:val="25"/>
              </w:rPr>
              <w:t>1.74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1.93</w:t>
            </w:r>
          </w:p>
        </w:tc>
        <w:tc>
          <w:tcPr>
            <w:tcW w:w="2700" w:type="dxa"/>
            <w:vAlign w:val="center"/>
          </w:tcPr>
          <w:p>
            <w:pPr>
              <w:jc w:val="right"/>
            </w:pPr>
            <w:r>
              <w:rPr>
                <w:rFonts w:ascii="宋体" w:hAnsi="宋体" w:eastAsia="宋体" w:cs="宋体"/>
                <w:b w:val="0"/>
                <w:i w:val="0"/>
                <w:color w:val="000000"/>
                <w:sz w:val="25"/>
              </w:rPr>
              <w:t>1.93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w:t>
            </w:r>
          </w:p>
        </w:tc>
        <w:tc>
          <w:tcPr>
            <w:tcW w:w="4700" w:type="dxa"/>
            <w:vAlign w:val="center"/>
          </w:tcPr>
          <w:p>
            <w:pPr>
              <w:jc w:val="left"/>
            </w:pPr>
            <w:r>
              <w:rPr>
                <w:rFonts w:ascii="宋体" w:hAnsi="宋体" w:eastAsia="宋体" w:cs="宋体"/>
                <w:b w:val="0"/>
                <w:i w:val="0"/>
                <w:color w:val="000000"/>
                <w:sz w:val="25"/>
              </w:rPr>
              <w:t>商业服务业等支出</w:t>
            </w:r>
          </w:p>
        </w:tc>
        <w:tc>
          <w:tcPr>
            <w:tcW w:w="2700" w:type="dxa"/>
            <w:vAlign w:val="center"/>
          </w:tcPr>
          <w:p>
            <w:pPr>
              <w:jc w:val="right"/>
            </w:pPr>
            <w:r>
              <w:rPr>
                <w:rFonts w:ascii="宋体" w:hAnsi="宋体" w:eastAsia="宋体" w:cs="宋体"/>
                <w:b w:val="0"/>
                <w:i w:val="0"/>
                <w:color w:val="000000"/>
                <w:sz w:val="25"/>
              </w:rPr>
              <w:t>6.39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21602</w:t>
            </w:r>
          </w:p>
        </w:tc>
        <w:tc>
          <w:tcPr>
            <w:tcW w:w="4700" w:type="dxa"/>
            <w:vAlign w:val="center"/>
          </w:tcPr>
          <w:p>
            <w:pPr>
              <w:jc w:val="left"/>
            </w:pPr>
            <w:r>
              <w:rPr>
                <w:rFonts w:ascii="宋体" w:hAnsi="宋体" w:eastAsia="宋体" w:cs="宋体"/>
                <w:b w:val="0"/>
                <w:i w:val="0"/>
                <w:color w:val="000000"/>
                <w:sz w:val="25"/>
              </w:rPr>
              <w:t>商业流通事务</w:t>
            </w:r>
          </w:p>
        </w:tc>
        <w:tc>
          <w:tcPr>
            <w:tcW w:w="2700" w:type="dxa"/>
            <w:vAlign w:val="center"/>
          </w:tcPr>
          <w:p>
            <w:pPr>
              <w:jc w:val="right"/>
            </w:pPr>
            <w:r>
              <w:rPr>
                <w:rFonts w:ascii="宋体" w:hAnsi="宋体" w:eastAsia="宋体" w:cs="宋体"/>
                <w:b w:val="0"/>
                <w:i w:val="0"/>
                <w:color w:val="000000"/>
                <w:sz w:val="25"/>
              </w:rPr>
              <w:t>6.39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2160202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6.39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4.03</w:t>
            </w:r>
          </w:p>
        </w:tc>
        <w:tc>
          <w:tcPr>
            <w:tcW w:w="2700" w:type="dxa"/>
            <w:vAlign w:val="center"/>
          </w:tcPr>
          <w:p>
            <w:pPr>
              <w:jc w:val="right"/>
            </w:pPr>
            <w:r>
              <w:rPr>
                <w:rFonts w:ascii="宋体" w:hAnsi="宋体" w:eastAsia="宋体" w:cs="宋体"/>
                <w:b w:val="0"/>
                <w:i w:val="0"/>
                <w:color w:val="000000"/>
                <w:sz w:val="25"/>
              </w:rPr>
              <w:t>4.03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4.03</w:t>
            </w:r>
          </w:p>
        </w:tc>
        <w:tc>
          <w:tcPr>
            <w:tcW w:w="2700" w:type="dxa"/>
            <w:vAlign w:val="center"/>
          </w:tcPr>
          <w:p>
            <w:pPr>
              <w:jc w:val="right"/>
            </w:pPr>
            <w:r>
              <w:rPr>
                <w:rFonts w:ascii="宋体" w:hAnsi="宋体" w:eastAsia="宋体" w:cs="宋体"/>
                <w:b w:val="0"/>
                <w:i w:val="0"/>
                <w:color w:val="000000"/>
                <w:sz w:val="25"/>
              </w:rPr>
              <w:t>4.03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4.03</w:t>
            </w:r>
          </w:p>
        </w:tc>
        <w:tc>
          <w:tcPr>
            <w:tcW w:w="2700" w:type="dxa"/>
            <w:vAlign w:val="center"/>
          </w:tcPr>
          <w:p>
            <w:pPr>
              <w:jc w:val="right"/>
            </w:pPr>
            <w:r>
              <w:rPr>
                <w:rFonts w:ascii="宋体" w:hAnsi="宋体" w:eastAsia="宋体" w:cs="宋体"/>
                <w:b w:val="0"/>
                <w:i w:val="0"/>
                <w:color w:val="000000"/>
                <w:sz w:val="25"/>
              </w:rPr>
              <w:t>4.03</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77.21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6.70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11.81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1.60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22.53</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28.17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3.98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1.74</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1.93</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4.03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2.97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20.95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20.95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0.54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0.55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2.77</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98.16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6.70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单位：中国国际贸易促进委员会河南省分会许昌支会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right"/>
            </w:pPr>
            <w:r>
              <w:rPr>
                <w:rFonts w:ascii="宋体" w:hAnsi="宋体" w:eastAsia="宋体" w:cs="宋体"/>
                <w:b w:val="0"/>
                <w:i w:val="0"/>
                <w:color w:val="000000"/>
                <w:sz w:val="17"/>
              </w:rPr>
              <w:t>6.39</w:t>
            </w:r>
          </w:p>
        </w:tc>
        <w:tc>
          <w:tcPr>
            <w:tcW w:w="1160" w:type="dxa"/>
            <w:vAlign w:val="center"/>
          </w:tcPr>
          <w:p>
            <w:pPr>
              <w:jc w:val="right"/>
            </w:pPr>
            <w:r>
              <w:rPr>
                <w:rFonts w:ascii="宋体" w:hAnsi="宋体" w:eastAsia="宋体" w:cs="宋体"/>
                <w:b w:val="0"/>
                <w:i w:val="0"/>
                <w:color w:val="000000"/>
                <w:sz w:val="17"/>
              </w:rPr>
              <w:t>6.39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6.39</w:t>
            </w:r>
          </w:p>
        </w:tc>
        <w:tc>
          <w:tcPr>
            <w:tcW w:w="1160" w:type="dxa"/>
            <w:vAlign w:val="center"/>
          </w:tcPr>
          <w:p>
            <w:pPr>
              <w:jc w:val="right"/>
            </w:pPr>
            <w:r>
              <w:rPr>
                <w:rFonts w:ascii="宋体" w:hAnsi="宋体" w:eastAsia="宋体" w:cs="宋体"/>
                <w:b w:val="0"/>
                <w:i w:val="0"/>
                <w:color w:val="000000"/>
                <w:sz w:val="17"/>
              </w:rPr>
              <w:t>6.39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2023年度收、支总计均为111.26万元。与上年度相比，收、支总计各减少5.54万元，下降4.74%。主要原因是人员正常变动。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104.87万元，其中：财政拨款收入104.87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2023年度支出合计111.26万元，其中：基本支出104.87万元，占94.26%；项目支出6.39万元，占5.74%；上缴上级支出0.00万元，占0.00%；经营支出0.00万元，占0.00%；对附属单位补助支出0.00万元，占0.00%。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2023年度财政拨款收、支总计均为111.26万元。与上年度相比，财政拨款收、支总计各减少5.54万元，下降4.74%。主要原因是正常人员变动，人员经费收支相应减少。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2023年度一般公共预算财政拨款支出111.26万元，占支出合计的100.00%。与上年度相比，一般公共预算财政拨款支出减少5.54万元，下降4.74%。主要原因是正常人员变动，人员经费收支相应减少。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111.26万元，主要用于以下方面：一般公共服务支出（类）72.03万元，占64.74%；社会保障和就业支出（类）25.14万元，占22.60%；卫生健康支出（类）3.66万元，占3.29%；商业服务业等支出（类）6.39万元，占5.74%；住房保障支出（类）4.03万元，占3.63%。</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2023年度一般公共预算财政拨款支出年初预算为128.49万元，支出决算为111.26万元，完成年初预算的86.59%。其中：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1.一般公共服务支出（类）商贸事务（款）行政运行（项）</w:t>
      </w:r>
      <w:r>
        <w:rPr>
          <w:rFonts w:hint="default" w:ascii="仿宋" w:hAnsi="仿宋" w:eastAsia="仿宋" w:cs="仿宋"/>
          <w:kern w:val="2"/>
          <w:sz w:val="32"/>
          <w:szCs w:val="32"/>
          <w:lang w:val="en-US" w:eastAsia="zh-CN"/>
        </w:rPr>
        <w:t>年初预算数为89.61万元，决算数67.10万元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完成年初预算的74.88%，决算数与年初预算数存在差异的主要原因是在职转退休4人。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年初预算数为0.54万元，决算数0.54万元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年初预算数为0.00万元，决算数4.39万元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决算数与年初预算数存在差异的主要原因是年中追加人员经费。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年初预算数为11.07万元，决算数20.95万元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完成年初预算的189.25%，决算数与年初预算数存在差异的主要原因是在职转退休4人，年中追加退休经费导致。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年初预算数为8.09万元，决算数4.19万元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完成年初预算的51.79%，决算数与年初预算数存在差异的主要原因是年中人员在职转退休，养老保险缴费减少。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2"/>
          <w:sz w:val="32"/>
          <w:szCs w:val="32"/>
          <w:lang w:val="en-US" w:eastAsia="zh-CN"/>
        </w:rPr>
        <w:t>年初预算数为3.19万元，决算数1.74万元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完成年初预算的54.55%，决算数与年初预算数存在差异的主要原因是年中人员在职转退休，医疗保险缴费减少。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7.卫生健康支出（类）行政事业单位医疗（款）公务员医疗补助（项）</w:t>
      </w:r>
      <w:r>
        <w:rPr>
          <w:rFonts w:hint="default" w:ascii="仿宋" w:hAnsi="仿宋" w:eastAsia="仿宋" w:cs="仿宋"/>
          <w:kern w:val="2"/>
          <w:sz w:val="32"/>
          <w:szCs w:val="32"/>
          <w:lang w:val="en-US" w:eastAsia="zh-CN"/>
        </w:rPr>
        <w:t>年初预算数为3.54万元，决算数1.93万元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完成年初预算的54.52%，决算数与年初预算数存在差异的主要原因是年中在职转退休，公务员医疗保险缴费减少。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8.商业服务业等支出（类）商业流通事务（款）一般行政管理事务（项）</w:t>
      </w:r>
      <w:r>
        <w:rPr>
          <w:rFonts w:hint="default" w:ascii="仿宋" w:hAnsi="仿宋" w:eastAsia="仿宋" w:cs="仿宋"/>
          <w:kern w:val="2"/>
          <w:sz w:val="32"/>
          <w:szCs w:val="32"/>
          <w:lang w:val="en-US" w:eastAsia="zh-CN"/>
        </w:rPr>
        <w:t>年初预算数为0.00万元，决算数6.39万元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决算数与年初预算数存在差异的主要原因是财政拨入存量资金，根据规定支付参展期间发生交通费和住宿项目经费。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年初预算数为6.07万元，决算数4.03万元</w:t>
      </w:r>
      <w:r>
        <w:rPr>
          <w:rFonts w:hint="default" w:ascii="仿宋" w:hAnsi="仿宋" w:eastAsia="仿宋" w:cs="仿宋"/>
          <w:kern w:val="2"/>
          <w:sz w:val="32"/>
          <w:szCs w:val="32"/>
          <w:lang w:val="en" w:eastAsia="zh-CN"/>
        </w:rPr>
        <w:t>，</w:t>
      </w:r>
      <w:r>
        <w:rPr>
          <w:rFonts w:hint="default" w:ascii="仿宋" w:hAnsi="仿宋" w:eastAsia="仿宋" w:cs="仿宋"/>
          <w:kern w:val="2"/>
          <w:sz w:val="32"/>
          <w:szCs w:val="32"/>
          <w:lang w:val="en-US" w:eastAsia="zh-CN"/>
        </w:rPr>
        <w:t>完成年初预算的66.39%，决算数与年初预算数存在差异的主要原因是年中人员在职转退休，公积金缴费减少。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104.87万元。其中：人员经费98.16万元，主要包括：基本工资、津贴补贴、奖金、机关事业单位基本养老保险缴费、职工基本医疗保险缴费、公务员医疗补助缴费、其他社会保障缴费、住房公积金、其他工资福利支出、退休费。公用经费6.70万元，主要包括：办公费、邮电费、差旅费、劳务费、工会经费、福利费、其他交通费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2023年度“三公”经费财政拨款支出预算为6.39万元，支出决算为6.39万元，完成预算的100.00%。2023年度“三公”经费支出决算数与预算数无差异。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6.39万元，完成预算的100.00%，占100.00%；公务用车购置及运行费支出决算0.00万元，占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预算为6.39万元，支出决算为6.39万元，完成预算的100.00%。决算数与预算数无差异。全年因公出国（境）团组2个，累计2人次。开支内容包括：车票、飞机票、住宿费等。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2023年度机关运行经费支出6.70万元，较2022年度下降4.43万元，下降39.80%，主要原因是在职人员减少，相应机关运行经费支出减少。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112.34万元。自评得分为98分，等级为“优”。从单位整体自评情况来看，2023年度各项工作稳步推进，严格按照各项绩效目标执行，加强绩效管理，对外贸易稳步增长，招商引资成效显著，企业国际化经营能力不断提升，较好的完成了本年度各项工作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基于项目预期目标的实现程度，我单位对2023年度单位预算项目支出（含单位参与分配的转移支付项目）开展绩效自评，涉及项目1个，项目金额6.39万元。其中：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（1）一般行政管理事务，自评得分为97分，等级为“优”。项目主要保障参展期间的交通、住宿费支出。下一步，将继续重绩效管理，按照专款专用，科学合理规范使用项目资金。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从项目绩效自评情况来看，较好的完成了项目计划，达到了预期的指标任务。</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874"/>
        <w:gridCol w:w="219"/>
        <w:gridCol w:w="937"/>
        <w:gridCol w:w="425"/>
        <w:gridCol w:w="854"/>
        <w:gridCol w:w="847"/>
        <w:gridCol w:w="1462"/>
        <w:gridCol w:w="506"/>
        <w:gridCol w:w="446"/>
        <w:gridCol w:w="965"/>
        <w:gridCol w:w="399"/>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380"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80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657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中国国际贸易促进会河南分会许昌支会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122.11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112.34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11</w:t>
            </w:r>
            <w:r>
              <w:rPr>
                <w:rFonts w:hint="eastAsia" w:ascii="宋体" w:hAnsi="宋体" w:cs="宋体"/>
                <w:i w:val="0"/>
                <w:iCs w:val="0"/>
                <w:color w:val="000000"/>
                <w:kern w:val="0"/>
                <w:sz w:val="18"/>
                <w:szCs w:val="18"/>
                <w:u w:val="none"/>
                <w:lang w:val="en-US" w:eastAsia="zh-CN" w:bidi="en-AU"/>
              </w:rPr>
              <w:t>2</w:t>
            </w:r>
            <w:r>
              <w:rPr>
                <w:rFonts w:ascii="宋体" w:hAnsi="宋体" w:eastAsia="宋体" w:cs="宋体"/>
                <w:i w:val="0"/>
                <w:iCs w:val="0"/>
                <w:color w:val="000000"/>
                <w:kern w:val="0"/>
                <w:sz w:val="18"/>
                <w:szCs w:val="18"/>
                <w:u w:val="none"/>
                <w:lang w:val="en-US" w:eastAsia="zh-CN" w:bidi="en-AU"/>
              </w:rPr>
              <w:t>.</w:t>
            </w:r>
            <w:r>
              <w:rPr>
                <w:rFonts w:hint="eastAsia" w:ascii="宋体" w:hAnsi="宋体" w:cs="宋体"/>
                <w:i w:val="0"/>
                <w:iCs w:val="0"/>
                <w:color w:val="000000"/>
                <w:kern w:val="0"/>
                <w:sz w:val="18"/>
                <w:szCs w:val="18"/>
                <w:u w:val="none"/>
                <w:lang w:val="en-US" w:eastAsia="zh-CN" w:bidi="en-AU"/>
              </w:rPr>
              <w:t>12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99</w:t>
            </w:r>
            <w:r>
              <w:rPr>
                <w:rFonts w:ascii="宋体" w:hAnsi="宋体" w:eastAsia="宋体" w:cs="宋体"/>
                <w:i w:val="0"/>
                <w:iCs w:val="0"/>
                <w:color w:val="000000"/>
                <w:kern w:val="0"/>
                <w:sz w:val="18"/>
                <w:szCs w:val="18"/>
                <w:u w:val="none"/>
                <w:lang w:val="en-US" w:eastAsia="zh-CN" w:bidi="en-AU"/>
              </w:rPr>
              <w:t>.</w:t>
            </w:r>
            <w:r>
              <w:rPr>
                <w:rFonts w:hint="eastAsia" w:ascii="宋体" w:hAnsi="宋体" w:cs="宋体"/>
                <w:i w:val="0"/>
                <w:iCs w:val="0"/>
                <w:color w:val="000000"/>
                <w:kern w:val="0"/>
                <w:sz w:val="18"/>
                <w:szCs w:val="18"/>
                <w:u w:val="none"/>
                <w:lang w:val="en-US" w:eastAsia="zh-CN" w:bidi="en-AU"/>
              </w:rPr>
              <w:t>8</w:t>
            </w:r>
            <w:r>
              <w:rPr>
                <w:rFonts w:ascii="宋体" w:hAnsi="宋体" w:eastAsia="宋体" w:cs="宋体"/>
                <w:i w:val="0"/>
                <w:iCs w:val="0"/>
                <w:color w:val="000000"/>
                <w:kern w:val="0"/>
                <w:sz w:val="18"/>
                <w:szCs w:val="18"/>
                <w:u w:val="none"/>
                <w:lang w:val="en-US" w:eastAsia="zh-CN" w:bidi="en-AU"/>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122.11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111.26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111.26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42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854"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1.08</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0.86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79.63%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44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以习近平新时代中国特色社会主义思想为指导，深入贯彻落实党的二十大精神，紧紧围绕市委、市政府的中心工作，进一步发挥贸促会的职能作用，不断开创贸促工作新局面。</w:t>
            </w:r>
          </w:p>
        </w:tc>
        <w:tc>
          <w:tcPr>
            <w:tcW w:w="444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加强了对外联络，积极拓展国际市场；强化了服务企业，优化了营商环境；加强了自身建设，提高了服务能力。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30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4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商贸管理事务</w:t>
            </w:r>
          </w:p>
        </w:tc>
        <w:tc>
          <w:tcPr>
            <w:tcW w:w="30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加强对外联络，积极拓展国际市场；强化服务企业，优化了营商环境；加强自身建设，提高了服务能力。</w:t>
            </w:r>
          </w:p>
        </w:tc>
        <w:tc>
          <w:tcPr>
            <w:tcW w:w="444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对外贸易稳步增长；招商引资成效显著；企业国际化经营能力不断提升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商贸管理高效运行</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高效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高效</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商贸管理预算财务管理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合法合规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合法合规</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1279" w:type="dxa"/>
            <w:gridSpan w:val="2"/>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商贸管理绩效目标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达标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商贸管理目标完成</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商贸管理履职实现</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实现</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不断提升许昌国际经营能力</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不断提升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cs="宋体"/>
                <w:i w:val="0"/>
                <w:iCs w:val="0"/>
                <w:color w:val="000000"/>
                <w:kern w:val="0"/>
                <w:sz w:val="18"/>
                <w:szCs w:val="18"/>
                <w:u w:val="none"/>
                <w:lang w:val="en" w:eastAsia="zh-CN" w:bidi="en-AU"/>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企业满意度</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8"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720" w:num="1"/>
          <w:docGrid w:type="lines" w:linePitch="312" w:charSpace="0"/>
        </w:sectPr>
      </w:pPr>
    </w:p>
    <w:tbl>
      <w:tblPr>
        <w:tblStyle w:val="12"/>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579"/>
        <w:gridCol w:w="1049"/>
        <w:gridCol w:w="828"/>
        <w:gridCol w:w="674"/>
        <w:gridCol w:w="725"/>
        <w:gridCol w:w="467"/>
        <w:gridCol w:w="593"/>
        <w:gridCol w:w="617"/>
        <w:gridCol w:w="583"/>
        <w:gridCol w:w="582"/>
        <w:gridCol w:w="817"/>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80" w:type="dxa"/>
            <w:gridSpan w:val="13"/>
            <w:tcBorders>
              <w:top w:val="nil"/>
              <w:left w:val="nil"/>
              <w:bottom w:val="nil"/>
              <w:right w:val="nil"/>
            </w:tcBorders>
            <w:shd w:val="clear" w:color="auto" w:fill="auto"/>
            <w:vAlign w:val="center"/>
          </w:tcPr>
          <w:p>
            <w:pPr>
              <w:pStyle w:val="10"/>
              <w:jc w:val="center"/>
            </w:pPr>
            <w:r>
              <w:rPr>
                <w:rFonts w:hint="eastAsia"/>
                <w:b/>
                <w:bCs/>
                <w:sz w:val="44"/>
                <w:szCs w:val="44"/>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项目名称</w:t>
            </w:r>
          </w:p>
        </w:tc>
        <w:tc>
          <w:tcPr>
            <w:tcW w:w="78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ind w:firstLine="2100" w:firstLineChars="1000"/>
            </w:pPr>
            <w:r>
              <w:rPr>
                <w:lang w:val="en-US" w:eastAsia="zh-CN"/>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主管部门</w:t>
            </w:r>
          </w:p>
        </w:tc>
        <w:tc>
          <w:tcPr>
            <w:tcW w:w="33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eastAsiaTheme="minorEastAsia"/>
                <w:lang w:val="en-US" w:eastAsia="zh-CN"/>
              </w:rPr>
            </w:pPr>
            <w:r>
              <w:rPr>
                <w:rFonts w:hint="eastAsia"/>
                <w:lang w:val="en-US" w:eastAsia="zh-CN"/>
              </w:rPr>
              <w:t>许昌市商务局</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实施单位</w:t>
            </w:r>
          </w:p>
        </w:tc>
        <w:tc>
          <w:tcPr>
            <w:tcW w:w="3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中国国际贸易促进会河南省分会许昌支会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项目资金（万元）</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年初预算数</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全年预算数</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全年执行数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分值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执行率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年度资金总额（万元）：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w:t>
            </w:r>
          </w:p>
        </w:tc>
        <w:tc>
          <w:tcPr>
            <w:tcW w:w="588" w:type="dxa"/>
            <w:tcBorders>
              <w:top w:val="nil"/>
              <w:left w:val="nil"/>
              <w:bottom w:val="nil"/>
              <w:right w:val="nil"/>
            </w:tcBorders>
            <w:shd w:val="clear" w:color="auto" w:fill="auto"/>
            <w:vAlign w:val="center"/>
          </w:tcPr>
          <w:p>
            <w:pPr>
              <w:pStyle w:val="10"/>
            </w:pPr>
            <w:r>
              <w:rPr>
                <w:lang w:val="en-US" w:eastAsia="zh-CN"/>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政府性预算资金</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财政专户管理资金</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单位资金</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资金管理情况</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情况说明</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分值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得分</w:t>
            </w:r>
          </w:p>
        </w:tc>
        <w:tc>
          <w:tcPr>
            <w:tcW w:w="2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安排科学性</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科学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2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拨付合规性</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合规</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2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使用规范性</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规范</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2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预算绩效管理情况</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有效</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2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年度总体目标</w:t>
            </w: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预期目标</w:t>
            </w:r>
          </w:p>
        </w:tc>
        <w:tc>
          <w:tcPr>
            <w:tcW w:w="44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顺应高水平开放需求，推动双方经贸往来，产业合作，深入交流。保障出访期间交通、住宿费支出。</w:t>
            </w:r>
          </w:p>
        </w:tc>
        <w:tc>
          <w:tcPr>
            <w:tcW w:w="44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经贸出访团组顺应高水平对外开放需求，推动双方经贸往来、产业合作深入交流，出访效果显著。下一步将继续秉承高层次全方位宽领域的对外开放理念，继续带领企业组团出海，助力企业拓市场抢订单。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绩效指标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一级指标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二级指标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三级指标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年度指标值</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实际完成值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分值</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得分</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偏差度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成本指标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经济成本指标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保障差旅经费</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6.39万元</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社会成本指标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生态环境成本指标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产出指标</w:t>
            </w:r>
          </w:p>
        </w:tc>
        <w:tc>
          <w:tcPr>
            <w:tcW w:w="1068" w:type="dxa"/>
            <w:tcBorders>
              <w:top w:val="single" w:color="000000" w:sz="4" w:space="0"/>
              <w:left w:val="single" w:color="000000" w:sz="4" w:space="0"/>
              <w:bottom w:val="nil"/>
              <w:right w:val="single" w:color="000000" w:sz="4" w:space="0"/>
            </w:tcBorders>
            <w:shd w:val="clear" w:color="auto" w:fill="auto"/>
            <w:vAlign w:val="center"/>
          </w:tcPr>
          <w:p>
            <w:pPr>
              <w:pStyle w:val="10"/>
            </w:pPr>
            <w:r>
              <w:rPr>
                <w:lang w:val="en-US" w:eastAsia="zh-CN"/>
              </w:rPr>
              <w:t>数量指标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差旅出差人员</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2人</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2人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质量指标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报销差旅费</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及时</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及时</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时效指标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经贸参展时间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按时参展</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按时参展</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经济效益指标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助力企业拓市抢单</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有效</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有效</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25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22</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社会效益指标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 xml:space="preserve">             </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生态效益指标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服务对象满意度指标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出差人员满意度指标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90%</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92%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5</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50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总分</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pPr>
            <w:r>
              <w:rPr>
                <w:lang w:val="en-US" w:eastAsia="zh-CN"/>
              </w:rPr>
              <w:t>97</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4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U8LGF6wEAAMI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032E"/>
    <w:multiLevelType w:val="multilevel"/>
    <w:tmpl w:val="D9A7032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77B9B04"/>
    <w:rsid w:val="F5DED2E8"/>
    <w:rsid w:val="F9F54F30"/>
    <w:rsid w:val="FEFFA5D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b835451-7c92-437b-bcd4-56375100a407"/>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table" w:customStyle="1" w:styleId="12">
    <w:name w:val="Normal Table_a115d161-bafe-4e36-bfa0-da003136d15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6718</Words>
  <Characters>19344</Characters>
  <Lines>1</Lines>
  <Paragraphs>1</Paragraphs>
  <TotalTime>11</TotalTime>
  <ScaleCrop>false</ScaleCrop>
  <LinksUpToDate>false</LinksUpToDate>
  <CharactersWithSpaces>19591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