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中共许昌市委机构编制委员会办公室（本级）单位决算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中共许昌市委机构编制委员会办公室（本级）概况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中共许昌市委机构编制委员会办公室（本级）概况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（一）执行党和国家有关行政体制改革、机构改革和机构编制管理的方针政策、法律法规及省委、市委决策部署；贯彻落实机构编制管理方面的规章制度，推进机构编制法定化。</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（二）负责全市行政体制改革、事业单位分类改革、经济功能区管理体制改革、基层管理体制改革和相关领域涉及机构改革事项；负责经济发达镇行政管理体制改革试点工作；协调并落实有关专项改革事宜。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（三）拟订全市行政体制改革和机构改革总体方案，经批准后组织实施；审核县乡机构改革方案；指导和协调县乡机构改革及机构编制管理工作。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（四）统一管理全市各级党政机关，人大、政协机关，民主党派、群众团体机关，经济功能区以及事业单位的机构编制工作。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（五）协调市委各部门之间、市政府各部门之间的职能配置及调整，协调市直部门之间以及市直部门与县（市、区）之间的职责分工。</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六）审核市委、市政府各部门,市人大、政协机关，民主党派、群众团体机关的职能配置、内设机构、人员编制和领导职数；协助做好法院、检察院的机构编制管理工作；审核县乡党政机关编制总额和机构编制分类；审核县（市、区）机关副科级以上行政机构设置和调整事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七）拟订全市事业单位管理体制改革和机构改革方案，经批准后组织实施；负责市直事业单位机构改革方案的审核和机构编制管理工作；指导并协调县（市、区）事业单位管理体制改革、机构改革和机构编制管理工作；审核县（市、区）副科级以上事业单位机构设置和调整事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（八）负责市直并指导县（市、区）党政群机关统一社会信用代码赋码管理工作；负责市直并指导县（市、区）事业单位法人登记管理和监督检查工作。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（九）负责对全市各级行政、事业管理体制和机构改革情况及机构编制执行情况进行跟踪评估和监督检查；负责受理违反机构编制法律、法规、纪律的检举、控告和投诉，对有关问题进行调查处理。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（十）建立健全机构编制管理与财政预算、组织人事管理的配合制约机制；推进机构编制实名制管理，负责市直机关事业单位进人编制审核工作；负责全市机构编制统计工作。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（十一）完成市委和市委编委会交办的其他任务。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中共许昌市委机构编制委员会办公室（本级）内设机构6个,包括：综合科、体制改革科（政策法规科）、行政科、事业科、登记管理科、监督检查科。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从决算单位构成看，中共许昌市委机构编制委员会办公室（本级）单位决算包括：本级决算（1个）。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1.中共许昌市委机构编制委员会办公室</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单位：中共许昌市委机构编制委员会办公室（本级）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540.32</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398.55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94.45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24.05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21.03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540.32</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540.32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540.32</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540.32</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单位：中共许昌市委机构编制委员会办公室（本级）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540.32</w:t>
            </w:r>
          </w:p>
        </w:tc>
        <w:tc>
          <w:tcPr>
            <w:tcW w:w="1440" w:type="dxa"/>
            <w:vAlign w:val="center"/>
          </w:tcPr>
          <w:p>
            <w:pPr>
              <w:jc w:val="right"/>
            </w:pPr>
            <w:r>
              <w:rPr>
                <w:rFonts w:ascii="宋体" w:hAnsi="宋体" w:eastAsia="宋体" w:cs="宋体"/>
                <w:b/>
                <w:i w:val="0"/>
                <w:color w:val="000000"/>
                <w:sz w:val="17"/>
              </w:rPr>
              <w:t>540.32</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398.55</w:t>
            </w:r>
          </w:p>
        </w:tc>
        <w:tc>
          <w:tcPr>
            <w:tcW w:w="1440" w:type="dxa"/>
            <w:vAlign w:val="center"/>
          </w:tcPr>
          <w:p>
            <w:pPr>
              <w:jc w:val="right"/>
            </w:pPr>
            <w:r>
              <w:rPr>
                <w:rFonts w:ascii="宋体" w:hAnsi="宋体" w:eastAsia="宋体" w:cs="宋体"/>
                <w:b w:val="0"/>
                <w:i w:val="0"/>
                <w:color w:val="000000"/>
                <w:sz w:val="17"/>
              </w:rPr>
              <w:t>398.55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10.92</w:t>
            </w:r>
          </w:p>
        </w:tc>
        <w:tc>
          <w:tcPr>
            <w:tcW w:w="1440" w:type="dxa"/>
            <w:vAlign w:val="center"/>
          </w:tcPr>
          <w:p>
            <w:pPr>
              <w:jc w:val="right"/>
            </w:pPr>
            <w:r>
              <w:rPr>
                <w:rFonts w:ascii="宋体" w:hAnsi="宋体" w:eastAsia="宋体" w:cs="宋体"/>
                <w:b w:val="0"/>
                <w:i w:val="0"/>
                <w:color w:val="000000"/>
                <w:sz w:val="17"/>
              </w:rPr>
              <w:t>10.92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10.92</w:t>
            </w:r>
          </w:p>
        </w:tc>
        <w:tc>
          <w:tcPr>
            <w:tcW w:w="1440" w:type="dxa"/>
            <w:vAlign w:val="center"/>
          </w:tcPr>
          <w:p>
            <w:pPr>
              <w:jc w:val="right"/>
            </w:pPr>
            <w:r>
              <w:rPr>
                <w:rFonts w:ascii="宋体" w:hAnsi="宋体" w:eastAsia="宋体" w:cs="宋体"/>
                <w:b w:val="0"/>
                <w:i w:val="0"/>
                <w:color w:val="000000"/>
                <w:sz w:val="17"/>
              </w:rPr>
              <w:t>10.92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2.04</w:t>
            </w:r>
          </w:p>
        </w:tc>
        <w:tc>
          <w:tcPr>
            <w:tcW w:w="1440" w:type="dxa"/>
            <w:vAlign w:val="center"/>
          </w:tcPr>
          <w:p>
            <w:pPr>
              <w:jc w:val="right"/>
            </w:pPr>
            <w:r>
              <w:rPr>
                <w:rFonts w:ascii="宋体" w:hAnsi="宋体" w:eastAsia="宋体" w:cs="宋体"/>
                <w:b w:val="0"/>
                <w:i w:val="0"/>
                <w:color w:val="000000"/>
                <w:sz w:val="17"/>
              </w:rPr>
              <w:t>2.04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2.04</w:t>
            </w:r>
          </w:p>
        </w:tc>
        <w:tc>
          <w:tcPr>
            <w:tcW w:w="1440" w:type="dxa"/>
            <w:vAlign w:val="center"/>
          </w:tcPr>
          <w:p>
            <w:pPr>
              <w:jc w:val="right"/>
            </w:pPr>
            <w:r>
              <w:rPr>
                <w:rFonts w:ascii="宋体" w:hAnsi="宋体" w:eastAsia="宋体" w:cs="宋体"/>
                <w:b w:val="0"/>
                <w:i w:val="0"/>
                <w:color w:val="000000"/>
                <w:sz w:val="17"/>
              </w:rPr>
              <w:t>2.04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367.30</w:t>
            </w:r>
          </w:p>
        </w:tc>
        <w:tc>
          <w:tcPr>
            <w:tcW w:w="1440" w:type="dxa"/>
            <w:vAlign w:val="center"/>
          </w:tcPr>
          <w:p>
            <w:pPr>
              <w:jc w:val="right"/>
            </w:pPr>
            <w:r>
              <w:rPr>
                <w:rFonts w:ascii="宋体" w:hAnsi="宋体" w:eastAsia="宋体" w:cs="宋体"/>
                <w:b w:val="0"/>
                <w:i w:val="0"/>
                <w:color w:val="000000"/>
                <w:sz w:val="17"/>
              </w:rPr>
              <w:t>367.30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365.65</w:t>
            </w:r>
          </w:p>
        </w:tc>
        <w:tc>
          <w:tcPr>
            <w:tcW w:w="1440" w:type="dxa"/>
            <w:vAlign w:val="center"/>
          </w:tcPr>
          <w:p>
            <w:pPr>
              <w:jc w:val="right"/>
            </w:pPr>
            <w:r>
              <w:rPr>
                <w:rFonts w:ascii="宋体" w:hAnsi="宋体" w:eastAsia="宋体" w:cs="宋体"/>
                <w:b w:val="0"/>
                <w:i w:val="0"/>
                <w:color w:val="000000"/>
                <w:sz w:val="17"/>
              </w:rPr>
              <w:t>365.65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1.65</w:t>
            </w:r>
          </w:p>
        </w:tc>
        <w:tc>
          <w:tcPr>
            <w:tcW w:w="1440" w:type="dxa"/>
            <w:vAlign w:val="center"/>
          </w:tcPr>
          <w:p>
            <w:pPr>
              <w:jc w:val="right"/>
            </w:pPr>
            <w:r>
              <w:rPr>
                <w:rFonts w:ascii="宋体" w:hAnsi="宋体" w:eastAsia="宋体" w:cs="宋体"/>
                <w:b w:val="0"/>
                <w:i w:val="0"/>
                <w:color w:val="000000"/>
                <w:sz w:val="17"/>
              </w:rPr>
              <w:t>1.65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18.29</w:t>
            </w:r>
          </w:p>
        </w:tc>
        <w:tc>
          <w:tcPr>
            <w:tcW w:w="1440" w:type="dxa"/>
            <w:vAlign w:val="center"/>
          </w:tcPr>
          <w:p>
            <w:pPr>
              <w:jc w:val="right"/>
            </w:pPr>
            <w:r>
              <w:rPr>
                <w:rFonts w:ascii="宋体" w:hAnsi="宋体" w:eastAsia="宋体" w:cs="宋体"/>
                <w:b w:val="0"/>
                <w:i w:val="0"/>
                <w:color w:val="000000"/>
                <w:sz w:val="17"/>
              </w:rPr>
              <w:t>18.29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18.29</w:t>
            </w:r>
          </w:p>
        </w:tc>
        <w:tc>
          <w:tcPr>
            <w:tcW w:w="1440" w:type="dxa"/>
            <w:vAlign w:val="center"/>
          </w:tcPr>
          <w:p>
            <w:pPr>
              <w:jc w:val="right"/>
            </w:pPr>
            <w:r>
              <w:rPr>
                <w:rFonts w:ascii="宋体" w:hAnsi="宋体" w:eastAsia="宋体" w:cs="宋体"/>
                <w:b w:val="0"/>
                <w:i w:val="0"/>
                <w:color w:val="000000"/>
                <w:sz w:val="17"/>
              </w:rPr>
              <w:t>18.29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94.45</w:t>
            </w:r>
          </w:p>
        </w:tc>
        <w:tc>
          <w:tcPr>
            <w:tcW w:w="1440" w:type="dxa"/>
            <w:vAlign w:val="center"/>
          </w:tcPr>
          <w:p>
            <w:pPr>
              <w:jc w:val="right"/>
            </w:pPr>
            <w:r>
              <w:rPr>
                <w:rFonts w:ascii="宋体" w:hAnsi="宋体" w:eastAsia="宋体" w:cs="宋体"/>
                <w:b w:val="0"/>
                <w:i w:val="0"/>
                <w:color w:val="000000"/>
                <w:sz w:val="17"/>
              </w:rPr>
              <w:t>94.45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94.45</w:t>
            </w:r>
          </w:p>
        </w:tc>
        <w:tc>
          <w:tcPr>
            <w:tcW w:w="1440" w:type="dxa"/>
            <w:vAlign w:val="center"/>
          </w:tcPr>
          <w:p>
            <w:pPr>
              <w:jc w:val="right"/>
            </w:pPr>
            <w:r>
              <w:rPr>
                <w:rFonts w:ascii="宋体" w:hAnsi="宋体" w:eastAsia="宋体" w:cs="宋体"/>
                <w:b w:val="0"/>
                <w:i w:val="0"/>
                <w:color w:val="000000"/>
                <w:sz w:val="17"/>
              </w:rPr>
              <w:t>94.45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71.22</w:t>
            </w:r>
          </w:p>
        </w:tc>
        <w:tc>
          <w:tcPr>
            <w:tcW w:w="1440" w:type="dxa"/>
            <w:vAlign w:val="center"/>
          </w:tcPr>
          <w:p>
            <w:pPr>
              <w:jc w:val="right"/>
            </w:pPr>
            <w:r>
              <w:rPr>
                <w:rFonts w:ascii="宋体" w:hAnsi="宋体" w:eastAsia="宋体" w:cs="宋体"/>
                <w:b w:val="0"/>
                <w:i w:val="0"/>
                <w:color w:val="000000"/>
                <w:sz w:val="17"/>
              </w:rPr>
              <w:t>71.22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23.23</w:t>
            </w:r>
          </w:p>
        </w:tc>
        <w:tc>
          <w:tcPr>
            <w:tcW w:w="1440" w:type="dxa"/>
            <w:vAlign w:val="center"/>
          </w:tcPr>
          <w:p>
            <w:pPr>
              <w:jc w:val="right"/>
            </w:pPr>
            <w:r>
              <w:rPr>
                <w:rFonts w:ascii="宋体" w:hAnsi="宋体" w:eastAsia="宋体" w:cs="宋体"/>
                <w:b w:val="0"/>
                <w:i w:val="0"/>
                <w:color w:val="000000"/>
                <w:sz w:val="17"/>
              </w:rPr>
              <w:t>23.23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24.05</w:t>
            </w:r>
          </w:p>
        </w:tc>
        <w:tc>
          <w:tcPr>
            <w:tcW w:w="1440" w:type="dxa"/>
            <w:vAlign w:val="center"/>
          </w:tcPr>
          <w:p>
            <w:pPr>
              <w:jc w:val="right"/>
            </w:pPr>
            <w:r>
              <w:rPr>
                <w:rFonts w:ascii="宋体" w:hAnsi="宋体" w:eastAsia="宋体" w:cs="宋体"/>
                <w:b w:val="0"/>
                <w:i w:val="0"/>
                <w:color w:val="000000"/>
                <w:sz w:val="17"/>
              </w:rPr>
              <w:t>24.05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24.05</w:t>
            </w:r>
          </w:p>
        </w:tc>
        <w:tc>
          <w:tcPr>
            <w:tcW w:w="1440" w:type="dxa"/>
            <w:vAlign w:val="center"/>
          </w:tcPr>
          <w:p>
            <w:pPr>
              <w:jc w:val="right"/>
            </w:pPr>
            <w:r>
              <w:rPr>
                <w:rFonts w:ascii="宋体" w:hAnsi="宋体" w:eastAsia="宋体" w:cs="宋体"/>
                <w:b w:val="0"/>
                <w:i w:val="0"/>
                <w:color w:val="000000"/>
                <w:sz w:val="17"/>
              </w:rPr>
              <w:t>24.05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11.40</w:t>
            </w:r>
          </w:p>
        </w:tc>
        <w:tc>
          <w:tcPr>
            <w:tcW w:w="1440" w:type="dxa"/>
            <w:vAlign w:val="center"/>
          </w:tcPr>
          <w:p>
            <w:pPr>
              <w:jc w:val="right"/>
            </w:pPr>
            <w:r>
              <w:rPr>
                <w:rFonts w:ascii="宋体" w:hAnsi="宋体" w:eastAsia="宋体" w:cs="宋体"/>
                <w:b w:val="0"/>
                <w:i w:val="0"/>
                <w:color w:val="000000"/>
                <w:sz w:val="17"/>
              </w:rPr>
              <w:t>11.40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12.65</w:t>
            </w:r>
          </w:p>
        </w:tc>
        <w:tc>
          <w:tcPr>
            <w:tcW w:w="1440" w:type="dxa"/>
            <w:vAlign w:val="center"/>
          </w:tcPr>
          <w:p>
            <w:pPr>
              <w:jc w:val="right"/>
            </w:pPr>
            <w:r>
              <w:rPr>
                <w:rFonts w:ascii="宋体" w:hAnsi="宋体" w:eastAsia="宋体" w:cs="宋体"/>
                <w:b w:val="0"/>
                <w:i w:val="0"/>
                <w:color w:val="000000"/>
                <w:sz w:val="17"/>
              </w:rPr>
              <w:t>12.65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21.03</w:t>
            </w:r>
          </w:p>
        </w:tc>
        <w:tc>
          <w:tcPr>
            <w:tcW w:w="1440" w:type="dxa"/>
            <w:vAlign w:val="center"/>
          </w:tcPr>
          <w:p>
            <w:pPr>
              <w:jc w:val="right"/>
            </w:pPr>
            <w:r>
              <w:rPr>
                <w:rFonts w:ascii="宋体" w:hAnsi="宋体" w:eastAsia="宋体" w:cs="宋体"/>
                <w:b w:val="0"/>
                <w:i w:val="0"/>
                <w:color w:val="000000"/>
                <w:sz w:val="17"/>
              </w:rPr>
              <w:t>21.03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21.03</w:t>
            </w:r>
          </w:p>
        </w:tc>
        <w:tc>
          <w:tcPr>
            <w:tcW w:w="1440" w:type="dxa"/>
            <w:vAlign w:val="center"/>
          </w:tcPr>
          <w:p>
            <w:pPr>
              <w:jc w:val="right"/>
            </w:pPr>
            <w:r>
              <w:rPr>
                <w:rFonts w:ascii="宋体" w:hAnsi="宋体" w:eastAsia="宋体" w:cs="宋体"/>
                <w:b w:val="0"/>
                <w:i w:val="0"/>
                <w:color w:val="000000"/>
                <w:sz w:val="17"/>
              </w:rPr>
              <w:t>21.03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21.03</w:t>
            </w:r>
          </w:p>
        </w:tc>
        <w:tc>
          <w:tcPr>
            <w:tcW w:w="1440" w:type="dxa"/>
            <w:vAlign w:val="center"/>
          </w:tcPr>
          <w:p>
            <w:pPr>
              <w:jc w:val="right"/>
            </w:pPr>
            <w:r>
              <w:rPr>
                <w:rFonts w:ascii="宋体" w:hAnsi="宋体" w:eastAsia="宋体" w:cs="宋体"/>
                <w:b w:val="0"/>
                <w:i w:val="0"/>
                <w:color w:val="000000"/>
                <w:sz w:val="17"/>
              </w:rPr>
              <w:t>21.03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单位：中共许昌市委机构编制委员会办公室（本级）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540.32</w:t>
            </w:r>
          </w:p>
        </w:tc>
        <w:tc>
          <w:tcPr>
            <w:tcW w:w="1600" w:type="dxa"/>
            <w:vAlign w:val="center"/>
          </w:tcPr>
          <w:p>
            <w:pPr>
              <w:jc w:val="right"/>
            </w:pPr>
            <w:r>
              <w:rPr>
                <w:rFonts w:ascii="宋体" w:hAnsi="宋体" w:eastAsia="宋体" w:cs="宋体"/>
                <w:b/>
                <w:i w:val="0"/>
                <w:color w:val="000000"/>
                <w:sz w:val="19"/>
              </w:rPr>
              <w:t>538.07</w:t>
            </w:r>
          </w:p>
        </w:tc>
        <w:tc>
          <w:tcPr>
            <w:tcW w:w="1600" w:type="dxa"/>
            <w:vAlign w:val="center"/>
          </w:tcPr>
          <w:p>
            <w:pPr>
              <w:jc w:val="right"/>
            </w:pPr>
            <w:r>
              <w:rPr>
                <w:rFonts w:ascii="宋体" w:hAnsi="宋体" w:eastAsia="宋体" w:cs="宋体"/>
                <w:b/>
                <w:i w:val="0"/>
                <w:color w:val="000000"/>
                <w:sz w:val="19"/>
              </w:rPr>
              <w:t>2.25</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398.55</w:t>
            </w:r>
          </w:p>
        </w:tc>
        <w:tc>
          <w:tcPr>
            <w:tcW w:w="1600" w:type="dxa"/>
            <w:vAlign w:val="center"/>
          </w:tcPr>
          <w:p>
            <w:pPr>
              <w:jc w:val="right"/>
            </w:pPr>
            <w:r>
              <w:rPr>
                <w:rFonts w:ascii="宋体" w:hAnsi="宋体" w:eastAsia="宋体" w:cs="宋体"/>
                <w:b w:val="0"/>
                <w:i w:val="0"/>
                <w:color w:val="000000"/>
                <w:sz w:val="19"/>
              </w:rPr>
              <w:t>398.55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10.92</w:t>
            </w:r>
          </w:p>
        </w:tc>
        <w:tc>
          <w:tcPr>
            <w:tcW w:w="1600" w:type="dxa"/>
            <w:vAlign w:val="center"/>
          </w:tcPr>
          <w:p>
            <w:pPr>
              <w:jc w:val="right"/>
            </w:pPr>
            <w:r>
              <w:rPr>
                <w:rFonts w:ascii="宋体" w:hAnsi="宋体" w:eastAsia="宋体" w:cs="宋体"/>
                <w:b w:val="0"/>
                <w:i w:val="0"/>
                <w:color w:val="000000"/>
                <w:sz w:val="19"/>
              </w:rPr>
              <w:t>10.92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10.92</w:t>
            </w:r>
          </w:p>
        </w:tc>
        <w:tc>
          <w:tcPr>
            <w:tcW w:w="1600" w:type="dxa"/>
            <w:vAlign w:val="center"/>
          </w:tcPr>
          <w:p>
            <w:pPr>
              <w:jc w:val="right"/>
            </w:pPr>
            <w:r>
              <w:rPr>
                <w:rFonts w:ascii="宋体" w:hAnsi="宋体" w:eastAsia="宋体" w:cs="宋体"/>
                <w:b w:val="0"/>
                <w:i w:val="0"/>
                <w:color w:val="000000"/>
                <w:sz w:val="19"/>
              </w:rPr>
              <w:t>10.92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2.04</w:t>
            </w:r>
          </w:p>
        </w:tc>
        <w:tc>
          <w:tcPr>
            <w:tcW w:w="1600" w:type="dxa"/>
            <w:vAlign w:val="center"/>
          </w:tcPr>
          <w:p>
            <w:pPr>
              <w:jc w:val="right"/>
            </w:pPr>
            <w:r>
              <w:rPr>
                <w:rFonts w:ascii="宋体" w:hAnsi="宋体" w:eastAsia="宋体" w:cs="宋体"/>
                <w:b w:val="0"/>
                <w:i w:val="0"/>
                <w:color w:val="000000"/>
                <w:sz w:val="19"/>
              </w:rPr>
              <w:t>2.04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2.04</w:t>
            </w:r>
          </w:p>
        </w:tc>
        <w:tc>
          <w:tcPr>
            <w:tcW w:w="1600" w:type="dxa"/>
            <w:vAlign w:val="center"/>
          </w:tcPr>
          <w:p>
            <w:pPr>
              <w:jc w:val="right"/>
            </w:pPr>
            <w:r>
              <w:rPr>
                <w:rFonts w:ascii="宋体" w:hAnsi="宋体" w:eastAsia="宋体" w:cs="宋体"/>
                <w:b w:val="0"/>
                <w:i w:val="0"/>
                <w:color w:val="000000"/>
                <w:sz w:val="19"/>
              </w:rPr>
              <w:t>2.04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367.30</w:t>
            </w:r>
          </w:p>
        </w:tc>
        <w:tc>
          <w:tcPr>
            <w:tcW w:w="1600" w:type="dxa"/>
            <w:vAlign w:val="center"/>
          </w:tcPr>
          <w:p>
            <w:pPr>
              <w:jc w:val="right"/>
            </w:pPr>
            <w:r>
              <w:rPr>
                <w:rFonts w:ascii="宋体" w:hAnsi="宋体" w:eastAsia="宋体" w:cs="宋体"/>
                <w:b w:val="0"/>
                <w:i w:val="0"/>
                <w:color w:val="000000"/>
                <w:sz w:val="19"/>
              </w:rPr>
              <w:t>367.30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365.65</w:t>
            </w:r>
          </w:p>
        </w:tc>
        <w:tc>
          <w:tcPr>
            <w:tcW w:w="1600" w:type="dxa"/>
            <w:vAlign w:val="center"/>
          </w:tcPr>
          <w:p>
            <w:pPr>
              <w:jc w:val="right"/>
            </w:pPr>
            <w:r>
              <w:rPr>
                <w:rFonts w:ascii="宋体" w:hAnsi="宋体" w:eastAsia="宋体" w:cs="宋体"/>
                <w:b w:val="0"/>
                <w:i w:val="0"/>
                <w:color w:val="000000"/>
                <w:sz w:val="19"/>
              </w:rPr>
              <w:t>365.65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1.65</w:t>
            </w:r>
          </w:p>
        </w:tc>
        <w:tc>
          <w:tcPr>
            <w:tcW w:w="1600" w:type="dxa"/>
            <w:vAlign w:val="center"/>
          </w:tcPr>
          <w:p>
            <w:pPr>
              <w:jc w:val="right"/>
            </w:pPr>
            <w:r>
              <w:rPr>
                <w:rFonts w:ascii="宋体" w:hAnsi="宋体" w:eastAsia="宋体" w:cs="宋体"/>
                <w:b w:val="0"/>
                <w:i w:val="0"/>
                <w:color w:val="000000"/>
                <w:sz w:val="19"/>
              </w:rPr>
              <w:t>1.65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18.29</w:t>
            </w:r>
          </w:p>
        </w:tc>
        <w:tc>
          <w:tcPr>
            <w:tcW w:w="1600" w:type="dxa"/>
            <w:vAlign w:val="center"/>
          </w:tcPr>
          <w:p>
            <w:pPr>
              <w:jc w:val="right"/>
            </w:pPr>
            <w:r>
              <w:rPr>
                <w:rFonts w:ascii="宋体" w:hAnsi="宋体" w:eastAsia="宋体" w:cs="宋体"/>
                <w:b w:val="0"/>
                <w:i w:val="0"/>
                <w:color w:val="000000"/>
                <w:sz w:val="19"/>
              </w:rPr>
              <w:t>18.29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18.29</w:t>
            </w:r>
          </w:p>
        </w:tc>
        <w:tc>
          <w:tcPr>
            <w:tcW w:w="1600" w:type="dxa"/>
            <w:vAlign w:val="center"/>
          </w:tcPr>
          <w:p>
            <w:pPr>
              <w:jc w:val="right"/>
            </w:pPr>
            <w:r>
              <w:rPr>
                <w:rFonts w:ascii="宋体" w:hAnsi="宋体" w:eastAsia="宋体" w:cs="宋体"/>
                <w:b w:val="0"/>
                <w:i w:val="0"/>
                <w:color w:val="000000"/>
                <w:sz w:val="19"/>
              </w:rPr>
              <w:t>18.29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94.45</w:t>
            </w:r>
          </w:p>
        </w:tc>
        <w:tc>
          <w:tcPr>
            <w:tcW w:w="1600" w:type="dxa"/>
            <w:vAlign w:val="center"/>
          </w:tcPr>
          <w:p>
            <w:pPr>
              <w:jc w:val="right"/>
            </w:pPr>
            <w:r>
              <w:rPr>
                <w:rFonts w:ascii="宋体" w:hAnsi="宋体" w:eastAsia="宋体" w:cs="宋体"/>
                <w:b w:val="0"/>
                <w:i w:val="0"/>
                <w:color w:val="000000"/>
                <w:sz w:val="19"/>
              </w:rPr>
              <w:t>94.45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94.45</w:t>
            </w:r>
          </w:p>
        </w:tc>
        <w:tc>
          <w:tcPr>
            <w:tcW w:w="1600" w:type="dxa"/>
            <w:vAlign w:val="center"/>
          </w:tcPr>
          <w:p>
            <w:pPr>
              <w:jc w:val="right"/>
            </w:pPr>
            <w:r>
              <w:rPr>
                <w:rFonts w:ascii="宋体" w:hAnsi="宋体" w:eastAsia="宋体" w:cs="宋体"/>
                <w:b w:val="0"/>
                <w:i w:val="0"/>
                <w:color w:val="000000"/>
                <w:sz w:val="19"/>
              </w:rPr>
              <w:t>94.45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71.22</w:t>
            </w:r>
          </w:p>
        </w:tc>
        <w:tc>
          <w:tcPr>
            <w:tcW w:w="1600" w:type="dxa"/>
            <w:vAlign w:val="center"/>
          </w:tcPr>
          <w:p>
            <w:pPr>
              <w:jc w:val="right"/>
            </w:pPr>
            <w:r>
              <w:rPr>
                <w:rFonts w:ascii="宋体" w:hAnsi="宋体" w:eastAsia="宋体" w:cs="宋体"/>
                <w:b w:val="0"/>
                <w:i w:val="0"/>
                <w:color w:val="000000"/>
                <w:sz w:val="19"/>
              </w:rPr>
              <w:t>71.22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23.23</w:t>
            </w:r>
          </w:p>
        </w:tc>
        <w:tc>
          <w:tcPr>
            <w:tcW w:w="1600" w:type="dxa"/>
            <w:vAlign w:val="center"/>
          </w:tcPr>
          <w:p>
            <w:pPr>
              <w:jc w:val="right"/>
            </w:pPr>
            <w:r>
              <w:rPr>
                <w:rFonts w:ascii="宋体" w:hAnsi="宋体" w:eastAsia="宋体" w:cs="宋体"/>
                <w:b w:val="0"/>
                <w:i w:val="0"/>
                <w:color w:val="000000"/>
                <w:sz w:val="19"/>
              </w:rPr>
              <w:t>23.23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24.05</w:t>
            </w:r>
          </w:p>
        </w:tc>
        <w:tc>
          <w:tcPr>
            <w:tcW w:w="1600" w:type="dxa"/>
            <w:vAlign w:val="center"/>
          </w:tcPr>
          <w:p>
            <w:pPr>
              <w:jc w:val="right"/>
            </w:pPr>
            <w:r>
              <w:rPr>
                <w:rFonts w:ascii="宋体" w:hAnsi="宋体" w:eastAsia="宋体" w:cs="宋体"/>
                <w:b w:val="0"/>
                <w:i w:val="0"/>
                <w:color w:val="000000"/>
                <w:sz w:val="19"/>
              </w:rPr>
              <w:t>24.05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24.05</w:t>
            </w:r>
          </w:p>
        </w:tc>
        <w:tc>
          <w:tcPr>
            <w:tcW w:w="1600" w:type="dxa"/>
            <w:vAlign w:val="center"/>
          </w:tcPr>
          <w:p>
            <w:pPr>
              <w:jc w:val="right"/>
            </w:pPr>
            <w:r>
              <w:rPr>
                <w:rFonts w:ascii="宋体" w:hAnsi="宋体" w:eastAsia="宋体" w:cs="宋体"/>
                <w:b w:val="0"/>
                <w:i w:val="0"/>
                <w:color w:val="000000"/>
                <w:sz w:val="19"/>
              </w:rPr>
              <w:t>24.05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11.40</w:t>
            </w:r>
          </w:p>
        </w:tc>
        <w:tc>
          <w:tcPr>
            <w:tcW w:w="1600" w:type="dxa"/>
            <w:vAlign w:val="center"/>
          </w:tcPr>
          <w:p>
            <w:pPr>
              <w:jc w:val="right"/>
            </w:pPr>
            <w:r>
              <w:rPr>
                <w:rFonts w:ascii="宋体" w:hAnsi="宋体" w:eastAsia="宋体" w:cs="宋体"/>
                <w:b w:val="0"/>
                <w:i w:val="0"/>
                <w:color w:val="000000"/>
                <w:sz w:val="19"/>
              </w:rPr>
              <w:t>11.40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12.65</w:t>
            </w:r>
          </w:p>
        </w:tc>
        <w:tc>
          <w:tcPr>
            <w:tcW w:w="1600" w:type="dxa"/>
            <w:vAlign w:val="center"/>
          </w:tcPr>
          <w:p>
            <w:pPr>
              <w:jc w:val="right"/>
            </w:pPr>
            <w:r>
              <w:rPr>
                <w:rFonts w:ascii="宋体" w:hAnsi="宋体" w:eastAsia="宋体" w:cs="宋体"/>
                <w:b w:val="0"/>
                <w:i w:val="0"/>
                <w:color w:val="000000"/>
                <w:sz w:val="19"/>
              </w:rPr>
              <w:t>12.65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21.03</w:t>
            </w:r>
          </w:p>
        </w:tc>
        <w:tc>
          <w:tcPr>
            <w:tcW w:w="1600" w:type="dxa"/>
            <w:vAlign w:val="center"/>
          </w:tcPr>
          <w:p>
            <w:pPr>
              <w:jc w:val="right"/>
            </w:pPr>
            <w:r>
              <w:rPr>
                <w:rFonts w:ascii="宋体" w:hAnsi="宋体" w:eastAsia="宋体" w:cs="宋体"/>
                <w:b w:val="0"/>
                <w:i w:val="0"/>
                <w:color w:val="000000"/>
                <w:sz w:val="19"/>
              </w:rPr>
              <w:t>21.03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21.03</w:t>
            </w:r>
          </w:p>
        </w:tc>
        <w:tc>
          <w:tcPr>
            <w:tcW w:w="1600" w:type="dxa"/>
            <w:vAlign w:val="center"/>
          </w:tcPr>
          <w:p>
            <w:pPr>
              <w:jc w:val="right"/>
            </w:pPr>
            <w:r>
              <w:rPr>
                <w:rFonts w:ascii="宋体" w:hAnsi="宋体" w:eastAsia="宋体" w:cs="宋体"/>
                <w:b w:val="0"/>
                <w:i w:val="0"/>
                <w:color w:val="000000"/>
                <w:sz w:val="19"/>
              </w:rPr>
              <w:t>21.03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21.03</w:t>
            </w:r>
          </w:p>
        </w:tc>
        <w:tc>
          <w:tcPr>
            <w:tcW w:w="1600" w:type="dxa"/>
            <w:vAlign w:val="center"/>
          </w:tcPr>
          <w:p>
            <w:pPr>
              <w:jc w:val="right"/>
            </w:pPr>
            <w:r>
              <w:rPr>
                <w:rFonts w:ascii="宋体" w:hAnsi="宋体" w:eastAsia="宋体" w:cs="宋体"/>
                <w:b w:val="0"/>
                <w:i w:val="0"/>
                <w:color w:val="000000"/>
                <w:sz w:val="19"/>
              </w:rPr>
              <w:t>21.03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单位：中共许昌市委机构编制委员会办公室（本级）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540.32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398.55</w:t>
            </w:r>
          </w:p>
        </w:tc>
        <w:tc>
          <w:tcPr>
            <w:tcW w:w="1420" w:type="dxa"/>
            <w:vAlign w:val="center"/>
          </w:tcPr>
          <w:p>
            <w:pPr>
              <w:jc w:val="right"/>
            </w:pPr>
            <w:r>
              <w:rPr>
                <w:rFonts w:ascii="宋体" w:hAnsi="宋体" w:eastAsia="宋体" w:cs="宋体"/>
                <w:b w:val="0"/>
                <w:i w:val="0"/>
                <w:color w:val="000000"/>
                <w:sz w:val="18"/>
              </w:rPr>
              <w:t>398.55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94.45</w:t>
            </w:r>
          </w:p>
        </w:tc>
        <w:tc>
          <w:tcPr>
            <w:tcW w:w="1420" w:type="dxa"/>
            <w:vAlign w:val="center"/>
          </w:tcPr>
          <w:p>
            <w:pPr>
              <w:jc w:val="right"/>
            </w:pPr>
            <w:r>
              <w:rPr>
                <w:rFonts w:ascii="宋体" w:hAnsi="宋体" w:eastAsia="宋体" w:cs="宋体"/>
                <w:b w:val="0"/>
                <w:i w:val="0"/>
                <w:color w:val="000000"/>
                <w:sz w:val="18"/>
              </w:rPr>
              <w:t>94.45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24.05</w:t>
            </w:r>
          </w:p>
        </w:tc>
        <w:tc>
          <w:tcPr>
            <w:tcW w:w="1420" w:type="dxa"/>
            <w:vAlign w:val="center"/>
          </w:tcPr>
          <w:p>
            <w:pPr>
              <w:jc w:val="right"/>
            </w:pPr>
            <w:r>
              <w:rPr>
                <w:rFonts w:ascii="宋体" w:hAnsi="宋体" w:eastAsia="宋体" w:cs="宋体"/>
                <w:b w:val="0"/>
                <w:i w:val="0"/>
                <w:color w:val="000000"/>
                <w:sz w:val="18"/>
              </w:rPr>
              <w:t>24.05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21.03</w:t>
            </w:r>
          </w:p>
        </w:tc>
        <w:tc>
          <w:tcPr>
            <w:tcW w:w="1420" w:type="dxa"/>
            <w:vAlign w:val="center"/>
          </w:tcPr>
          <w:p>
            <w:pPr>
              <w:jc w:val="right"/>
            </w:pPr>
            <w:r>
              <w:rPr>
                <w:rFonts w:ascii="宋体" w:hAnsi="宋体" w:eastAsia="宋体" w:cs="宋体"/>
                <w:b w:val="0"/>
                <w:i w:val="0"/>
                <w:color w:val="000000"/>
                <w:sz w:val="18"/>
              </w:rPr>
              <w:t>21.03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540.32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540.32</w:t>
            </w:r>
          </w:p>
        </w:tc>
        <w:tc>
          <w:tcPr>
            <w:tcW w:w="1420" w:type="dxa"/>
            <w:vAlign w:val="center"/>
          </w:tcPr>
          <w:p>
            <w:pPr>
              <w:jc w:val="right"/>
            </w:pPr>
            <w:r>
              <w:rPr>
                <w:rFonts w:ascii="宋体" w:hAnsi="宋体" w:eastAsia="宋体" w:cs="宋体"/>
                <w:b w:val="0"/>
                <w:i w:val="0"/>
                <w:color w:val="000000"/>
                <w:sz w:val="18"/>
              </w:rPr>
              <w:t>540.32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540.32</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540.32</w:t>
            </w:r>
          </w:p>
        </w:tc>
        <w:tc>
          <w:tcPr>
            <w:tcW w:w="1420" w:type="dxa"/>
            <w:vAlign w:val="center"/>
          </w:tcPr>
          <w:p>
            <w:pPr>
              <w:jc w:val="right"/>
            </w:pPr>
            <w:r>
              <w:rPr>
                <w:rFonts w:ascii="宋体" w:hAnsi="宋体" w:eastAsia="宋体" w:cs="宋体"/>
                <w:b w:val="0"/>
                <w:i w:val="0"/>
                <w:color w:val="000000"/>
                <w:sz w:val="18"/>
              </w:rPr>
              <w:t>540.32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单位：中共许昌市委机构编制委员会办公室（本级）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540.32</w:t>
            </w:r>
          </w:p>
        </w:tc>
        <w:tc>
          <w:tcPr>
            <w:tcW w:w="2700" w:type="dxa"/>
            <w:vAlign w:val="center"/>
          </w:tcPr>
          <w:p>
            <w:pPr>
              <w:jc w:val="right"/>
            </w:pPr>
            <w:r>
              <w:rPr>
                <w:rFonts w:ascii="宋体" w:hAnsi="宋体" w:eastAsia="宋体" w:cs="宋体"/>
                <w:b/>
                <w:i w:val="0"/>
                <w:color w:val="000000"/>
                <w:sz w:val="25"/>
              </w:rPr>
              <w:t>538.07</w:t>
            </w:r>
          </w:p>
        </w:tc>
        <w:tc>
          <w:tcPr>
            <w:tcW w:w="2658" w:type="dxa"/>
            <w:vAlign w:val="center"/>
          </w:tcPr>
          <w:p>
            <w:pPr>
              <w:jc w:val="right"/>
            </w:pPr>
            <w:r>
              <w:rPr>
                <w:rFonts w:ascii="宋体" w:hAnsi="宋体" w:eastAsia="宋体" w:cs="宋体"/>
                <w:b/>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398.55</w:t>
            </w:r>
          </w:p>
        </w:tc>
        <w:tc>
          <w:tcPr>
            <w:tcW w:w="2700" w:type="dxa"/>
            <w:vAlign w:val="center"/>
          </w:tcPr>
          <w:p>
            <w:pPr>
              <w:jc w:val="right"/>
            </w:pPr>
            <w:r>
              <w:rPr>
                <w:rFonts w:ascii="宋体" w:hAnsi="宋体" w:eastAsia="宋体" w:cs="宋体"/>
                <w:b w:val="0"/>
                <w:i w:val="0"/>
                <w:color w:val="000000"/>
                <w:sz w:val="25"/>
              </w:rPr>
              <w:t>398.55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10.92</w:t>
            </w:r>
          </w:p>
        </w:tc>
        <w:tc>
          <w:tcPr>
            <w:tcW w:w="2700" w:type="dxa"/>
            <w:vAlign w:val="center"/>
          </w:tcPr>
          <w:p>
            <w:pPr>
              <w:jc w:val="right"/>
            </w:pPr>
            <w:r>
              <w:rPr>
                <w:rFonts w:ascii="宋体" w:hAnsi="宋体" w:eastAsia="宋体" w:cs="宋体"/>
                <w:b w:val="0"/>
                <w:i w:val="0"/>
                <w:color w:val="000000"/>
                <w:sz w:val="25"/>
              </w:rPr>
              <w:t>10.92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10.92</w:t>
            </w:r>
          </w:p>
        </w:tc>
        <w:tc>
          <w:tcPr>
            <w:tcW w:w="2700" w:type="dxa"/>
            <w:vAlign w:val="center"/>
          </w:tcPr>
          <w:p>
            <w:pPr>
              <w:jc w:val="right"/>
            </w:pPr>
            <w:r>
              <w:rPr>
                <w:rFonts w:ascii="宋体" w:hAnsi="宋体" w:eastAsia="宋体" w:cs="宋体"/>
                <w:b w:val="0"/>
                <w:i w:val="0"/>
                <w:color w:val="000000"/>
                <w:sz w:val="25"/>
              </w:rPr>
              <w:t>10.92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2.04</w:t>
            </w:r>
          </w:p>
        </w:tc>
        <w:tc>
          <w:tcPr>
            <w:tcW w:w="2700" w:type="dxa"/>
            <w:vAlign w:val="center"/>
          </w:tcPr>
          <w:p>
            <w:pPr>
              <w:jc w:val="right"/>
            </w:pPr>
            <w:r>
              <w:rPr>
                <w:rFonts w:ascii="宋体" w:hAnsi="宋体" w:eastAsia="宋体" w:cs="宋体"/>
                <w:b w:val="0"/>
                <w:i w:val="0"/>
                <w:color w:val="000000"/>
                <w:sz w:val="25"/>
              </w:rPr>
              <w:t>2.04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2.04</w:t>
            </w:r>
          </w:p>
        </w:tc>
        <w:tc>
          <w:tcPr>
            <w:tcW w:w="2700" w:type="dxa"/>
            <w:vAlign w:val="center"/>
          </w:tcPr>
          <w:p>
            <w:pPr>
              <w:jc w:val="right"/>
            </w:pPr>
            <w:r>
              <w:rPr>
                <w:rFonts w:ascii="宋体" w:hAnsi="宋体" w:eastAsia="宋体" w:cs="宋体"/>
                <w:b w:val="0"/>
                <w:i w:val="0"/>
                <w:color w:val="000000"/>
                <w:sz w:val="25"/>
              </w:rPr>
              <w:t>2.04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367.30</w:t>
            </w:r>
          </w:p>
        </w:tc>
        <w:tc>
          <w:tcPr>
            <w:tcW w:w="2700" w:type="dxa"/>
            <w:vAlign w:val="center"/>
          </w:tcPr>
          <w:p>
            <w:pPr>
              <w:jc w:val="right"/>
            </w:pPr>
            <w:r>
              <w:rPr>
                <w:rFonts w:ascii="宋体" w:hAnsi="宋体" w:eastAsia="宋体" w:cs="宋体"/>
                <w:b w:val="0"/>
                <w:i w:val="0"/>
                <w:color w:val="000000"/>
                <w:sz w:val="25"/>
              </w:rPr>
              <w:t>367.30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365.65</w:t>
            </w:r>
          </w:p>
        </w:tc>
        <w:tc>
          <w:tcPr>
            <w:tcW w:w="2700" w:type="dxa"/>
            <w:vAlign w:val="center"/>
          </w:tcPr>
          <w:p>
            <w:pPr>
              <w:jc w:val="right"/>
            </w:pPr>
            <w:r>
              <w:rPr>
                <w:rFonts w:ascii="宋体" w:hAnsi="宋体" w:eastAsia="宋体" w:cs="宋体"/>
                <w:b w:val="0"/>
                <w:i w:val="0"/>
                <w:color w:val="000000"/>
                <w:sz w:val="25"/>
              </w:rPr>
              <w:t>365.65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1.65</w:t>
            </w:r>
          </w:p>
        </w:tc>
        <w:tc>
          <w:tcPr>
            <w:tcW w:w="2700" w:type="dxa"/>
            <w:vAlign w:val="center"/>
          </w:tcPr>
          <w:p>
            <w:pPr>
              <w:jc w:val="right"/>
            </w:pPr>
            <w:r>
              <w:rPr>
                <w:rFonts w:ascii="宋体" w:hAnsi="宋体" w:eastAsia="宋体" w:cs="宋体"/>
                <w:b w:val="0"/>
                <w:i w:val="0"/>
                <w:color w:val="000000"/>
                <w:sz w:val="25"/>
              </w:rPr>
              <w:t>1.65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18.29</w:t>
            </w:r>
          </w:p>
        </w:tc>
        <w:tc>
          <w:tcPr>
            <w:tcW w:w="2700" w:type="dxa"/>
            <w:vAlign w:val="center"/>
          </w:tcPr>
          <w:p>
            <w:pPr>
              <w:jc w:val="right"/>
            </w:pPr>
            <w:r>
              <w:rPr>
                <w:rFonts w:ascii="宋体" w:hAnsi="宋体" w:eastAsia="宋体" w:cs="宋体"/>
                <w:b w:val="0"/>
                <w:i w:val="0"/>
                <w:color w:val="000000"/>
                <w:sz w:val="25"/>
              </w:rPr>
              <w:t>18.29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18.29</w:t>
            </w:r>
          </w:p>
        </w:tc>
        <w:tc>
          <w:tcPr>
            <w:tcW w:w="2700" w:type="dxa"/>
            <w:vAlign w:val="center"/>
          </w:tcPr>
          <w:p>
            <w:pPr>
              <w:jc w:val="right"/>
            </w:pPr>
            <w:r>
              <w:rPr>
                <w:rFonts w:ascii="宋体" w:hAnsi="宋体" w:eastAsia="宋体" w:cs="宋体"/>
                <w:b w:val="0"/>
                <w:i w:val="0"/>
                <w:color w:val="000000"/>
                <w:sz w:val="25"/>
              </w:rPr>
              <w:t>18.29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94.45</w:t>
            </w:r>
          </w:p>
        </w:tc>
        <w:tc>
          <w:tcPr>
            <w:tcW w:w="2700" w:type="dxa"/>
            <w:vAlign w:val="center"/>
          </w:tcPr>
          <w:p>
            <w:pPr>
              <w:jc w:val="right"/>
            </w:pPr>
            <w:r>
              <w:rPr>
                <w:rFonts w:ascii="宋体" w:hAnsi="宋体" w:eastAsia="宋体" w:cs="宋体"/>
                <w:b w:val="0"/>
                <w:i w:val="0"/>
                <w:color w:val="000000"/>
                <w:sz w:val="25"/>
              </w:rPr>
              <w:t>94.45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94.45</w:t>
            </w:r>
          </w:p>
        </w:tc>
        <w:tc>
          <w:tcPr>
            <w:tcW w:w="2700" w:type="dxa"/>
            <w:vAlign w:val="center"/>
          </w:tcPr>
          <w:p>
            <w:pPr>
              <w:jc w:val="right"/>
            </w:pPr>
            <w:r>
              <w:rPr>
                <w:rFonts w:ascii="宋体" w:hAnsi="宋体" w:eastAsia="宋体" w:cs="宋体"/>
                <w:b w:val="0"/>
                <w:i w:val="0"/>
                <w:color w:val="000000"/>
                <w:sz w:val="25"/>
              </w:rPr>
              <w:t>94.45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71.22</w:t>
            </w:r>
          </w:p>
        </w:tc>
        <w:tc>
          <w:tcPr>
            <w:tcW w:w="2700" w:type="dxa"/>
            <w:vAlign w:val="center"/>
          </w:tcPr>
          <w:p>
            <w:pPr>
              <w:jc w:val="right"/>
            </w:pPr>
            <w:r>
              <w:rPr>
                <w:rFonts w:ascii="宋体" w:hAnsi="宋体" w:eastAsia="宋体" w:cs="宋体"/>
                <w:b w:val="0"/>
                <w:i w:val="0"/>
                <w:color w:val="000000"/>
                <w:sz w:val="25"/>
              </w:rPr>
              <w:t>71.22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23.23</w:t>
            </w:r>
          </w:p>
        </w:tc>
        <w:tc>
          <w:tcPr>
            <w:tcW w:w="2700" w:type="dxa"/>
            <w:vAlign w:val="center"/>
          </w:tcPr>
          <w:p>
            <w:pPr>
              <w:jc w:val="right"/>
            </w:pPr>
            <w:r>
              <w:rPr>
                <w:rFonts w:ascii="宋体" w:hAnsi="宋体" w:eastAsia="宋体" w:cs="宋体"/>
                <w:b w:val="0"/>
                <w:i w:val="0"/>
                <w:color w:val="000000"/>
                <w:sz w:val="25"/>
              </w:rPr>
              <w:t>23.23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24.05</w:t>
            </w:r>
          </w:p>
        </w:tc>
        <w:tc>
          <w:tcPr>
            <w:tcW w:w="2700" w:type="dxa"/>
            <w:vAlign w:val="center"/>
          </w:tcPr>
          <w:p>
            <w:pPr>
              <w:jc w:val="right"/>
            </w:pPr>
            <w:r>
              <w:rPr>
                <w:rFonts w:ascii="宋体" w:hAnsi="宋体" w:eastAsia="宋体" w:cs="宋体"/>
                <w:b w:val="0"/>
                <w:i w:val="0"/>
                <w:color w:val="000000"/>
                <w:sz w:val="25"/>
              </w:rPr>
              <w:t>24.05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24.05</w:t>
            </w:r>
          </w:p>
        </w:tc>
        <w:tc>
          <w:tcPr>
            <w:tcW w:w="2700" w:type="dxa"/>
            <w:vAlign w:val="center"/>
          </w:tcPr>
          <w:p>
            <w:pPr>
              <w:jc w:val="right"/>
            </w:pPr>
            <w:r>
              <w:rPr>
                <w:rFonts w:ascii="宋体" w:hAnsi="宋体" w:eastAsia="宋体" w:cs="宋体"/>
                <w:b w:val="0"/>
                <w:i w:val="0"/>
                <w:color w:val="000000"/>
                <w:sz w:val="25"/>
              </w:rPr>
              <w:t>24.05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11.40</w:t>
            </w:r>
          </w:p>
        </w:tc>
        <w:tc>
          <w:tcPr>
            <w:tcW w:w="2700" w:type="dxa"/>
            <w:vAlign w:val="center"/>
          </w:tcPr>
          <w:p>
            <w:pPr>
              <w:jc w:val="right"/>
            </w:pPr>
            <w:r>
              <w:rPr>
                <w:rFonts w:ascii="宋体" w:hAnsi="宋体" w:eastAsia="宋体" w:cs="宋体"/>
                <w:b w:val="0"/>
                <w:i w:val="0"/>
                <w:color w:val="000000"/>
                <w:sz w:val="25"/>
              </w:rPr>
              <w:t>11.40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12.65</w:t>
            </w:r>
          </w:p>
        </w:tc>
        <w:tc>
          <w:tcPr>
            <w:tcW w:w="2700" w:type="dxa"/>
            <w:vAlign w:val="center"/>
          </w:tcPr>
          <w:p>
            <w:pPr>
              <w:jc w:val="right"/>
            </w:pPr>
            <w:r>
              <w:rPr>
                <w:rFonts w:ascii="宋体" w:hAnsi="宋体" w:eastAsia="宋体" w:cs="宋体"/>
                <w:b w:val="0"/>
                <w:i w:val="0"/>
                <w:color w:val="000000"/>
                <w:sz w:val="25"/>
              </w:rPr>
              <w:t>12.65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21.03</w:t>
            </w:r>
          </w:p>
        </w:tc>
        <w:tc>
          <w:tcPr>
            <w:tcW w:w="2700" w:type="dxa"/>
            <w:vAlign w:val="center"/>
          </w:tcPr>
          <w:p>
            <w:pPr>
              <w:jc w:val="right"/>
            </w:pPr>
            <w:r>
              <w:rPr>
                <w:rFonts w:ascii="宋体" w:hAnsi="宋体" w:eastAsia="宋体" w:cs="宋体"/>
                <w:b w:val="0"/>
                <w:i w:val="0"/>
                <w:color w:val="000000"/>
                <w:sz w:val="25"/>
              </w:rPr>
              <w:t>21.03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21.03</w:t>
            </w:r>
          </w:p>
        </w:tc>
        <w:tc>
          <w:tcPr>
            <w:tcW w:w="2700" w:type="dxa"/>
            <w:vAlign w:val="center"/>
          </w:tcPr>
          <w:p>
            <w:pPr>
              <w:jc w:val="right"/>
            </w:pPr>
            <w:r>
              <w:rPr>
                <w:rFonts w:ascii="宋体" w:hAnsi="宋体" w:eastAsia="宋体" w:cs="宋体"/>
                <w:b w:val="0"/>
                <w:i w:val="0"/>
                <w:color w:val="000000"/>
                <w:sz w:val="25"/>
              </w:rPr>
              <w:t>21.03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21.03</w:t>
            </w:r>
          </w:p>
        </w:tc>
        <w:tc>
          <w:tcPr>
            <w:tcW w:w="2700" w:type="dxa"/>
            <w:vAlign w:val="center"/>
          </w:tcPr>
          <w:p>
            <w:pPr>
              <w:jc w:val="right"/>
            </w:pPr>
            <w:r>
              <w:rPr>
                <w:rFonts w:ascii="宋体" w:hAnsi="宋体" w:eastAsia="宋体" w:cs="宋体"/>
                <w:b w:val="0"/>
                <w:i w:val="0"/>
                <w:color w:val="000000"/>
                <w:sz w:val="25"/>
              </w:rPr>
              <w:t>21.03</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单位：中共许昌市委机构编制委员会办公室（本级）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408.44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56.61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11.08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11.84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190.96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3.15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137.92</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23.23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1.22</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11.40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12.65</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0.40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0.18</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6.18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21.03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0.11</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71.22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0.27</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0.58</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71.22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1.49</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2.04</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2.52</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6.28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20.54</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479.67</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58.41</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单位：中共许昌市委机构编制委员会办公室（本级）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单位：中共许昌市委机构编制委员会办公室（本级）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单位：中共许昌市委机构编制委员会办公室（本级）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6.28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6.28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6.28</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2023年度收、支总计均为540.32万元。与上年度相比，收、支总计各增加20.40万元，增长3.92%。主要原因是2023年度通过军转、调入、新招录途径新进3人，增加相应资金支出。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540.32万元，其中：财政拨款收入540.32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2023年度支出合计540.32万元，其中：基本支出538.07万元，占99.58%；项目支出2.25万元，占0.42%；上缴上级支出0.00万元，占0.00%；经营支出0.00万元，占0.00%；对附属单位补助支出0.00万元，占0.00%。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2023年度财政拨款收、支总计均为540.32万元。与上年度相比，财政拨款收、支总计各增加20.40万元，增长3.92%。主要原因是2023年度通过军转、调入、新招录途径新进3人，增加相应资金支出。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540.32万元，占支出合计的100.00%。与上年度相比，一般公共预算财政拨款支出增加20.40万元，增长3.92%。主要原因是2023年度通过军转、调入、新招录途径新进3人，增加相应资金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540.32万元，主要用于以下方面：一般公共服务支出（类）398.55万元，占73.76%；社会保障和就业支出（类）94.45万元，占17.48%；卫生健康支出（类）24.05万元，占4.45%；农林水支出（类）2.25万元，占0.42%；住房保障支出（类）21.03万元，占3.89%。</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2023年度一般公共预算财政拨款支出年初预算为615.42万元，支出决算为540.32万元，完成年初预算的87.80%。其中：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1.一般公共服务支出（类）人大事务（款）行政运行（项）</w:t>
      </w:r>
      <w:r>
        <w:rPr>
          <w:rFonts w:hint="eastAsia" w:ascii="仿宋_GB2312" w:hAnsi="仿宋_GB2312" w:eastAsia="仿宋_GB2312" w:cs="仿宋_GB2312"/>
          <w:kern w:val="2"/>
          <w:sz w:val="32"/>
          <w:szCs w:val="32"/>
          <w:lang w:val="en-US" w:eastAsia="zh-CN"/>
        </w:rPr>
        <w:t>年初预算数为10.92万元，决算数10.92万元,完成年初预算的100.00%，决算数与年初预算数不存在差异。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2"/>
          <w:sz w:val="32"/>
          <w:szCs w:val="32"/>
          <w:lang w:val="en-US" w:eastAsia="zh-CN"/>
        </w:rPr>
        <w:t>年初预算数为2.04万元，决算数2.04万元,完成年初预算的100.00%，决算数与年初预算数不存在差异。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3.一般公共服务支出（类）组织事务（款）行政运行（项）</w:t>
      </w:r>
      <w:r>
        <w:rPr>
          <w:rFonts w:hint="eastAsia" w:ascii="仿宋_GB2312" w:hAnsi="仿宋_GB2312" w:eastAsia="仿宋_GB2312" w:cs="仿宋_GB2312"/>
          <w:kern w:val="2"/>
          <w:sz w:val="32"/>
          <w:szCs w:val="32"/>
          <w:lang w:val="en-US" w:eastAsia="zh-CN"/>
        </w:rPr>
        <w:t>年初预算数为353.65万元，决算数365.65万元,完成年初预算的103.39%，决算数与年初预算数存在差异的主要原因是2023年度通过军转、调入、新招录途径新进3人，增加相应资金支出。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4.一般公共服务支出（类）组织事务（款）事业运行（项）</w:t>
      </w:r>
      <w:r>
        <w:rPr>
          <w:rFonts w:hint="eastAsia" w:ascii="仿宋_GB2312" w:hAnsi="仿宋_GB2312" w:eastAsia="仿宋_GB2312" w:cs="仿宋_GB2312"/>
          <w:kern w:val="2"/>
          <w:sz w:val="32"/>
          <w:szCs w:val="32"/>
          <w:lang w:val="en-US" w:eastAsia="zh-CN"/>
        </w:rPr>
        <w:t>年初预算数为1.65万元，决算数1.65万元,完成年初预算的100.00%，决算数与年初预算数不存在差异。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年初预算数为18.29万元，决算数18.29万元,完成年初预算的100.00%，决算数与年初预算数不存在差异。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年初预算数为54.18万元，决算数71.22万元,完成年初预算的131.45%，决算数与年初预算数存在差异的主要原因是2023年度新增退休人员3人，增加行政单位离退休支出。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年初预算数为23.53万元，决算数23.23万元,完成年初预算的98.73%，决算数与年初预算数存在差异的主要原因是2023年度新增退休人员3人，减少基本养老保险缴费支出。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8.卫生健康支出（类）行政事业单位医疗（款）行政单位医疗（项）</w:t>
      </w:r>
      <w:r>
        <w:rPr>
          <w:rFonts w:hint="eastAsia" w:ascii="仿宋_GB2312" w:hAnsi="仿宋_GB2312" w:eastAsia="仿宋_GB2312" w:cs="仿宋_GB2312"/>
          <w:kern w:val="2"/>
          <w:sz w:val="32"/>
          <w:szCs w:val="32"/>
          <w:lang w:val="en-US" w:eastAsia="zh-CN"/>
        </w:rPr>
        <w:t>年初预算数为12.34万元，决算数11.40万元,完成年初预算的92.38%，决算数与年初预算数存在差异的主要原因是2023年度新增退休人员3人，减少行政单位医疗支出。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9.卫生健康支出（类）行政事业单位医疗（款）公务员医疗补助（项）</w:t>
      </w:r>
      <w:r>
        <w:rPr>
          <w:rFonts w:hint="eastAsia" w:ascii="仿宋_GB2312" w:hAnsi="仿宋_GB2312" w:eastAsia="仿宋_GB2312" w:cs="仿宋_GB2312"/>
          <w:kern w:val="2"/>
          <w:sz w:val="32"/>
          <w:szCs w:val="32"/>
          <w:lang w:val="en-US" w:eastAsia="zh-CN"/>
        </w:rPr>
        <w:t>年初预算数为13.71万元，决算数12.65万元,完成年初预算的92.27%，决算数与年初预算数存在差异的主要原因是2023年度新增退休人员3人，减少公务员医疗补助支出。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10.农林水支出（类）巩固脱贫攻坚成果衔接乡村振兴（款）一般行政管理事务（项）</w:t>
      </w:r>
      <w:r>
        <w:rPr>
          <w:rFonts w:hint="eastAsia" w:ascii="仿宋_GB2312" w:hAnsi="仿宋_GB2312" w:eastAsia="仿宋_GB2312" w:cs="仿宋_GB2312"/>
          <w:kern w:val="2"/>
          <w:sz w:val="32"/>
          <w:szCs w:val="32"/>
          <w:lang w:val="en-US" w:eastAsia="zh-CN"/>
        </w:rPr>
        <w:t>年初预算数为2.25万元，决算数2.25万元,完成年初预算的100.00%，决算数与年初预算数不存在差异。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11.住房保障支出（类）住房改革支出（款）住房公积金（项）</w:t>
      </w:r>
      <w:r>
        <w:rPr>
          <w:rFonts w:hint="eastAsia" w:ascii="仿宋_GB2312" w:hAnsi="仿宋_GB2312" w:eastAsia="仿宋_GB2312" w:cs="仿宋_GB2312"/>
          <w:kern w:val="2"/>
          <w:sz w:val="32"/>
          <w:szCs w:val="32"/>
          <w:lang w:val="en-US" w:eastAsia="zh-CN"/>
        </w:rPr>
        <w:t>年初预算数为23.51万元，决算数21.03万元,完成年初预算的89.45%，决算数与年初预算数存在差异的主要原因是2023年度新增退休人员3人，减少住房公积金支出。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538.07万元。其中：人员经费479.67万元，主要包括：基本工资、津贴补贴、奖金、机关事业单位基本养老保险缴费、职工基本医疗保险缴费、公务员医疗补助缴费、其他社会保障缴费、住房公积金、退休费。公用经费58.41万元，主要包括：办公费、印刷费、邮电费、物业管理费、差旅费、维修（护）费、会议费、培训费、劳务费、工会经费、福利费、公务用车运行维护费、其他交通费用、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2023年度“三公”经费财政拨款支出预算为8.00万元，支出决算为6.28万元，完成预算的78.50%。2023年度“三公”经费支出决算数与预算数存在差异的主要原因是践行厉行节约相关要求，着力压减“三公”经费开支。</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6.28万元,完成预算的78.50%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预算为8.00万元，支出决算为6.28万元，完成预算的78.50%。决算数与预算数存在差异的主要原因是践行厉行节约相关要求，着力压减公务用车购置及运行费开支。其中：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6.28万元。主要用于支付公务用车日常维修、油料消耗及车辆保险。2023年期末，单位开支财政拨款的公务用车保有量为</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2023年度机关运行经费支出58.41万元，较2022年度增长4.46万元，增长8.27%，主要原因是2023年度通过军转、调入、新招录途径新进3人，增加相应资金支出。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2023年期末，本单位共有车辆2辆，其中：省级领导干部用车0辆、主要领导干部用车0辆、机要通信用车0辆、应急保障车0辆、执法执勤用车0辆、特种专业技术用车0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辆、离退休干部用车0辆、其他用车2辆；单价100万元（含）以上设备（不含车辆）0台（套）。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涉及预算资金540.32万元。自评得分为100分，等级为“优”。从单位整体自评情况来看，本单位整体绩效自评结果为优。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基于项目预期目标的实现程度，我单位对2023年度单位预算项目支出（含单位参与分配的转移支付项目）开展绩效自评，涉及项目1个，项目金额2.25万元。其中：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1、2023年许昌市派驻村第一书记补助经费，自评得分为100分，等级为“优”。预算执行率100%，项目按时完成，成效显著，项目开展过程中未发现问题，下一步将结合目前完成情况完善办事流程，提高效率，节省成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从项目绩效自评情况来看，本单位项目绩效自评结果为优。</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2298"/>
        <w:gridCol w:w="298"/>
        <w:gridCol w:w="298"/>
        <w:gridCol w:w="2238"/>
        <w:gridCol w:w="1431"/>
        <w:gridCol w:w="893"/>
        <w:gridCol w:w="572"/>
        <w:gridCol w:w="572"/>
        <w:gridCol w:w="756"/>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516.07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sz w:val="18"/>
                <w:szCs w:val="18"/>
                <w:u w:val="none"/>
                <w:lang w:val="en-US"/>
              </w:rPr>
              <w:t>540.32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540.32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516.07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540.32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540.32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sz w:val="18"/>
                <w:szCs w:val="18"/>
                <w:u w:val="none"/>
                <w:lang w:val="en-US"/>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sz w:val="18"/>
                <w:szCs w:val="18"/>
                <w:u w:val="none"/>
                <w:lang w:val="en-US"/>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sz w:val="18"/>
                <w:szCs w:val="18"/>
                <w:u w:val="none"/>
                <w:lang w:val="en-US"/>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sz w:val="18"/>
                <w:szCs w:val="18"/>
                <w:u w:val="none"/>
                <w:lang w:val="en-US"/>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紧紧围绕市委市政府中心工作，落实省委编办、市委编委交办的各项任务，以关系经济发展、社会民生领域的机构编制事项为重点，统筹推进各类改革、探索推进编制资源使用新方式、持续推进机构编制管理规范化等相关工作，优化体制机制，完善职能体系，为我市经济社会发展提供坚强有力的体制机制保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各项任务按时完成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适时开展机构编制管理评估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对部门（单位）“三定”规定及相关机构编制批复等文件执行情况、使用效益情况进行评估。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持续深化事业单位改革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加快推进政事分开、事企分开、管办分离，优化布局结构，完善制度机制，强化公益属性，提高治理效能，促进新时代公益事业平衡充分高质量发展。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事业单位重塑性改革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实现改革目标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全市机构编制管理正规有序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8"/>
        <w:gridCol w:w="357"/>
        <w:gridCol w:w="1093"/>
        <w:gridCol w:w="769"/>
        <w:gridCol w:w="3193"/>
        <w:gridCol w:w="2459"/>
        <w:gridCol w:w="719"/>
        <w:gridCol w:w="524"/>
        <w:gridCol w:w="50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项目单位自评表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2023</w:t>
            </w:r>
            <w:r>
              <w:rPr>
                <w:rFonts w:hint="eastAsia" w:ascii="宋体" w:hAnsi="宋体" w:eastAsia="宋体" w:cs="宋体"/>
                <w:i w:val="0"/>
                <w:iCs w:val="0"/>
                <w:color w:val="000000"/>
                <w:kern w:val="0"/>
                <w:sz w:val="24"/>
                <w:szCs w:val="24"/>
                <w:u w:val="none"/>
                <w:lang w:val="en-US" w:eastAsia="zh-CN" w:bidi="en-AU"/>
              </w:rPr>
              <w:t>年许昌市派驻村第一书记补助经费（基本运转支出）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中共许昌市委机构编制委员会办公室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en-AU"/>
              </w:rPr>
            </w:pPr>
            <w:r>
              <w:rPr>
                <w:rFonts w:hint="eastAsia" w:ascii="宋体" w:hAnsi="宋体" w:eastAsia="宋体" w:cs="宋体"/>
                <w:i w:val="0"/>
                <w:iCs w:val="0"/>
                <w:color w:val="000000"/>
                <w:kern w:val="0"/>
                <w:sz w:val="24"/>
                <w:szCs w:val="24"/>
                <w:u w:val="none"/>
                <w:lang w:val="en-US" w:eastAsia="zh-CN" w:bidi="en-AU"/>
              </w:rPr>
              <w:t>中共许昌市委机构编制</w:t>
            </w:r>
            <w:r>
              <w:rPr>
                <w:rFonts w:hint="eastAsia" w:ascii="宋体" w:hAnsi="宋体" w:cs="宋体"/>
                <w:i w:val="0"/>
                <w:iCs w:val="0"/>
                <w:color w:val="000000"/>
                <w:kern w:val="0"/>
                <w:sz w:val="24"/>
                <w:szCs w:val="24"/>
                <w:u w:val="none"/>
                <w:lang w:val="en-US" w:eastAsia="zh-CN" w:bidi="en-AU"/>
              </w:rPr>
              <w:t>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en-AU"/>
              </w:rPr>
              <w:t xml:space="preserve"> </w:t>
            </w:r>
            <w:r>
              <w:rPr>
                <w:rStyle w:val="14"/>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100</w:t>
            </w:r>
            <w:r>
              <w:rPr>
                <w:rFonts w:hint="eastAsia" w:ascii="宋体" w:hAnsi="宋体" w:eastAsia="宋体" w:cs="宋体"/>
                <w:i w:val="0"/>
                <w:iCs w:val="0"/>
                <w:color w:val="000000"/>
                <w:kern w:val="0"/>
                <w:sz w:val="24"/>
                <w:szCs w:val="24"/>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100</w:t>
            </w:r>
            <w:r>
              <w:rPr>
                <w:rFonts w:hint="eastAsia" w:ascii="宋体" w:hAnsi="宋体" w:eastAsia="宋体" w:cs="宋体"/>
                <w:i w:val="0"/>
                <w:iCs w:val="0"/>
                <w:color w:val="000000"/>
                <w:kern w:val="0"/>
                <w:sz w:val="24"/>
                <w:szCs w:val="24"/>
                <w:u w:val="none"/>
                <w:lang w:val="en-US" w:eastAsia="zh-CN" w:bidi="en-AU"/>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按照中央、省委编办下达的有关工作任务，许昌市派驻村第一书记</w:t>
            </w:r>
            <w:r>
              <w:rPr>
                <w:rFonts w:hint="eastAsia" w:ascii="宋体" w:hAnsi="宋体" w:cs="宋体"/>
                <w:i w:val="0"/>
                <w:iCs w:val="0"/>
                <w:color w:val="000000"/>
                <w:kern w:val="0"/>
                <w:sz w:val="24"/>
                <w:szCs w:val="24"/>
                <w:u w:val="none"/>
                <w:lang w:val="en-US" w:eastAsia="zh-CN" w:bidi="en-AU"/>
              </w:rPr>
              <w:t>做好巩固脱贫攻坚成果，衔接乡村振兴工作。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完成</w:t>
            </w:r>
            <w:r>
              <w:rPr>
                <w:rFonts w:hint="eastAsia" w:ascii="宋体" w:hAnsi="宋体" w:cs="宋体"/>
                <w:i w:val="0"/>
                <w:iCs w:val="0"/>
                <w:color w:val="000000"/>
                <w:kern w:val="0"/>
                <w:sz w:val="24"/>
                <w:szCs w:val="24"/>
                <w:u w:val="none"/>
                <w:lang w:val="en-US" w:eastAsia="zh-CN" w:bidi="en-AU"/>
              </w:rPr>
              <w:t>100</w:t>
            </w: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指标1：</w:t>
            </w:r>
            <w:r>
              <w:rPr>
                <w:rFonts w:hint="eastAsia" w:ascii="宋体" w:hAnsi="宋体" w:cs="宋体"/>
                <w:i w:val="0"/>
                <w:iCs w:val="0"/>
                <w:color w:val="000000"/>
                <w:kern w:val="0"/>
                <w:sz w:val="24"/>
                <w:szCs w:val="24"/>
                <w:u w:val="none"/>
                <w:lang w:val="en-US" w:eastAsia="zh-CN" w:bidi="en-AU"/>
              </w:rPr>
              <w:t>脱贫攻坚成果巩固经费</w:t>
            </w:r>
            <w:r>
              <w:rPr>
                <w:rFonts w:hint="eastAsia" w:ascii="宋体" w:hAnsi="宋体" w:eastAsia="宋体" w:cs="宋体"/>
                <w:i w:val="0"/>
                <w:iCs w:val="0"/>
                <w:color w:val="000000"/>
                <w:kern w:val="0"/>
                <w:sz w:val="24"/>
                <w:szCs w:val="24"/>
                <w:u w:val="none"/>
                <w:lang w:val="en-US" w:eastAsia="zh-CN" w:bidi="en-AU"/>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2.25</w:t>
            </w:r>
            <w:r>
              <w:rPr>
                <w:rFonts w:hint="eastAsia" w:ascii="宋体" w:hAnsi="宋体" w:eastAsia="宋体" w:cs="宋体"/>
                <w:i w:val="0"/>
                <w:iCs w:val="0"/>
                <w:color w:val="000000"/>
                <w:kern w:val="0"/>
                <w:sz w:val="24"/>
                <w:szCs w:val="24"/>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2.25</w:t>
            </w:r>
            <w:r>
              <w:rPr>
                <w:rFonts w:hint="eastAsia" w:ascii="宋体" w:hAnsi="宋体" w:eastAsia="宋体" w:cs="宋体"/>
                <w:i w:val="0"/>
                <w:iCs w:val="0"/>
                <w:color w:val="000000"/>
                <w:kern w:val="0"/>
                <w:sz w:val="24"/>
                <w:szCs w:val="24"/>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巩固脱贫攻坚成果，衔接乡村振兴举措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3</w:t>
            </w:r>
            <w:r>
              <w:rPr>
                <w:rFonts w:hint="eastAsia" w:ascii="宋体" w:hAnsi="宋体" w:eastAsia="宋体" w:cs="宋体"/>
                <w:i w:val="0"/>
                <w:iCs w:val="0"/>
                <w:color w:val="000000"/>
                <w:kern w:val="0"/>
                <w:sz w:val="24"/>
                <w:szCs w:val="24"/>
                <w:u w:val="none"/>
                <w:lang w:val="en-US" w:eastAsia="zh-CN" w:bidi="en-AU"/>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3</w:t>
            </w:r>
            <w:r>
              <w:rPr>
                <w:rFonts w:hint="eastAsia" w:ascii="宋体" w:hAnsi="宋体" w:eastAsia="宋体" w:cs="宋体"/>
                <w:i w:val="0"/>
                <w:iCs w:val="0"/>
                <w:color w:val="000000"/>
                <w:kern w:val="0"/>
                <w:sz w:val="24"/>
                <w:szCs w:val="24"/>
                <w:u w:val="none"/>
                <w:lang w:val="en-US" w:eastAsia="zh-CN" w:bidi="en-AU"/>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巩固脱贫攻坚成果情况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巩固脱贫攻坚成果</w:t>
            </w:r>
            <w:r>
              <w:rPr>
                <w:rFonts w:hint="eastAsia" w:ascii="宋体" w:hAnsi="宋体" w:eastAsia="宋体" w:cs="宋体"/>
                <w:i w:val="0"/>
                <w:iCs w:val="0"/>
                <w:color w:val="000000"/>
                <w:kern w:val="0"/>
                <w:sz w:val="24"/>
                <w:szCs w:val="24"/>
                <w:u w:val="none"/>
                <w:lang w:val="en-US" w:eastAsia="zh-CN" w:bidi="en-AU"/>
              </w:rPr>
              <w:t>完成时效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巩固脱贫攻坚成果举措</w:t>
            </w:r>
            <w:r>
              <w:rPr>
                <w:rFonts w:hint="eastAsia" w:ascii="宋体" w:hAnsi="宋体" w:eastAsia="宋体" w:cs="宋体"/>
                <w:i w:val="0"/>
                <w:iCs w:val="0"/>
                <w:color w:val="000000"/>
                <w:kern w:val="0"/>
                <w:sz w:val="24"/>
                <w:szCs w:val="24"/>
                <w:u w:val="none"/>
                <w:lang w:val="en-US" w:eastAsia="zh-CN" w:bidi="en-AU"/>
              </w:rPr>
              <w:t>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2023年9月底前完成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通过各种网络信息化渠道</w:t>
            </w:r>
            <w:r>
              <w:rPr>
                <w:rFonts w:hint="eastAsia" w:ascii="宋体" w:hAnsi="宋体" w:cs="宋体"/>
                <w:i w:val="0"/>
                <w:iCs w:val="0"/>
                <w:color w:val="000000"/>
                <w:kern w:val="0"/>
                <w:sz w:val="24"/>
                <w:szCs w:val="24"/>
                <w:u w:val="none"/>
                <w:lang w:val="en-US" w:eastAsia="zh-CN" w:bidi="en-AU"/>
              </w:rPr>
              <w:t>及线下渠道争取外界支持，助力乡村振兴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持续开展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w:t>
            </w:r>
            <w:r>
              <w:rPr>
                <w:rFonts w:hint="eastAsia" w:ascii="宋体" w:hAnsi="宋体" w:cs="宋体"/>
                <w:i w:val="0"/>
                <w:iCs w:val="0"/>
                <w:color w:val="000000"/>
                <w:kern w:val="0"/>
                <w:sz w:val="24"/>
                <w:szCs w:val="24"/>
                <w:u w:val="none"/>
                <w:lang w:val="en-US" w:eastAsia="zh-CN" w:bidi="en-AU"/>
              </w:rPr>
              <w:t>人民群众</w:t>
            </w:r>
            <w:r>
              <w:rPr>
                <w:rFonts w:hint="eastAsia" w:ascii="宋体" w:hAnsi="宋体" w:eastAsia="宋体" w:cs="宋体"/>
                <w:i w:val="0"/>
                <w:iCs w:val="0"/>
                <w:color w:val="000000"/>
                <w:kern w:val="0"/>
                <w:sz w:val="24"/>
                <w:szCs w:val="24"/>
                <w:u w:val="none"/>
                <w:lang w:val="en-US" w:eastAsia="zh-CN" w:bidi="en-AU"/>
              </w:rPr>
              <w:t xml:space="preserve">满意度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sectPr>
          <w:pgSz w:w="11906" w:h="16838"/>
          <w:pgMar w:top="720" w:right="720" w:bottom="720" w:left="72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ffDKE+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5A67"/>
    <w:multiLevelType w:val="multilevel"/>
    <w:tmpl w:val="FBFD5A6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FBFEBF0"/>
    <w:rsid w:val="DFDF4F6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2c993b89-5778-4c33-bca2-653cd72c6f82"/>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character" w:customStyle="1" w:styleId="12">
    <w:name w:val="默认段落字体1"/>
    <w:semiHidden/>
    <w:qFormat/>
    <w:uiPriority w:val="0"/>
  </w:style>
  <w:style w:type="character" w:customStyle="1" w:styleId="13">
    <w:name w:val="font31"/>
    <w:basedOn w:val="12"/>
    <w:qFormat/>
    <w:uiPriority w:val="0"/>
    <w:rPr>
      <w:rFonts w:hint="eastAsia" w:ascii="宋体" w:hAnsi="宋体" w:eastAsia="宋体" w:cs="宋体"/>
      <w:color w:val="000000"/>
      <w:sz w:val="24"/>
      <w:szCs w:val="24"/>
      <w:u w:val="none"/>
    </w:rPr>
  </w:style>
  <w:style w:type="character" w:customStyle="1" w:styleId="14">
    <w:name w:val="font4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6</TotalTime>
  <ScaleCrop>false</ScaleCrop>
  <LinksUpToDate>false</LinksUpToDate>
  <CharactersWithSpaces>19465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2024-10-08T11:13:23Z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