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中共许昌市委政策研究室部门决算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中共许昌市委政策研究室概况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中共许昌市委政策研究室概况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根据市委部署和要求，对全市学习贯彻习近平新时代中国特色社会主义思想、统筹推进“五位一体”总体布局和协调推进“四个全面”战略布局等全局性、政策性重大问题进行研究谋划，及时向市委反映情况，提出意见和建议，为市委科学决策服务；参与市委有关规范性文件、重要文稿和文章的起草，参与市委重要会议的筹备及会议文件的调研起草；围绕市委中心工作，会同有关部门组织撰写有关理论文章和著作，谋划和组织推动市委重要工作落实的研讨活动，宣传、阐释党的路线、方针、政策和市委重大决策部署；负责收集、整理、选编市内外、省内外、国内外有重要参考价值的信息资料和研究成果，供市委决策参考；组织协调市直部门及各县（市、区）的调研力量，完成市委交办的重点调研任务；负责市老区建设促进会相关工作；完成市委交办的其他任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中共许昌市委政策研究室内设机构4个,包括：综合科、调研一科、调研二科、《许昌工作》编辑部。</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从决算单位构成看，中共许昌市委政策研究室部门决算包括：本级决算（1个）、所属单位决算（1个）。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本决算为汇总决算，纳入本部门2023年度部门决算编制范围的单位共2个，具体是：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1.中共许昌市委政策研究室（本级）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2.许昌市政研信息中心（未独立核算）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部门：中共许昌市委政策研究室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290.19</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247.88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33.76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13.20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12.99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3.03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290.19</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313.12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23.19</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313.38</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313.38</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部门：中共许昌市委政策研究室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290.19</w:t>
            </w:r>
          </w:p>
        </w:tc>
        <w:tc>
          <w:tcPr>
            <w:tcW w:w="1440" w:type="dxa"/>
            <w:vAlign w:val="center"/>
          </w:tcPr>
          <w:p>
            <w:pPr>
              <w:jc w:val="right"/>
            </w:pPr>
            <w:r>
              <w:rPr>
                <w:rFonts w:ascii="宋体" w:hAnsi="宋体" w:eastAsia="宋体" w:cs="宋体"/>
                <w:b/>
                <w:i w:val="0"/>
                <w:color w:val="000000"/>
                <w:sz w:val="17"/>
              </w:rPr>
              <w:t>290.19</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227.98</w:t>
            </w:r>
          </w:p>
        </w:tc>
        <w:tc>
          <w:tcPr>
            <w:tcW w:w="1440" w:type="dxa"/>
            <w:vAlign w:val="center"/>
          </w:tcPr>
          <w:p>
            <w:pPr>
              <w:jc w:val="right"/>
            </w:pPr>
            <w:r>
              <w:rPr>
                <w:rFonts w:ascii="宋体" w:hAnsi="宋体" w:eastAsia="宋体" w:cs="宋体"/>
                <w:b w:val="0"/>
                <w:i w:val="0"/>
                <w:color w:val="000000"/>
                <w:sz w:val="17"/>
              </w:rPr>
              <w:t>227.98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1.10</w:t>
            </w:r>
          </w:p>
        </w:tc>
        <w:tc>
          <w:tcPr>
            <w:tcW w:w="1440" w:type="dxa"/>
            <w:vAlign w:val="center"/>
          </w:tcPr>
          <w:p>
            <w:pPr>
              <w:jc w:val="right"/>
            </w:pPr>
            <w:r>
              <w:rPr>
                <w:rFonts w:ascii="宋体" w:hAnsi="宋体" w:eastAsia="宋体" w:cs="宋体"/>
                <w:b w:val="0"/>
                <w:i w:val="0"/>
                <w:color w:val="000000"/>
                <w:sz w:val="17"/>
              </w:rPr>
              <w:t>1.10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1.10</w:t>
            </w:r>
          </w:p>
        </w:tc>
        <w:tc>
          <w:tcPr>
            <w:tcW w:w="1440" w:type="dxa"/>
            <w:vAlign w:val="center"/>
          </w:tcPr>
          <w:p>
            <w:pPr>
              <w:jc w:val="right"/>
            </w:pPr>
            <w:r>
              <w:rPr>
                <w:rFonts w:ascii="宋体" w:hAnsi="宋体" w:eastAsia="宋体" w:cs="宋体"/>
                <w:b w:val="0"/>
                <w:i w:val="0"/>
                <w:color w:val="000000"/>
                <w:sz w:val="17"/>
              </w:rPr>
              <w:t>1.10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20131</w:t>
            </w:r>
          </w:p>
        </w:tc>
        <w:tc>
          <w:tcPr>
            <w:tcW w:w="3140" w:type="dxa"/>
            <w:vAlign w:val="center"/>
          </w:tcPr>
          <w:p>
            <w:pPr>
              <w:jc w:val="left"/>
            </w:pPr>
            <w:r>
              <w:rPr>
                <w:rFonts w:ascii="宋体" w:hAnsi="宋体" w:eastAsia="宋体" w:cs="宋体"/>
                <w:b w:val="0"/>
                <w:i w:val="0"/>
                <w:color w:val="000000"/>
                <w:sz w:val="17"/>
              </w:rPr>
              <w:t>党委办公厅（室）及相关机构事务</w:t>
            </w:r>
          </w:p>
        </w:tc>
        <w:tc>
          <w:tcPr>
            <w:tcW w:w="1440" w:type="dxa"/>
            <w:vAlign w:val="center"/>
          </w:tcPr>
          <w:p>
            <w:pPr>
              <w:jc w:val="right"/>
            </w:pPr>
            <w:r>
              <w:rPr>
                <w:rFonts w:ascii="宋体" w:hAnsi="宋体" w:eastAsia="宋体" w:cs="宋体"/>
                <w:b w:val="0"/>
                <w:i w:val="0"/>
                <w:color w:val="000000"/>
                <w:sz w:val="17"/>
              </w:rPr>
              <w:t>218.32</w:t>
            </w:r>
          </w:p>
        </w:tc>
        <w:tc>
          <w:tcPr>
            <w:tcW w:w="1440" w:type="dxa"/>
            <w:vAlign w:val="center"/>
          </w:tcPr>
          <w:p>
            <w:pPr>
              <w:jc w:val="right"/>
            </w:pPr>
            <w:r>
              <w:rPr>
                <w:rFonts w:ascii="宋体" w:hAnsi="宋体" w:eastAsia="宋体" w:cs="宋体"/>
                <w:b w:val="0"/>
                <w:i w:val="0"/>
                <w:color w:val="000000"/>
                <w:sz w:val="17"/>
              </w:rPr>
              <w:t>218.32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207.33</w:t>
            </w:r>
          </w:p>
        </w:tc>
        <w:tc>
          <w:tcPr>
            <w:tcW w:w="1440" w:type="dxa"/>
            <w:vAlign w:val="center"/>
          </w:tcPr>
          <w:p>
            <w:pPr>
              <w:jc w:val="right"/>
            </w:pPr>
            <w:r>
              <w:rPr>
                <w:rFonts w:ascii="宋体" w:hAnsi="宋体" w:eastAsia="宋体" w:cs="宋体"/>
                <w:b w:val="0"/>
                <w:i w:val="0"/>
                <w:color w:val="000000"/>
                <w:sz w:val="17"/>
              </w:rPr>
              <w:t>207.33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2013102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8.24</w:t>
            </w:r>
          </w:p>
        </w:tc>
        <w:tc>
          <w:tcPr>
            <w:tcW w:w="1440" w:type="dxa"/>
            <w:vAlign w:val="center"/>
          </w:tcPr>
          <w:p>
            <w:pPr>
              <w:jc w:val="right"/>
            </w:pPr>
            <w:r>
              <w:rPr>
                <w:rFonts w:ascii="宋体" w:hAnsi="宋体" w:eastAsia="宋体" w:cs="宋体"/>
                <w:b w:val="0"/>
                <w:i w:val="0"/>
                <w:color w:val="000000"/>
                <w:sz w:val="17"/>
              </w:rPr>
              <w:t>8.24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2013150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2.74</w:t>
            </w:r>
          </w:p>
        </w:tc>
        <w:tc>
          <w:tcPr>
            <w:tcW w:w="1440" w:type="dxa"/>
            <w:vAlign w:val="center"/>
          </w:tcPr>
          <w:p>
            <w:pPr>
              <w:jc w:val="right"/>
            </w:pPr>
            <w:r>
              <w:rPr>
                <w:rFonts w:ascii="宋体" w:hAnsi="宋体" w:eastAsia="宋体" w:cs="宋体"/>
                <w:b w:val="0"/>
                <w:i w:val="0"/>
                <w:color w:val="000000"/>
                <w:sz w:val="17"/>
              </w:rPr>
              <w:t>2.74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8.56</w:t>
            </w:r>
          </w:p>
        </w:tc>
        <w:tc>
          <w:tcPr>
            <w:tcW w:w="1440" w:type="dxa"/>
            <w:vAlign w:val="center"/>
          </w:tcPr>
          <w:p>
            <w:pPr>
              <w:jc w:val="right"/>
            </w:pPr>
            <w:r>
              <w:rPr>
                <w:rFonts w:ascii="宋体" w:hAnsi="宋体" w:eastAsia="宋体" w:cs="宋体"/>
                <w:b w:val="0"/>
                <w:i w:val="0"/>
                <w:color w:val="000000"/>
                <w:sz w:val="17"/>
              </w:rPr>
              <w:t>8.56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8.56</w:t>
            </w:r>
          </w:p>
        </w:tc>
        <w:tc>
          <w:tcPr>
            <w:tcW w:w="1440" w:type="dxa"/>
            <w:vAlign w:val="center"/>
          </w:tcPr>
          <w:p>
            <w:pPr>
              <w:jc w:val="right"/>
            </w:pPr>
            <w:r>
              <w:rPr>
                <w:rFonts w:ascii="宋体" w:hAnsi="宋体" w:eastAsia="宋体" w:cs="宋体"/>
                <w:b w:val="0"/>
                <w:i w:val="0"/>
                <w:color w:val="000000"/>
                <w:sz w:val="17"/>
              </w:rPr>
              <w:t>8.56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33.76</w:t>
            </w:r>
          </w:p>
        </w:tc>
        <w:tc>
          <w:tcPr>
            <w:tcW w:w="1440" w:type="dxa"/>
            <w:vAlign w:val="center"/>
          </w:tcPr>
          <w:p>
            <w:pPr>
              <w:jc w:val="right"/>
            </w:pPr>
            <w:r>
              <w:rPr>
                <w:rFonts w:ascii="宋体" w:hAnsi="宋体" w:eastAsia="宋体" w:cs="宋体"/>
                <w:b w:val="0"/>
                <w:i w:val="0"/>
                <w:color w:val="000000"/>
                <w:sz w:val="17"/>
              </w:rPr>
              <w:t>33.76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33.76</w:t>
            </w:r>
          </w:p>
        </w:tc>
        <w:tc>
          <w:tcPr>
            <w:tcW w:w="1440" w:type="dxa"/>
            <w:vAlign w:val="center"/>
          </w:tcPr>
          <w:p>
            <w:pPr>
              <w:jc w:val="right"/>
            </w:pPr>
            <w:r>
              <w:rPr>
                <w:rFonts w:ascii="宋体" w:hAnsi="宋体" w:eastAsia="宋体" w:cs="宋体"/>
                <w:b w:val="0"/>
                <w:i w:val="0"/>
                <w:color w:val="000000"/>
                <w:sz w:val="17"/>
              </w:rPr>
              <w:t>33.76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20.22</w:t>
            </w:r>
          </w:p>
        </w:tc>
        <w:tc>
          <w:tcPr>
            <w:tcW w:w="1440" w:type="dxa"/>
            <w:vAlign w:val="center"/>
          </w:tcPr>
          <w:p>
            <w:pPr>
              <w:jc w:val="right"/>
            </w:pPr>
            <w:r>
              <w:rPr>
                <w:rFonts w:ascii="宋体" w:hAnsi="宋体" w:eastAsia="宋体" w:cs="宋体"/>
                <w:b w:val="0"/>
                <w:i w:val="0"/>
                <w:color w:val="000000"/>
                <w:sz w:val="17"/>
              </w:rPr>
              <w:t>20.22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13.54</w:t>
            </w:r>
          </w:p>
        </w:tc>
        <w:tc>
          <w:tcPr>
            <w:tcW w:w="1440" w:type="dxa"/>
            <w:vAlign w:val="center"/>
          </w:tcPr>
          <w:p>
            <w:pPr>
              <w:jc w:val="right"/>
            </w:pPr>
            <w:r>
              <w:rPr>
                <w:rFonts w:ascii="宋体" w:hAnsi="宋体" w:eastAsia="宋体" w:cs="宋体"/>
                <w:b w:val="0"/>
                <w:i w:val="0"/>
                <w:color w:val="000000"/>
                <w:sz w:val="17"/>
              </w:rPr>
              <w:t>13.54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13.20</w:t>
            </w:r>
          </w:p>
        </w:tc>
        <w:tc>
          <w:tcPr>
            <w:tcW w:w="1440" w:type="dxa"/>
            <w:vAlign w:val="center"/>
          </w:tcPr>
          <w:p>
            <w:pPr>
              <w:jc w:val="right"/>
            </w:pPr>
            <w:r>
              <w:rPr>
                <w:rFonts w:ascii="宋体" w:hAnsi="宋体" w:eastAsia="宋体" w:cs="宋体"/>
                <w:b w:val="0"/>
                <w:i w:val="0"/>
                <w:color w:val="000000"/>
                <w:sz w:val="17"/>
              </w:rPr>
              <w:t>13.20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13.20</w:t>
            </w:r>
          </w:p>
        </w:tc>
        <w:tc>
          <w:tcPr>
            <w:tcW w:w="1440" w:type="dxa"/>
            <w:vAlign w:val="center"/>
          </w:tcPr>
          <w:p>
            <w:pPr>
              <w:jc w:val="right"/>
            </w:pPr>
            <w:r>
              <w:rPr>
                <w:rFonts w:ascii="宋体" w:hAnsi="宋体" w:eastAsia="宋体" w:cs="宋体"/>
                <w:b w:val="0"/>
                <w:i w:val="0"/>
                <w:color w:val="000000"/>
                <w:sz w:val="17"/>
              </w:rPr>
              <w:t>13.20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5.94</w:t>
            </w:r>
          </w:p>
        </w:tc>
        <w:tc>
          <w:tcPr>
            <w:tcW w:w="1440" w:type="dxa"/>
            <w:vAlign w:val="center"/>
          </w:tcPr>
          <w:p>
            <w:pPr>
              <w:jc w:val="right"/>
            </w:pPr>
            <w:r>
              <w:rPr>
                <w:rFonts w:ascii="宋体" w:hAnsi="宋体" w:eastAsia="宋体" w:cs="宋体"/>
                <w:b w:val="0"/>
                <w:i w:val="0"/>
                <w:color w:val="000000"/>
                <w:sz w:val="17"/>
              </w:rPr>
              <w:t>5.94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0.78</w:t>
            </w:r>
          </w:p>
        </w:tc>
        <w:tc>
          <w:tcPr>
            <w:tcW w:w="1440" w:type="dxa"/>
            <w:vAlign w:val="center"/>
          </w:tcPr>
          <w:p>
            <w:pPr>
              <w:jc w:val="right"/>
            </w:pPr>
            <w:r>
              <w:rPr>
                <w:rFonts w:ascii="宋体" w:hAnsi="宋体" w:eastAsia="宋体" w:cs="宋体"/>
                <w:b w:val="0"/>
                <w:i w:val="0"/>
                <w:color w:val="000000"/>
                <w:sz w:val="17"/>
              </w:rPr>
              <w:t>0.78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6.48</w:t>
            </w:r>
          </w:p>
        </w:tc>
        <w:tc>
          <w:tcPr>
            <w:tcW w:w="1440" w:type="dxa"/>
            <w:vAlign w:val="center"/>
          </w:tcPr>
          <w:p>
            <w:pPr>
              <w:jc w:val="right"/>
            </w:pPr>
            <w:r>
              <w:rPr>
                <w:rFonts w:ascii="宋体" w:hAnsi="宋体" w:eastAsia="宋体" w:cs="宋体"/>
                <w:b w:val="0"/>
                <w:i w:val="0"/>
                <w:color w:val="000000"/>
                <w:sz w:val="17"/>
              </w:rPr>
              <w:t>6.48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12.99</w:t>
            </w:r>
          </w:p>
        </w:tc>
        <w:tc>
          <w:tcPr>
            <w:tcW w:w="1440" w:type="dxa"/>
            <w:vAlign w:val="center"/>
          </w:tcPr>
          <w:p>
            <w:pPr>
              <w:jc w:val="right"/>
            </w:pPr>
            <w:r>
              <w:rPr>
                <w:rFonts w:ascii="宋体" w:hAnsi="宋体" w:eastAsia="宋体" w:cs="宋体"/>
                <w:b w:val="0"/>
                <w:i w:val="0"/>
                <w:color w:val="000000"/>
                <w:sz w:val="17"/>
              </w:rPr>
              <w:t>12.99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12.99</w:t>
            </w:r>
          </w:p>
        </w:tc>
        <w:tc>
          <w:tcPr>
            <w:tcW w:w="1440" w:type="dxa"/>
            <w:vAlign w:val="center"/>
          </w:tcPr>
          <w:p>
            <w:pPr>
              <w:jc w:val="right"/>
            </w:pPr>
            <w:r>
              <w:rPr>
                <w:rFonts w:ascii="宋体" w:hAnsi="宋体" w:eastAsia="宋体" w:cs="宋体"/>
                <w:b w:val="0"/>
                <w:i w:val="0"/>
                <w:color w:val="000000"/>
                <w:sz w:val="17"/>
              </w:rPr>
              <w:t>12.99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12.99</w:t>
            </w:r>
          </w:p>
        </w:tc>
        <w:tc>
          <w:tcPr>
            <w:tcW w:w="1440" w:type="dxa"/>
            <w:vAlign w:val="center"/>
          </w:tcPr>
          <w:p>
            <w:pPr>
              <w:jc w:val="right"/>
            </w:pPr>
            <w:r>
              <w:rPr>
                <w:rFonts w:ascii="宋体" w:hAnsi="宋体" w:eastAsia="宋体" w:cs="宋体"/>
                <w:b w:val="0"/>
                <w:i w:val="0"/>
                <w:color w:val="000000"/>
                <w:sz w:val="17"/>
              </w:rPr>
              <w:t>12.99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部门：中共许昌市委政策研究室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313.12</w:t>
            </w:r>
          </w:p>
        </w:tc>
        <w:tc>
          <w:tcPr>
            <w:tcW w:w="1600" w:type="dxa"/>
            <w:vAlign w:val="center"/>
          </w:tcPr>
          <w:p>
            <w:pPr>
              <w:jc w:val="right"/>
            </w:pPr>
            <w:r>
              <w:rPr>
                <w:rFonts w:ascii="宋体" w:hAnsi="宋体" w:eastAsia="宋体" w:cs="宋体"/>
                <w:b/>
                <w:i w:val="0"/>
                <w:color w:val="000000"/>
                <w:sz w:val="19"/>
              </w:rPr>
              <w:t>302.62</w:t>
            </w:r>
          </w:p>
        </w:tc>
        <w:tc>
          <w:tcPr>
            <w:tcW w:w="1600" w:type="dxa"/>
            <w:vAlign w:val="center"/>
          </w:tcPr>
          <w:p>
            <w:pPr>
              <w:jc w:val="right"/>
            </w:pPr>
            <w:r>
              <w:rPr>
                <w:rFonts w:ascii="宋体" w:hAnsi="宋体" w:eastAsia="宋体" w:cs="宋体"/>
                <w:b/>
                <w:i w:val="0"/>
                <w:color w:val="000000"/>
                <w:sz w:val="19"/>
              </w:rPr>
              <w:t>10.49</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247.88</w:t>
            </w:r>
          </w:p>
        </w:tc>
        <w:tc>
          <w:tcPr>
            <w:tcW w:w="1600" w:type="dxa"/>
            <w:vAlign w:val="center"/>
          </w:tcPr>
          <w:p>
            <w:pPr>
              <w:jc w:val="right"/>
            </w:pPr>
            <w:r>
              <w:rPr>
                <w:rFonts w:ascii="宋体" w:hAnsi="宋体" w:eastAsia="宋体" w:cs="宋体"/>
                <w:b w:val="0"/>
                <w:i w:val="0"/>
                <w:color w:val="000000"/>
                <w:sz w:val="19"/>
              </w:rPr>
              <w:t>239.64</w:t>
            </w:r>
          </w:p>
        </w:tc>
        <w:tc>
          <w:tcPr>
            <w:tcW w:w="1600" w:type="dxa"/>
            <w:vAlign w:val="center"/>
          </w:tcPr>
          <w:p>
            <w:pPr>
              <w:jc w:val="right"/>
            </w:pPr>
            <w:r>
              <w:rPr>
                <w:rFonts w:ascii="宋体" w:hAnsi="宋体" w:eastAsia="宋体" w:cs="宋体"/>
                <w:b w:val="0"/>
                <w:i w:val="0"/>
                <w:color w:val="000000"/>
                <w:sz w:val="19"/>
              </w:rPr>
              <w:t>8.24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1.10</w:t>
            </w:r>
          </w:p>
        </w:tc>
        <w:tc>
          <w:tcPr>
            <w:tcW w:w="1600" w:type="dxa"/>
            <w:vAlign w:val="center"/>
          </w:tcPr>
          <w:p>
            <w:pPr>
              <w:jc w:val="right"/>
            </w:pPr>
            <w:r>
              <w:rPr>
                <w:rFonts w:ascii="宋体" w:hAnsi="宋体" w:eastAsia="宋体" w:cs="宋体"/>
                <w:b w:val="0"/>
                <w:i w:val="0"/>
                <w:color w:val="000000"/>
                <w:sz w:val="19"/>
              </w:rPr>
              <w:t>1.10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1.10</w:t>
            </w:r>
          </w:p>
        </w:tc>
        <w:tc>
          <w:tcPr>
            <w:tcW w:w="1600" w:type="dxa"/>
            <w:vAlign w:val="center"/>
          </w:tcPr>
          <w:p>
            <w:pPr>
              <w:jc w:val="right"/>
            </w:pPr>
            <w:r>
              <w:rPr>
                <w:rFonts w:ascii="宋体" w:hAnsi="宋体" w:eastAsia="宋体" w:cs="宋体"/>
                <w:b w:val="0"/>
                <w:i w:val="0"/>
                <w:color w:val="000000"/>
                <w:sz w:val="19"/>
              </w:rPr>
              <w:t>1.10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20131</w:t>
            </w:r>
          </w:p>
        </w:tc>
        <w:tc>
          <w:tcPr>
            <w:tcW w:w="3480" w:type="dxa"/>
            <w:vAlign w:val="center"/>
          </w:tcPr>
          <w:p>
            <w:pPr>
              <w:jc w:val="left"/>
            </w:pPr>
            <w:r>
              <w:rPr>
                <w:rFonts w:ascii="宋体" w:hAnsi="宋体" w:eastAsia="宋体" w:cs="宋体"/>
                <w:b w:val="0"/>
                <w:i w:val="0"/>
                <w:color w:val="000000"/>
                <w:sz w:val="19"/>
              </w:rPr>
              <w:t>党委办公厅（室）及相关机构事务</w:t>
            </w:r>
          </w:p>
        </w:tc>
        <w:tc>
          <w:tcPr>
            <w:tcW w:w="1600" w:type="dxa"/>
            <w:vAlign w:val="center"/>
          </w:tcPr>
          <w:p>
            <w:pPr>
              <w:jc w:val="right"/>
            </w:pPr>
            <w:r>
              <w:rPr>
                <w:rFonts w:ascii="宋体" w:hAnsi="宋体" w:eastAsia="宋体" w:cs="宋体"/>
                <w:b w:val="0"/>
                <w:i w:val="0"/>
                <w:color w:val="000000"/>
                <w:sz w:val="19"/>
              </w:rPr>
              <w:t>238.22</w:t>
            </w:r>
          </w:p>
        </w:tc>
        <w:tc>
          <w:tcPr>
            <w:tcW w:w="1600" w:type="dxa"/>
            <w:vAlign w:val="center"/>
          </w:tcPr>
          <w:p>
            <w:pPr>
              <w:jc w:val="right"/>
            </w:pPr>
            <w:r>
              <w:rPr>
                <w:rFonts w:ascii="宋体" w:hAnsi="宋体" w:eastAsia="宋体" w:cs="宋体"/>
                <w:b w:val="0"/>
                <w:i w:val="0"/>
                <w:color w:val="000000"/>
                <w:sz w:val="19"/>
              </w:rPr>
              <w:t>229.98</w:t>
            </w:r>
          </w:p>
        </w:tc>
        <w:tc>
          <w:tcPr>
            <w:tcW w:w="1600" w:type="dxa"/>
            <w:vAlign w:val="center"/>
          </w:tcPr>
          <w:p>
            <w:pPr>
              <w:jc w:val="right"/>
            </w:pPr>
            <w:r>
              <w:rPr>
                <w:rFonts w:ascii="宋体" w:hAnsi="宋体" w:eastAsia="宋体" w:cs="宋体"/>
                <w:b w:val="0"/>
                <w:i w:val="0"/>
                <w:color w:val="000000"/>
                <w:sz w:val="19"/>
              </w:rPr>
              <w:t>8.24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227.23</w:t>
            </w:r>
          </w:p>
        </w:tc>
        <w:tc>
          <w:tcPr>
            <w:tcW w:w="1600" w:type="dxa"/>
            <w:vAlign w:val="center"/>
          </w:tcPr>
          <w:p>
            <w:pPr>
              <w:jc w:val="right"/>
            </w:pPr>
            <w:r>
              <w:rPr>
                <w:rFonts w:ascii="宋体" w:hAnsi="宋体" w:eastAsia="宋体" w:cs="宋体"/>
                <w:b w:val="0"/>
                <w:i w:val="0"/>
                <w:color w:val="000000"/>
                <w:sz w:val="19"/>
              </w:rPr>
              <w:t>227.23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2013102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8.24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8.24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2013150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2.74</w:t>
            </w:r>
          </w:p>
        </w:tc>
        <w:tc>
          <w:tcPr>
            <w:tcW w:w="1600" w:type="dxa"/>
            <w:vAlign w:val="center"/>
          </w:tcPr>
          <w:p>
            <w:pPr>
              <w:jc w:val="right"/>
            </w:pPr>
            <w:r>
              <w:rPr>
                <w:rFonts w:ascii="宋体" w:hAnsi="宋体" w:eastAsia="宋体" w:cs="宋体"/>
                <w:b w:val="0"/>
                <w:i w:val="0"/>
                <w:color w:val="000000"/>
                <w:sz w:val="19"/>
              </w:rPr>
              <w:t>2.74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8.56</w:t>
            </w:r>
          </w:p>
        </w:tc>
        <w:tc>
          <w:tcPr>
            <w:tcW w:w="1600" w:type="dxa"/>
            <w:vAlign w:val="center"/>
          </w:tcPr>
          <w:p>
            <w:pPr>
              <w:jc w:val="right"/>
            </w:pPr>
            <w:r>
              <w:rPr>
                <w:rFonts w:ascii="宋体" w:hAnsi="宋体" w:eastAsia="宋体" w:cs="宋体"/>
                <w:b w:val="0"/>
                <w:i w:val="0"/>
                <w:color w:val="000000"/>
                <w:sz w:val="19"/>
              </w:rPr>
              <w:t>8.56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8.56</w:t>
            </w:r>
          </w:p>
        </w:tc>
        <w:tc>
          <w:tcPr>
            <w:tcW w:w="1600" w:type="dxa"/>
            <w:vAlign w:val="center"/>
          </w:tcPr>
          <w:p>
            <w:pPr>
              <w:jc w:val="right"/>
            </w:pPr>
            <w:r>
              <w:rPr>
                <w:rFonts w:ascii="宋体" w:hAnsi="宋体" w:eastAsia="宋体" w:cs="宋体"/>
                <w:b w:val="0"/>
                <w:i w:val="0"/>
                <w:color w:val="000000"/>
                <w:sz w:val="19"/>
              </w:rPr>
              <w:t>8.56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33.76</w:t>
            </w:r>
          </w:p>
        </w:tc>
        <w:tc>
          <w:tcPr>
            <w:tcW w:w="1600" w:type="dxa"/>
            <w:vAlign w:val="center"/>
          </w:tcPr>
          <w:p>
            <w:pPr>
              <w:jc w:val="right"/>
            </w:pPr>
            <w:r>
              <w:rPr>
                <w:rFonts w:ascii="宋体" w:hAnsi="宋体" w:eastAsia="宋体" w:cs="宋体"/>
                <w:b w:val="0"/>
                <w:i w:val="0"/>
                <w:color w:val="000000"/>
                <w:sz w:val="19"/>
              </w:rPr>
              <w:t>33.76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33.76</w:t>
            </w:r>
          </w:p>
        </w:tc>
        <w:tc>
          <w:tcPr>
            <w:tcW w:w="1600" w:type="dxa"/>
            <w:vAlign w:val="center"/>
          </w:tcPr>
          <w:p>
            <w:pPr>
              <w:jc w:val="right"/>
            </w:pPr>
            <w:r>
              <w:rPr>
                <w:rFonts w:ascii="宋体" w:hAnsi="宋体" w:eastAsia="宋体" w:cs="宋体"/>
                <w:b w:val="0"/>
                <w:i w:val="0"/>
                <w:color w:val="000000"/>
                <w:sz w:val="19"/>
              </w:rPr>
              <w:t>33.76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20.22</w:t>
            </w:r>
          </w:p>
        </w:tc>
        <w:tc>
          <w:tcPr>
            <w:tcW w:w="1600" w:type="dxa"/>
            <w:vAlign w:val="center"/>
          </w:tcPr>
          <w:p>
            <w:pPr>
              <w:jc w:val="right"/>
            </w:pPr>
            <w:r>
              <w:rPr>
                <w:rFonts w:ascii="宋体" w:hAnsi="宋体" w:eastAsia="宋体" w:cs="宋体"/>
                <w:b w:val="0"/>
                <w:i w:val="0"/>
                <w:color w:val="000000"/>
                <w:sz w:val="19"/>
              </w:rPr>
              <w:t>20.22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13.54</w:t>
            </w:r>
          </w:p>
        </w:tc>
        <w:tc>
          <w:tcPr>
            <w:tcW w:w="1600" w:type="dxa"/>
            <w:vAlign w:val="center"/>
          </w:tcPr>
          <w:p>
            <w:pPr>
              <w:jc w:val="right"/>
            </w:pPr>
            <w:r>
              <w:rPr>
                <w:rFonts w:ascii="宋体" w:hAnsi="宋体" w:eastAsia="宋体" w:cs="宋体"/>
                <w:b w:val="0"/>
                <w:i w:val="0"/>
                <w:color w:val="000000"/>
                <w:sz w:val="19"/>
              </w:rPr>
              <w:t>13.54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13.20</w:t>
            </w:r>
          </w:p>
        </w:tc>
        <w:tc>
          <w:tcPr>
            <w:tcW w:w="1600" w:type="dxa"/>
            <w:vAlign w:val="center"/>
          </w:tcPr>
          <w:p>
            <w:pPr>
              <w:jc w:val="right"/>
            </w:pPr>
            <w:r>
              <w:rPr>
                <w:rFonts w:ascii="宋体" w:hAnsi="宋体" w:eastAsia="宋体" w:cs="宋体"/>
                <w:b w:val="0"/>
                <w:i w:val="0"/>
                <w:color w:val="000000"/>
                <w:sz w:val="19"/>
              </w:rPr>
              <w:t>13.20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13.20</w:t>
            </w:r>
          </w:p>
        </w:tc>
        <w:tc>
          <w:tcPr>
            <w:tcW w:w="1600" w:type="dxa"/>
            <w:vAlign w:val="center"/>
          </w:tcPr>
          <w:p>
            <w:pPr>
              <w:jc w:val="right"/>
            </w:pPr>
            <w:r>
              <w:rPr>
                <w:rFonts w:ascii="宋体" w:hAnsi="宋体" w:eastAsia="宋体" w:cs="宋体"/>
                <w:b w:val="0"/>
                <w:i w:val="0"/>
                <w:color w:val="000000"/>
                <w:sz w:val="19"/>
              </w:rPr>
              <w:t>13.20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5.94</w:t>
            </w:r>
          </w:p>
        </w:tc>
        <w:tc>
          <w:tcPr>
            <w:tcW w:w="1600" w:type="dxa"/>
            <w:vAlign w:val="center"/>
          </w:tcPr>
          <w:p>
            <w:pPr>
              <w:jc w:val="right"/>
            </w:pPr>
            <w:r>
              <w:rPr>
                <w:rFonts w:ascii="宋体" w:hAnsi="宋体" w:eastAsia="宋体" w:cs="宋体"/>
                <w:b w:val="0"/>
                <w:i w:val="0"/>
                <w:color w:val="000000"/>
                <w:sz w:val="19"/>
              </w:rPr>
              <w:t>5.94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0.78</w:t>
            </w:r>
          </w:p>
        </w:tc>
        <w:tc>
          <w:tcPr>
            <w:tcW w:w="1600" w:type="dxa"/>
            <w:vAlign w:val="center"/>
          </w:tcPr>
          <w:p>
            <w:pPr>
              <w:jc w:val="right"/>
            </w:pPr>
            <w:r>
              <w:rPr>
                <w:rFonts w:ascii="宋体" w:hAnsi="宋体" w:eastAsia="宋体" w:cs="宋体"/>
                <w:b w:val="0"/>
                <w:i w:val="0"/>
                <w:color w:val="000000"/>
                <w:sz w:val="19"/>
              </w:rPr>
              <w:t>0.78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6.48</w:t>
            </w:r>
          </w:p>
        </w:tc>
        <w:tc>
          <w:tcPr>
            <w:tcW w:w="1600" w:type="dxa"/>
            <w:vAlign w:val="center"/>
          </w:tcPr>
          <w:p>
            <w:pPr>
              <w:jc w:val="right"/>
            </w:pPr>
            <w:r>
              <w:rPr>
                <w:rFonts w:ascii="宋体" w:hAnsi="宋体" w:eastAsia="宋体" w:cs="宋体"/>
                <w:b w:val="0"/>
                <w:i w:val="0"/>
                <w:color w:val="000000"/>
                <w:sz w:val="19"/>
              </w:rPr>
              <w:t>6.48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12.99</w:t>
            </w:r>
          </w:p>
        </w:tc>
        <w:tc>
          <w:tcPr>
            <w:tcW w:w="1600" w:type="dxa"/>
            <w:vAlign w:val="center"/>
          </w:tcPr>
          <w:p>
            <w:pPr>
              <w:jc w:val="right"/>
            </w:pPr>
            <w:r>
              <w:rPr>
                <w:rFonts w:ascii="宋体" w:hAnsi="宋体" w:eastAsia="宋体" w:cs="宋体"/>
                <w:b w:val="0"/>
                <w:i w:val="0"/>
                <w:color w:val="000000"/>
                <w:sz w:val="19"/>
              </w:rPr>
              <w:t>12.99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12.99</w:t>
            </w:r>
          </w:p>
        </w:tc>
        <w:tc>
          <w:tcPr>
            <w:tcW w:w="1600" w:type="dxa"/>
            <w:vAlign w:val="center"/>
          </w:tcPr>
          <w:p>
            <w:pPr>
              <w:jc w:val="right"/>
            </w:pPr>
            <w:r>
              <w:rPr>
                <w:rFonts w:ascii="宋体" w:hAnsi="宋体" w:eastAsia="宋体" w:cs="宋体"/>
                <w:b w:val="0"/>
                <w:i w:val="0"/>
                <w:color w:val="000000"/>
                <w:sz w:val="19"/>
              </w:rPr>
              <w:t>12.99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12.99</w:t>
            </w:r>
          </w:p>
        </w:tc>
        <w:tc>
          <w:tcPr>
            <w:tcW w:w="1600" w:type="dxa"/>
            <w:vAlign w:val="center"/>
          </w:tcPr>
          <w:p>
            <w:pPr>
              <w:jc w:val="right"/>
            </w:pPr>
            <w:r>
              <w:rPr>
                <w:rFonts w:ascii="宋体" w:hAnsi="宋体" w:eastAsia="宋体" w:cs="宋体"/>
                <w:b w:val="0"/>
                <w:i w:val="0"/>
                <w:color w:val="000000"/>
                <w:sz w:val="19"/>
              </w:rPr>
              <w:t>12.99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3.03</w:t>
            </w:r>
          </w:p>
        </w:tc>
        <w:tc>
          <w:tcPr>
            <w:tcW w:w="1600" w:type="dxa"/>
            <w:vAlign w:val="center"/>
          </w:tcPr>
          <w:p>
            <w:pPr>
              <w:jc w:val="right"/>
            </w:pPr>
            <w:r>
              <w:rPr>
                <w:rFonts w:ascii="宋体" w:hAnsi="宋体" w:eastAsia="宋体" w:cs="宋体"/>
                <w:b w:val="0"/>
                <w:i w:val="0"/>
                <w:color w:val="000000"/>
                <w:sz w:val="19"/>
              </w:rPr>
              <w:t>3.03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3.03</w:t>
            </w:r>
          </w:p>
        </w:tc>
        <w:tc>
          <w:tcPr>
            <w:tcW w:w="1600" w:type="dxa"/>
            <w:vAlign w:val="center"/>
          </w:tcPr>
          <w:p>
            <w:pPr>
              <w:jc w:val="right"/>
            </w:pPr>
            <w:r>
              <w:rPr>
                <w:rFonts w:ascii="宋体" w:hAnsi="宋体" w:eastAsia="宋体" w:cs="宋体"/>
                <w:b w:val="0"/>
                <w:i w:val="0"/>
                <w:color w:val="000000"/>
                <w:sz w:val="19"/>
              </w:rPr>
              <w:t>3.03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2299999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3.03</w:t>
            </w:r>
          </w:p>
        </w:tc>
        <w:tc>
          <w:tcPr>
            <w:tcW w:w="1600" w:type="dxa"/>
            <w:vAlign w:val="center"/>
          </w:tcPr>
          <w:p>
            <w:pPr>
              <w:jc w:val="right"/>
            </w:pPr>
            <w:r>
              <w:rPr>
                <w:rFonts w:ascii="宋体" w:hAnsi="宋体" w:eastAsia="宋体" w:cs="宋体"/>
                <w:b w:val="0"/>
                <w:i w:val="0"/>
                <w:color w:val="000000"/>
                <w:sz w:val="19"/>
              </w:rPr>
              <w:t>3.03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部门：中共许昌市委政策研究室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290.19</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247.88</w:t>
            </w:r>
          </w:p>
        </w:tc>
        <w:tc>
          <w:tcPr>
            <w:tcW w:w="1420" w:type="dxa"/>
            <w:vAlign w:val="center"/>
          </w:tcPr>
          <w:p>
            <w:pPr>
              <w:jc w:val="right"/>
            </w:pPr>
            <w:r>
              <w:rPr>
                <w:rFonts w:ascii="宋体" w:hAnsi="宋体" w:eastAsia="宋体" w:cs="宋体"/>
                <w:b w:val="0"/>
                <w:i w:val="0"/>
                <w:color w:val="000000"/>
                <w:sz w:val="18"/>
              </w:rPr>
              <w:t>247.88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33.76</w:t>
            </w:r>
          </w:p>
        </w:tc>
        <w:tc>
          <w:tcPr>
            <w:tcW w:w="1420" w:type="dxa"/>
            <w:vAlign w:val="center"/>
          </w:tcPr>
          <w:p>
            <w:pPr>
              <w:jc w:val="right"/>
            </w:pPr>
            <w:r>
              <w:rPr>
                <w:rFonts w:ascii="宋体" w:hAnsi="宋体" w:eastAsia="宋体" w:cs="宋体"/>
                <w:b w:val="0"/>
                <w:i w:val="0"/>
                <w:color w:val="000000"/>
                <w:sz w:val="18"/>
              </w:rPr>
              <w:t>33.76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13.20</w:t>
            </w:r>
          </w:p>
        </w:tc>
        <w:tc>
          <w:tcPr>
            <w:tcW w:w="1420" w:type="dxa"/>
            <w:vAlign w:val="center"/>
          </w:tcPr>
          <w:p>
            <w:pPr>
              <w:jc w:val="right"/>
            </w:pPr>
            <w:r>
              <w:rPr>
                <w:rFonts w:ascii="宋体" w:hAnsi="宋体" w:eastAsia="宋体" w:cs="宋体"/>
                <w:b w:val="0"/>
                <w:i w:val="0"/>
                <w:color w:val="000000"/>
                <w:sz w:val="18"/>
              </w:rPr>
              <w:t>13.20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12.99</w:t>
            </w:r>
          </w:p>
        </w:tc>
        <w:tc>
          <w:tcPr>
            <w:tcW w:w="1420" w:type="dxa"/>
            <w:vAlign w:val="center"/>
          </w:tcPr>
          <w:p>
            <w:pPr>
              <w:jc w:val="right"/>
            </w:pPr>
            <w:r>
              <w:rPr>
                <w:rFonts w:ascii="宋体" w:hAnsi="宋体" w:eastAsia="宋体" w:cs="宋体"/>
                <w:b w:val="0"/>
                <w:i w:val="0"/>
                <w:color w:val="000000"/>
                <w:sz w:val="18"/>
              </w:rPr>
              <w:t>12.99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290.19</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310.09</w:t>
            </w:r>
          </w:p>
        </w:tc>
        <w:tc>
          <w:tcPr>
            <w:tcW w:w="1420" w:type="dxa"/>
            <w:vAlign w:val="center"/>
          </w:tcPr>
          <w:p>
            <w:pPr>
              <w:jc w:val="right"/>
            </w:pPr>
            <w:r>
              <w:rPr>
                <w:rFonts w:ascii="宋体" w:hAnsi="宋体" w:eastAsia="宋体" w:cs="宋体"/>
                <w:b w:val="0"/>
                <w:i w:val="0"/>
                <w:color w:val="000000"/>
                <w:sz w:val="18"/>
              </w:rPr>
              <w:t>310.09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19.90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19.90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310.09</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310.09</w:t>
            </w:r>
          </w:p>
        </w:tc>
        <w:tc>
          <w:tcPr>
            <w:tcW w:w="1420" w:type="dxa"/>
            <w:vAlign w:val="center"/>
          </w:tcPr>
          <w:p>
            <w:pPr>
              <w:jc w:val="right"/>
            </w:pPr>
            <w:r>
              <w:rPr>
                <w:rFonts w:ascii="宋体" w:hAnsi="宋体" w:eastAsia="宋体" w:cs="宋体"/>
                <w:b w:val="0"/>
                <w:i w:val="0"/>
                <w:color w:val="000000"/>
                <w:sz w:val="18"/>
              </w:rPr>
              <w:t>310.09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部门：中共许昌市委政策研究室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310.09</w:t>
            </w:r>
          </w:p>
        </w:tc>
        <w:tc>
          <w:tcPr>
            <w:tcW w:w="2700" w:type="dxa"/>
            <w:vAlign w:val="center"/>
          </w:tcPr>
          <w:p>
            <w:pPr>
              <w:jc w:val="right"/>
            </w:pPr>
            <w:r>
              <w:rPr>
                <w:rFonts w:ascii="宋体" w:hAnsi="宋体" w:eastAsia="宋体" w:cs="宋体"/>
                <w:b/>
                <w:i w:val="0"/>
                <w:color w:val="000000"/>
                <w:sz w:val="25"/>
              </w:rPr>
              <w:t>299.59</w:t>
            </w:r>
          </w:p>
        </w:tc>
        <w:tc>
          <w:tcPr>
            <w:tcW w:w="2658" w:type="dxa"/>
            <w:vAlign w:val="center"/>
          </w:tcPr>
          <w:p>
            <w:pPr>
              <w:jc w:val="right"/>
            </w:pPr>
            <w:r>
              <w:rPr>
                <w:rFonts w:ascii="宋体" w:hAnsi="宋体" w:eastAsia="宋体" w:cs="宋体"/>
                <w:b/>
                <w:i w:val="0"/>
                <w:color w:val="000000"/>
                <w:sz w:val="25"/>
              </w:rPr>
              <w:t>10.49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247.88</w:t>
            </w:r>
          </w:p>
        </w:tc>
        <w:tc>
          <w:tcPr>
            <w:tcW w:w="2700" w:type="dxa"/>
            <w:vAlign w:val="center"/>
          </w:tcPr>
          <w:p>
            <w:pPr>
              <w:jc w:val="right"/>
            </w:pPr>
            <w:r>
              <w:rPr>
                <w:rFonts w:ascii="宋体" w:hAnsi="宋体" w:eastAsia="宋体" w:cs="宋体"/>
                <w:b w:val="0"/>
                <w:i w:val="0"/>
                <w:color w:val="000000"/>
                <w:sz w:val="25"/>
              </w:rPr>
              <w:t>239.64</w:t>
            </w:r>
          </w:p>
        </w:tc>
        <w:tc>
          <w:tcPr>
            <w:tcW w:w="2658" w:type="dxa"/>
            <w:vAlign w:val="center"/>
          </w:tcPr>
          <w:p>
            <w:pPr>
              <w:jc w:val="right"/>
            </w:pPr>
            <w:r>
              <w:rPr>
                <w:rFonts w:ascii="宋体" w:hAnsi="宋体" w:eastAsia="宋体" w:cs="宋体"/>
                <w:b w:val="0"/>
                <w:i w:val="0"/>
                <w:color w:val="000000"/>
                <w:sz w:val="25"/>
              </w:rPr>
              <w:t>8.24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1.10</w:t>
            </w:r>
          </w:p>
        </w:tc>
        <w:tc>
          <w:tcPr>
            <w:tcW w:w="2700" w:type="dxa"/>
            <w:vAlign w:val="center"/>
          </w:tcPr>
          <w:p>
            <w:pPr>
              <w:jc w:val="right"/>
            </w:pPr>
            <w:r>
              <w:rPr>
                <w:rFonts w:ascii="宋体" w:hAnsi="宋体" w:eastAsia="宋体" w:cs="宋体"/>
                <w:b w:val="0"/>
                <w:i w:val="0"/>
                <w:color w:val="000000"/>
                <w:sz w:val="25"/>
              </w:rPr>
              <w:t>1.10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1.10</w:t>
            </w:r>
          </w:p>
        </w:tc>
        <w:tc>
          <w:tcPr>
            <w:tcW w:w="2700" w:type="dxa"/>
            <w:vAlign w:val="center"/>
          </w:tcPr>
          <w:p>
            <w:pPr>
              <w:jc w:val="right"/>
            </w:pPr>
            <w:r>
              <w:rPr>
                <w:rFonts w:ascii="宋体" w:hAnsi="宋体" w:eastAsia="宋体" w:cs="宋体"/>
                <w:b w:val="0"/>
                <w:i w:val="0"/>
                <w:color w:val="000000"/>
                <w:sz w:val="25"/>
              </w:rPr>
              <w:t>1.10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20131</w:t>
            </w:r>
          </w:p>
        </w:tc>
        <w:tc>
          <w:tcPr>
            <w:tcW w:w="4700" w:type="dxa"/>
            <w:vAlign w:val="center"/>
          </w:tcPr>
          <w:p>
            <w:pPr>
              <w:jc w:val="left"/>
            </w:pPr>
            <w:r>
              <w:rPr>
                <w:rFonts w:ascii="宋体" w:hAnsi="宋体" w:eastAsia="宋体" w:cs="宋体"/>
                <w:b w:val="0"/>
                <w:i w:val="0"/>
                <w:color w:val="000000"/>
                <w:sz w:val="25"/>
              </w:rPr>
              <w:t>党委办公厅（室）及相关机构事务</w:t>
            </w:r>
          </w:p>
        </w:tc>
        <w:tc>
          <w:tcPr>
            <w:tcW w:w="2700" w:type="dxa"/>
            <w:vAlign w:val="center"/>
          </w:tcPr>
          <w:p>
            <w:pPr>
              <w:jc w:val="right"/>
            </w:pPr>
            <w:r>
              <w:rPr>
                <w:rFonts w:ascii="宋体" w:hAnsi="宋体" w:eastAsia="宋体" w:cs="宋体"/>
                <w:b w:val="0"/>
                <w:i w:val="0"/>
                <w:color w:val="000000"/>
                <w:sz w:val="25"/>
              </w:rPr>
              <w:t>238.22</w:t>
            </w:r>
          </w:p>
        </w:tc>
        <w:tc>
          <w:tcPr>
            <w:tcW w:w="2700" w:type="dxa"/>
            <w:vAlign w:val="center"/>
          </w:tcPr>
          <w:p>
            <w:pPr>
              <w:jc w:val="right"/>
            </w:pPr>
            <w:r>
              <w:rPr>
                <w:rFonts w:ascii="宋体" w:hAnsi="宋体" w:eastAsia="宋体" w:cs="宋体"/>
                <w:b w:val="0"/>
                <w:i w:val="0"/>
                <w:color w:val="000000"/>
                <w:sz w:val="25"/>
              </w:rPr>
              <w:t>229.98</w:t>
            </w:r>
          </w:p>
        </w:tc>
        <w:tc>
          <w:tcPr>
            <w:tcW w:w="2658" w:type="dxa"/>
            <w:vAlign w:val="center"/>
          </w:tcPr>
          <w:p>
            <w:pPr>
              <w:jc w:val="right"/>
            </w:pPr>
            <w:r>
              <w:rPr>
                <w:rFonts w:ascii="宋体" w:hAnsi="宋体" w:eastAsia="宋体" w:cs="宋体"/>
                <w:b w:val="0"/>
                <w:i w:val="0"/>
                <w:color w:val="000000"/>
                <w:sz w:val="25"/>
              </w:rPr>
              <w:t>8.24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227.23</w:t>
            </w:r>
          </w:p>
        </w:tc>
        <w:tc>
          <w:tcPr>
            <w:tcW w:w="2700" w:type="dxa"/>
            <w:vAlign w:val="center"/>
          </w:tcPr>
          <w:p>
            <w:pPr>
              <w:jc w:val="right"/>
            </w:pPr>
            <w:r>
              <w:rPr>
                <w:rFonts w:ascii="宋体" w:hAnsi="宋体" w:eastAsia="宋体" w:cs="宋体"/>
                <w:b w:val="0"/>
                <w:i w:val="0"/>
                <w:color w:val="000000"/>
                <w:sz w:val="25"/>
              </w:rPr>
              <w:t>227.23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2013102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8.24</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8.24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2013150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2.74</w:t>
            </w:r>
          </w:p>
        </w:tc>
        <w:tc>
          <w:tcPr>
            <w:tcW w:w="2700" w:type="dxa"/>
            <w:vAlign w:val="center"/>
          </w:tcPr>
          <w:p>
            <w:pPr>
              <w:jc w:val="right"/>
            </w:pPr>
            <w:r>
              <w:rPr>
                <w:rFonts w:ascii="宋体" w:hAnsi="宋体" w:eastAsia="宋体" w:cs="宋体"/>
                <w:b w:val="0"/>
                <w:i w:val="0"/>
                <w:color w:val="000000"/>
                <w:sz w:val="25"/>
              </w:rPr>
              <w:t>2.74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8.56</w:t>
            </w:r>
          </w:p>
        </w:tc>
        <w:tc>
          <w:tcPr>
            <w:tcW w:w="2700" w:type="dxa"/>
            <w:vAlign w:val="center"/>
          </w:tcPr>
          <w:p>
            <w:pPr>
              <w:jc w:val="right"/>
            </w:pPr>
            <w:r>
              <w:rPr>
                <w:rFonts w:ascii="宋体" w:hAnsi="宋体" w:eastAsia="宋体" w:cs="宋体"/>
                <w:b w:val="0"/>
                <w:i w:val="0"/>
                <w:color w:val="000000"/>
                <w:sz w:val="25"/>
              </w:rPr>
              <w:t>8.56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8.56</w:t>
            </w:r>
          </w:p>
        </w:tc>
        <w:tc>
          <w:tcPr>
            <w:tcW w:w="2700" w:type="dxa"/>
            <w:vAlign w:val="center"/>
          </w:tcPr>
          <w:p>
            <w:pPr>
              <w:jc w:val="right"/>
            </w:pPr>
            <w:r>
              <w:rPr>
                <w:rFonts w:ascii="宋体" w:hAnsi="宋体" w:eastAsia="宋体" w:cs="宋体"/>
                <w:b w:val="0"/>
                <w:i w:val="0"/>
                <w:color w:val="000000"/>
                <w:sz w:val="25"/>
              </w:rPr>
              <w:t>8.56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33.76</w:t>
            </w:r>
          </w:p>
        </w:tc>
        <w:tc>
          <w:tcPr>
            <w:tcW w:w="2700" w:type="dxa"/>
            <w:vAlign w:val="center"/>
          </w:tcPr>
          <w:p>
            <w:pPr>
              <w:jc w:val="right"/>
            </w:pPr>
            <w:r>
              <w:rPr>
                <w:rFonts w:ascii="宋体" w:hAnsi="宋体" w:eastAsia="宋体" w:cs="宋体"/>
                <w:b w:val="0"/>
                <w:i w:val="0"/>
                <w:color w:val="000000"/>
                <w:sz w:val="25"/>
              </w:rPr>
              <w:t>33.76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33.76</w:t>
            </w:r>
          </w:p>
        </w:tc>
        <w:tc>
          <w:tcPr>
            <w:tcW w:w="2700" w:type="dxa"/>
            <w:vAlign w:val="center"/>
          </w:tcPr>
          <w:p>
            <w:pPr>
              <w:jc w:val="right"/>
            </w:pPr>
            <w:r>
              <w:rPr>
                <w:rFonts w:ascii="宋体" w:hAnsi="宋体" w:eastAsia="宋体" w:cs="宋体"/>
                <w:b w:val="0"/>
                <w:i w:val="0"/>
                <w:color w:val="000000"/>
                <w:sz w:val="25"/>
              </w:rPr>
              <w:t>33.76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20.22</w:t>
            </w:r>
          </w:p>
        </w:tc>
        <w:tc>
          <w:tcPr>
            <w:tcW w:w="2700" w:type="dxa"/>
            <w:vAlign w:val="center"/>
          </w:tcPr>
          <w:p>
            <w:pPr>
              <w:jc w:val="right"/>
            </w:pPr>
            <w:r>
              <w:rPr>
                <w:rFonts w:ascii="宋体" w:hAnsi="宋体" w:eastAsia="宋体" w:cs="宋体"/>
                <w:b w:val="0"/>
                <w:i w:val="0"/>
                <w:color w:val="000000"/>
                <w:sz w:val="25"/>
              </w:rPr>
              <w:t>20.22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13.54</w:t>
            </w:r>
          </w:p>
        </w:tc>
        <w:tc>
          <w:tcPr>
            <w:tcW w:w="2700" w:type="dxa"/>
            <w:vAlign w:val="center"/>
          </w:tcPr>
          <w:p>
            <w:pPr>
              <w:jc w:val="right"/>
            </w:pPr>
            <w:r>
              <w:rPr>
                <w:rFonts w:ascii="宋体" w:hAnsi="宋体" w:eastAsia="宋体" w:cs="宋体"/>
                <w:b w:val="0"/>
                <w:i w:val="0"/>
                <w:color w:val="000000"/>
                <w:sz w:val="25"/>
              </w:rPr>
              <w:t>13.54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13.20</w:t>
            </w:r>
          </w:p>
        </w:tc>
        <w:tc>
          <w:tcPr>
            <w:tcW w:w="2700" w:type="dxa"/>
            <w:vAlign w:val="center"/>
          </w:tcPr>
          <w:p>
            <w:pPr>
              <w:jc w:val="right"/>
            </w:pPr>
            <w:r>
              <w:rPr>
                <w:rFonts w:ascii="宋体" w:hAnsi="宋体" w:eastAsia="宋体" w:cs="宋体"/>
                <w:b w:val="0"/>
                <w:i w:val="0"/>
                <w:color w:val="000000"/>
                <w:sz w:val="25"/>
              </w:rPr>
              <w:t>13.20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13.20</w:t>
            </w:r>
          </w:p>
        </w:tc>
        <w:tc>
          <w:tcPr>
            <w:tcW w:w="2700" w:type="dxa"/>
            <w:vAlign w:val="center"/>
          </w:tcPr>
          <w:p>
            <w:pPr>
              <w:jc w:val="right"/>
            </w:pPr>
            <w:r>
              <w:rPr>
                <w:rFonts w:ascii="宋体" w:hAnsi="宋体" w:eastAsia="宋体" w:cs="宋体"/>
                <w:b w:val="0"/>
                <w:i w:val="0"/>
                <w:color w:val="000000"/>
                <w:sz w:val="25"/>
              </w:rPr>
              <w:t>13.20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5.94</w:t>
            </w:r>
          </w:p>
        </w:tc>
        <w:tc>
          <w:tcPr>
            <w:tcW w:w="2700" w:type="dxa"/>
            <w:vAlign w:val="center"/>
          </w:tcPr>
          <w:p>
            <w:pPr>
              <w:jc w:val="right"/>
            </w:pPr>
            <w:r>
              <w:rPr>
                <w:rFonts w:ascii="宋体" w:hAnsi="宋体" w:eastAsia="宋体" w:cs="宋体"/>
                <w:b w:val="0"/>
                <w:i w:val="0"/>
                <w:color w:val="000000"/>
                <w:sz w:val="25"/>
              </w:rPr>
              <w:t>5.94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0.78</w:t>
            </w:r>
          </w:p>
        </w:tc>
        <w:tc>
          <w:tcPr>
            <w:tcW w:w="2700" w:type="dxa"/>
            <w:vAlign w:val="center"/>
          </w:tcPr>
          <w:p>
            <w:pPr>
              <w:jc w:val="right"/>
            </w:pPr>
            <w:r>
              <w:rPr>
                <w:rFonts w:ascii="宋体" w:hAnsi="宋体" w:eastAsia="宋体" w:cs="宋体"/>
                <w:b w:val="0"/>
                <w:i w:val="0"/>
                <w:color w:val="000000"/>
                <w:sz w:val="25"/>
              </w:rPr>
              <w:t>0.78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6.48</w:t>
            </w:r>
          </w:p>
        </w:tc>
        <w:tc>
          <w:tcPr>
            <w:tcW w:w="2700" w:type="dxa"/>
            <w:vAlign w:val="center"/>
          </w:tcPr>
          <w:p>
            <w:pPr>
              <w:jc w:val="right"/>
            </w:pPr>
            <w:r>
              <w:rPr>
                <w:rFonts w:ascii="宋体" w:hAnsi="宋体" w:eastAsia="宋体" w:cs="宋体"/>
                <w:b w:val="0"/>
                <w:i w:val="0"/>
                <w:color w:val="000000"/>
                <w:sz w:val="25"/>
              </w:rPr>
              <w:t>6.48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12.99</w:t>
            </w:r>
          </w:p>
        </w:tc>
        <w:tc>
          <w:tcPr>
            <w:tcW w:w="2700" w:type="dxa"/>
            <w:vAlign w:val="center"/>
          </w:tcPr>
          <w:p>
            <w:pPr>
              <w:jc w:val="right"/>
            </w:pPr>
            <w:r>
              <w:rPr>
                <w:rFonts w:ascii="宋体" w:hAnsi="宋体" w:eastAsia="宋体" w:cs="宋体"/>
                <w:b w:val="0"/>
                <w:i w:val="0"/>
                <w:color w:val="000000"/>
                <w:sz w:val="25"/>
              </w:rPr>
              <w:t>12.99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12.99</w:t>
            </w:r>
          </w:p>
        </w:tc>
        <w:tc>
          <w:tcPr>
            <w:tcW w:w="2700" w:type="dxa"/>
            <w:vAlign w:val="center"/>
          </w:tcPr>
          <w:p>
            <w:pPr>
              <w:jc w:val="right"/>
            </w:pPr>
            <w:r>
              <w:rPr>
                <w:rFonts w:ascii="宋体" w:hAnsi="宋体" w:eastAsia="宋体" w:cs="宋体"/>
                <w:b w:val="0"/>
                <w:i w:val="0"/>
                <w:color w:val="000000"/>
                <w:sz w:val="25"/>
              </w:rPr>
              <w:t>12.99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12.99</w:t>
            </w:r>
          </w:p>
        </w:tc>
        <w:tc>
          <w:tcPr>
            <w:tcW w:w="2700" w:type="dxa"/>
            <w:vAlign w:val="center"/>
          </w:tcPr>
          <w:p>
            <w:pPr>
              <w:jc w:val="right"/>
            </w:pPr>
            <w:r>
              <w:rPr>
                <w:rFonts w:ascii="宋体" w:hAnsi="宋体" w:eastAsia="宋体" w:cs="宋体"/>
                <w:b w:val="0"/>
                <w:i w:val="0"/>
                <w:color w:val="000000"/>
                <w:sz w:val="25"/>
              </w:rPr>
              <w:t>12.99</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部门：中共许昌市委政策研究室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234.36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45.01</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57.45</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3.30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84.25</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11.11</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44.29</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4.38</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13.54</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0.54</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6.58</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6.37</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0.19</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1.96</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13.23</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0.26</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4.08</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20.22</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20.22</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0.04</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9.88</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1.10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1.17</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1.12</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10.15</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4.26</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254.58</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45.01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部门：中共许昌市委政策研究室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部门：中共许昌市委政策研究室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部门：中共许昌市委政策研究室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5.00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1.12</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1.12</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1.12</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2023年度收、支总计均为313.38万元。与上年度相比，收、支总计各增加71.75万元，增长29.69%。主要原因是调入事业编制2人，工资等经费上调，人员经费增加。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290.19万元，其中：财政拨款收入290.19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2023年度支出合计313.12万元，其中：基本支出302.62万元，占96.65%；项目支出10.49万元，占3.35%；上缴上级支出0.00万元，占0.00%；经营支出0.00万元，占0.00%；对附属单位补助支出0.00万元，占0.00%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2023年度财政拨款收、支总计均为310.09万元。与上年度相比，财政拨款收、支总计各增加74.66万元，增长31.71%。主要原因是新增事业编制人员2人人员定额公用经费增加。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2023年度一般公共预算财政拨款支出310.09万元，占支出合计的99.03%。与上年度相比，一般公共预算财政拨款支出增加74.66万元，增长31.71%。主要原因是新增事业编制人员2人，人员定额公用经费增加。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310.09万元，主要用于以下方面：一般公共服务支出（类）247.88万元，占79.94%；社会保障和就业支出（类）33.76万元，占10.89%；卫生健康支出（类）13.20万元，占4.26%；农林水支出（类）2.25万元，占0.73%；住房保障支出（类）12.99万元，占4.19%</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2023年度一般公共预算财政拨款支出年初预算为260.24万元，支出决算为310.09万元，完成年初预算的119.16%。其中：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年初预算数为1.10万元，决算数1.10万元,完成年初预算的100.00%，决算数与年初预算数不存在差异。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2.一般公共服务支出（类）党委办公厅（室）及相关机构事务（款）行政运行（项）</w:t>
      </w:r>
      <w:r>
        <w:rPr>
          <w:rFonts w:hint="default" w:ascii="仿宋" w:hAnsi="仿宋" w:eastAsia="仿宋" w:cs="仿宋"/>
          <w:kern w:val="0"/>
          <w:sz w:val="32"/>
          <w:szCs w:val="32"/>
          <w:lang w:val="en-US" w:eastAsia="zh-CN"/>
        </w:rPr>
        <w:t>年初预算数为189.35万元，决算数227.23万元,完成年初预算的120.01%，决算数与年初预算数存在差异的主要原因是新增事业人员2人，经费增加。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3.一般公共服务支出（类）党委办公厅（室）及相关机构事务（款）一般行政管理事务（项）</w:t>
      </w:r>
      <w:r>
        <w:rPr>
          <w:rFonts w:hint="default" w:ascii="仿宋" w:hAnsi="仿宋" w:eastAsia="仿宋" w:cs="仿宋"/>
          <w:kern w:val="0"/>
          <w:sz w:val="32"/>
          <w:szCs w:val="32"/>
          <w:lang w:val="en-US" w:eastAsia="zh-CN"/>
        </w:rPr>
        <w:t>年初预算数为15.00万元，决算数8.24万元,完成年初预算的54.93%，决算数与年初预算数存在差异的主要原因是项目活动减少，实际经费下降。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4.一般公共服务支出（类）党委办公厅（室）及相关机构事务（款）事业运行（项）</w:t>
      </w:r>
      <w:r>
        <w:rPr>
          <w:rFonts w:hint="default" w:ascii="仿宋" w:hAnsi="仿宋" w:eastAsia="仿宋" w:cs="仿宋"/>
          <w:kern w:val="0"/>
          <w:sz w:val="32"/>
          <w:szCs w:val="32"/>
          <w:lang w:val="en-US" w:eastAsia="zh-CN"/>
        </w:rPr>
        <w:t>年初预算数为0.00万元，决算数2.74万元,决算数与年初预算数存在差异的主要原因是根据业务需要，年中相应调剂安排财政拨款预算。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年初预算数为0.00万元，决算数8.56万元,决算数与年初预算数存在差异的主要原因是根据业务需要，年中相应调剂安排财政拨款预算。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6.社会保障和就业支出（类）行政事业单位养老支出（款）行政单位离退休（项）</w:t>
      </w:r>
      <w:r>
        <w:rPr>
          <w:rFonts w:hint="default" w:ascii="仿宋" w:hAnsi="仿宋" w:eastAsia="仿宋" w:cs="仿宋"/>
          <w:kern w:val="0"/>
          <w:sz w:val="32"/>
          <w:szCs w:val="32"/>
          <w:lang w:val="en-US" w:eastAsia="zh-CN"/>
        </w:rPr>
        <w:t>年初预算数为16.04万元，决算数20.22万元,完成年初预算的126.06%，决算数与年初预算数存在差异的主要原因是新增事业人员2人，经费增加。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年初预算数为12.62万元，决算数13.54万元,完成年初预算的107.29%，决算数与年初预算数存在差异的主要原因是新增事业人员2人，经费增加。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8.卫生健康支出（类）行政事业单位医疗（款）行政单位医疗（项）</w:t>
      </w:r>
      <w:r>
        <w:rPr>
          <w:rFonts w:hint="default" w:ascii="仿宋" w:hAnsi="仿宋" w:eastAsia="仿宋" w:cs="仿宋"/>
          <w:kern w:val="0"/>
          <w:sz w:val="32"/>
          <w:szCs w:val="32"/>
          <w:lang w:val="en-US" w:eastAsia="zh-CN"/>
        </w:rPr>
        <w:t>年初预算数为5.94万元，决算数5.94万元,完成年初预算的100.00%，决算数与年初预算数不存在差异。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9.卫生健康支出（类）行政事业单位医疗（款）事业单位医疗（项）</w:t>
      </w:r>
      <w:r>
        <w:rPr>
          <w:rFonts w:hint="default" w:ascii="仿宋" w:hAnsi="仿宋" w:eastAsia="仿宋" w:cs="仿宋"/>
          <w:kern w:val="0"/>
          <w:sz w:val="32"/>
          <w:szCs w:val="32"/>
          <w:lang w:val="en-US" w:eastAsia="zh-CN"/>
        </w:rPr>
        <w:t>年初预算数为0.78万元，决算数0.78万元,完成年初预算的100.00%，决算数与年初预算数不存在差异。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10.卫生健康支出（类）行政事业单位医疗（款）公务员医疗补助（项）</w:t>
      </w:r>
      <w:r>
        <w:rPr>
          <w:rFonts w:hint="default" w:ascii="仿宋" w:hAnsi="仿宋" w:eastAsia="仿宋" w:cs="仿宋"/>
          <w:kern w:val="0"/>
          <w:sz w:val="32"/>
          <w:szCs w:val="32"/>
          <w:lang w:val="en-US" w:eastAsia="zh-CN"/>
        </w:rPr>
        <w:t>年初预算数为6.60万元，决算数6.48万元,完成年初预算的98.18%，决算数与年初预算数存在差异的主要原因是根据缴费基数调整，决算支出数有少量差异。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年初预算数为0.00万元，决算数2.25万元,决算数与年初预算数存在差异的主要原因是根据业务需要，年中相应调剂安排财政拨款预算。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12.住房保障支出（类）住房改革支出（款）住房公积金（项）</w:t>
      </w:r>
      <w:r>
        <w:rPr>
          <w:rFonts w:hint="default" w:ascii="仿宋" w:hAnsi="仿宋" w:eastAsia="仿宋" w:cs="仿宋"/>
          <w:kern w:val="0"/>
          <w:sz w:val="32"/>
          <w:szCs w:val="32"/>
          <w:lang w:val="en-US" w:eastAsia="zh-CN"/>
        </w:rPr>
        <w:t>年初预算数为12.80万元，决算数12.99万元,完成年初预算的101.48%，决算数与年初预算数存在差异的主要原因是新增事业人员2人，经费增加。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299.59万元。其中：人员经费254.58万元，主要包括：基本工资、津贴补贴、奖金、绩效工资、机关事业单位基本养老保险缴费、职工基本医疗保险缴费、公务员医疗补助缴费、其他社会保障缴费、住房公积金、其他工资福利支出、退休费。公用经费45.01万元，主要包括：办公费、印刷费、邮电费、物业管理费、差旅费、维修（护）费、培训费、劳务费、委托业务费、工会经费、福利费、公务用车运行维护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2023年度“三公”经费财政拨款支出预算为5.00万元，支出决算为1.12万元，完成预算的22.40%。2023年度“三公”经费支出决算数与预算数存在差异的主要原因是响应“过紧日子”要求，压减公用经费相关支出。</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1.12万元,完成预算的28.00%，占100.00%；公务接待费支出决算0.00万元，完成预算的0.00%，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预算为4.00万元，支出决算为1.12万元，完成预算的28.00%。决算数与预算数存在差异的主要原因是例行节约，车辆维护实际工作经费减少。其中：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1.12万元。主要用于因公出行以及开展课题调研等业务所需车辆燃料费、维修费、保险费、过路过桥费等。2023年期末，部门开支财政拨款的公务用车保有量为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预算为1.00万元，支出决算为0.00万元</w:t>
      </w:r>
      <w:r>
        <w:rPr>
          <w:rFonts w:hint="eastAsia" w:ascii="仿宋" w:hAnsi="仿宋" w:eastAsia="仿宋" w:cs="仿宋"/>
          <w:kern w:val="0"/>
          <w:sz w:val="32"/>
          <w:szCs w:val="32"/>
          <w:lang w:val="en-US" w:eastAsia="zh-CN"/>
        </w:rPr>
        <w:t>，完成预算的0.00%</w:t>
      </w:r>
      <w:r>
        <w:rPr>
          <w:rFonts w:hint="eastAsia" w:ascii="仿宋" w:hAnsi="仿宋" w:eastAsia="仿宋" w:cs="仿宋"/>
          <w:b w:val="0"/>
          <w:bCs w:val="0"/>
          <w:kern w:val="0"/>
          <w:sz w:val="32"/>
          <w:szCs w:val="32"/>
          <w:lang w:val="en-US" w:eastAsia="zh-CN"/>
        </w:rPr>
        <w:t>。决算数与预算数存在差异的主要原因是严控公务接待活动，公务接待费实际工作经费减少。其中：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2023年度机关运行经费支出45.01万元，较2022年度增长24.25万元，增长116.81%，主要原因是新增事业人员2名，调研活动增加，导致机关运行费用增加。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涉及预算资金325.3万元。自评得分为99分，等级为“优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围绕市委中心工作，常态化开展调查研究，全年编发《咨政参考》12期，服务领导科学决策；编发《许昌工作》6期，发行6000余册，加强机关自身建设，完成省级文明单位创建、节约型机关创建，实现了年度预期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基于项目预期目标的实现程度，我部门对2023年度部门预算项目支出（含部门参与分配的转移支付项目）开展绩效自评，涉及项目3个，项目金额34.99万元。其中：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工作》编辑发行经费,自评得分为98.16分，等级为“优”。预算执行率达到81.6%，编发《许昌工作》6期，重点选取120个国内大中城市定向发行，并联系许昌籍外地领导干部精准投递，发行6000余册，并对《许昌工作》进行全新改版升级，调整版面布局、创新栏目设置、丰富刊登内容，积极宣传许昌成功经验与做法，展示许昌良好形象面貌，完成了年度预期目标。下一步将持续发挥好“传递政策信息、交流工作经验、推动经济发展、展示魅力许昌”的重要作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老区建设促进会专项资金，自评得分为83.54分，等级为“良”。预算执行率达到17.7%，老区建设促进会围绕老区发展，开展调查研究，配合党委政府为老区办实事，得到主管部门和老区群众一直认可，深入革命老区，宣传国家方针政策，搭建老区建设交流、发展服务平台，完成了年度预期目标。存在成本指标执行率较低问题，主要原因是老区建设促进会调研活动减少，下一步将持续围绕老区发展，加大调研活动力度，搭建老区建设交流、发展服务平台。</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老区建设促进会编印《许昌革命故事》专项资金，自评得分为98.75分，等级为“优”。预算执行率达到100%，市老区建设促进会拟征集全市革命老区英勇事件、英雄故事，编辑出版《许昌革命故事》，约50万字，目前已正式出版，完成了年度预期目标。存在宣传方式不够创新的问题，下一步将加大《许昌革命故事》宣传推介力度，传承革命老区红色记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下一步我单位将持续对预算规定的资金用途开展绩效评价和监控，确保资金合理规范使用，不断提高绩效管理工作水平，充分发挥财政资金使用效益，创新宣传推介方式平台，提升绩效自评质量。</w:t>
      </w:r>
      <w:bookmarkStart w:id="0" w:name="_GoBack"/>
      <w:bookmarkEnd w:id="0"/>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8"/>
        <w:gridCol w:w="951"/>
        <w:gridCol w:w="1933"/>
        <w:gridCol w:w="1301"/>
        <w:gridCol w:w="1372"/>
        <w:gridCol w:w="1116"/>
        <w:gridCol w:w="576"/>
        <w:gridCol w:w="810"/>
        <w:gridCol w:w="81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589" w:type="dxa"/>
            <w:gridSpan w:val="10"/>
            <w:tcBorders>
              <w:top w:val="nil"/>
              <w:left w:val="nil"/>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38"/>
                <w:szCs w:val="38"/>
                <w:u w:val="none"/>
                <w:lang w:val="en-US" w:eastAsia="zh-CN"/>
              </w:rPr>
              <w:t>部门整体支出绩效自评情况表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pStyle w:val="10"/>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中共许昌市委政策研究室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部门整体支出情况(万元)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部门预算总额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260.24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325.3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313.17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96.27 %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资金来源：（1）财政拨款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260.24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321.02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310.09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en-AU"/>
              </w:rPr>
            </w:pPr>
            <w:r>
              <w:rPr>
                <w:rFonts w:ascii="宋体" w:hAnsi="宋体" w:eastAsia="宋体" w:cs="宋体"/>
                <w:i w:val="0"/>
                <w:iCs w:val="0"/>
                <w:color w:val="000000"/>
                <w:kern w:val="0"/>
                <w:sz w:val="18"/>
                <w:szCs w:val="18"/>
                <w:u w:val="none"/>
                <w:lang w:val="en-US" w:eastAsia="zh-CN" w:bidi="en-AU"/>
              </w:rPr>
              <w:t>（3）单位资金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3.08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71.96 %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年度履职目标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gridSpan w:val="4"/>
            <w:tcBorders>
              <w:top w:val="single" w:color="000000" w:sz="4" w:space="0"/>
              <w:left w:val="single" w:color="000000" w:sz="4" w:space="0"/>
              <w:bottom w:val="nil"/>
              <w:right w:val="single" w:color="000000" w:sz="4" w:space="0"/>
            </w:tcBorders>
            <w:shd w:val="clear" w:color="auto" w:fill="auto"/>
            <w:vAlign w:val="top"/>
          </w:tcPr>
          <w:p>
            <w:pPr>
              <w:pStyle w:val="10"/>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目标1：加强调查研究工作</w:t>
            </w:r>
            <w:r>
              <w:br w:type="textWrapping"/>
            </w:r>
            <w:r>
              <w:rPr>
                <w:rFonts w:hint="eastAsia" w:ascii="宋体" w:hAnsi="宋体" w:eastAsia="宋体" w:cs="宋体"/>
                <w:i w:val="0"/>
                <w:iCs w:val="0"/>
                <w:color w:val="000000"/>
                <w:kern w:val="0"/>
                <w:sz w:val="18"/>
                <w:szCs w:val="18"/>
                <w:u w:val="none"/>
                <w:lang w:val="en-US" w:eastAsia="zh-CN" w:bidi="en-AU"/>
              </w:rPr>
              <w:t>目标2：办好政研内部刊物</w:t>
            </w:r>
            <w:r>
              <w:br w:type="textWrapping"/>
            </w:r>
            <w:r>
              <w:rPr>
                <w:rFonts w:hint="eastAsia" w:ascii="宋体" w:hAnsi="宋体" w:eastAsia="宋体" w:cs="宋体"/>
                <w:i w:val="0"/>
                <w:iCs w:val="0"/>
                <w:color w:val="000000"/>
                <w:kern w:val="0"/>
                <w:sz w:val="18"/>
                <w:szCs w:val="18"/>
                <w:u w:val="none"/>
                <w:lang w:val="en-US" w:eastAsia="zh-CN" w:bidi="en-AU"/>
              </w:rPr>
              <w:t>目标3：加强机关自身建设</w:t>
            </w:r>
          </w:p>
        </w:tc>
        <w:tc>
          <w:tcPr>
            <w:tcW w:w="0" w:type="auto"/>
            <w:gridSpan w:val="5"/>
            <w:tcBorders>
              <w:top w:val="single" w:color="000000" w:sz="4" w:space="0"/>
              <w:left w:val="single" w:color="000000" w:sz="4" w:space="0"/>
              <w:bottom w:val="nil"/>
              <w:right w:val="single" w:color="000000" w:sz="4" w:space="0"/>
            </w:tcBorders>
            <w:shd w:val="clear" w:color="auto" w:fill="auto"/>
            <w:vAlign w:val="top"/>
          </w:tcPr>
          <w:p>
            <w:pPr>
              <w:pStyle w:val="10"/>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1.围绕市委中心工作，常态化开展调查研究。</w:t>
            </w:r>
            <w:r>
              <w:br w:type="textWrapping"/>
            </w:r>
            <w:r>
              <w:rPr>
                <w:rFonts w:hint="eastAsia" w:ascii="宋体" w:hAnsi="宋体" w:eastAsia="宋体" w:cs="宋体"/>
                <w:i w:val="0"/>
                <w:iCs w:val="0"/>
                <w:color w:val="000000"/>
                <w:kern w:val="0"/>
                <w:sz w:val="18"/>
                <w:szCs w:val="18"/>
                <w:u w:val="none"/>
                <w:lang w:val="en-US" w:eastAsia="zh-CN" w:bidi="en-AU"/>
              </w:rPr>
              <w:t>2.全年编发《咨政参考》12期，服务领导科学决策；编发《许昌工作》6期，发行6000余册。</w:t>
            </w:r>
            <w:r>
              <w:br w:type="textWrapping"/>
            </w:r>
            <w:r>
              <w:rPr>
                <w:rFonts w:hint="eastAsia" w:ascii="宋体" w:hAnsi="宋体" w:eastAsia="宋体" w:cs="宋体"/>
                <w:i w:val="0"/>
                <w:iCs w:val="0"/>
                <w:color w:val="000000"/>
                <w:kern w:val="0"/>
                <w:sz w:val="18"/>
                <w:szCs w:val="18"/>
                <w:u w:val="none"/>
                <w:lang w:val="en-US" w:eastAsia="zh-CN" w:bidi="en-AU"/>
              </w:rPr>
              <w:t>3.加强机关自身建设，完成省级文明单位创建、节约型机关创建。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年度主要任务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 xml:space="preserve">加强调查研究工作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围绕市委中心工作，开展专题专项调研，完成调研报告或决策建议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围绕共同富裕、科技创新、乡村振兴等市委中心工作开展专题调研，形成高质量调研报告。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 xml:space="preserve">办好政研内部刊物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 xml:space="preserve">编辑刊发《咨政参考》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编发《咨政参考》12期，服务领导科学决策。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办好市委机关刊物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提高《许昌工作》编发质量</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编发《许昌工作》6期，发行6000余册。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三级指标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年度指标值</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偏差度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年度履职目标相关性</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相关</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工作任务科学性</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科学</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绩效指标合理性</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合理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预算编制完整性</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完整</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专项资金细化率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预算调整率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结转结余率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“三公经费”控制率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政府采购执行率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根据工作需要调整，未采购相关设备。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决算真实性</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真实</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资金使用合规性</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合规</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管理制度健全性</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健全</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预决算信息公开性</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公开</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资产管理规范性</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规范</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绩效目标编制完成率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绩效监控完成率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绩效自评完成率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部门绩效评价完成率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评价结果应用率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 xml:space="preserve"> 开展专题专项调研，完成调研报告或决策建议完成率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 xml:space="preserve"> 编辑刊发《咨政参考》计划完成率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加强《许昌工作》编辑完成率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 xml:space="preserve"> 加强机关自身建设实现率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 xml:space="preserve"> 办好政研内部刊物实现率 </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 xml:space="preserve"> 加强调查研究工作实现率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 xml:space="preserve"> 围绕市委中心工作，开展专题专项调研，咨政建言</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较好</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 xml:space="preserve">  市领导满意度</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 xml:space="preserve"> 群众满意度</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企业满意度</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en-AU"/>
              </w:rPr>
            </w:pPr>
            <w:r>
              <w:rPr>
                <w:rFonts w:hint="eastAsia"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kern w:val="0"/>
                <w:sz w:val="18"/>
                <w:szCs w:val="18"/>
                <w:u w:val="none"/>
                <w:lang w:val="en-US" w:eastAsia="zh-CN" w:bidi="en-AU"/>
              </w:rPr>
            </w:pPr>
          </w:p>
        </w:tc>
      </w:tr>
    </w:tbl>
    <w:p>
      <w:pPr>
        <w:pStyle w:val="10"/>
        <w:sectPr>
          <w:pgSz w:w="11906" w:h="16838"/>
          <w:pgMar w:top="720" w:right="720" w:bottom="720" w:left="720" w:header="851" w:footer="992" w:gutter="0"/>
          <w:cols w:space="425" w:num="1"/>
          <w:docGrid w:type="lines" w:linePitch="312" w:charSpace="0"/>
        </w:sect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8"/>
        <w:gridCol w:w="350"/>
        <w:gridCol w:w="1005"/>
        <w:gridCol w:w="709"/>
        <w:gridCol w:w="2809"/>
        <w:gridCol w:w="3028"/>
        <w:gridCol w:w="709"/>
        <w:gridCol w:w="512"/>
        <w:gridCol w:w="512"/>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nil"/>
              <w:left w:val="nil"/>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b/>
                <w:bCs/>
                <w:i w:val="0"/>
                <w:color w:val="000000"/>
                <w:kern w:val="0"/>
                <w:sz w:val="40"/>
                <w:szCs w:val="40"/>
                <w:u w:val="none"/>
                <w:lang w:val="en-US" w:eastAsia="zh-CN"/>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《许昌工作》编辑发行经费（基本运转支出）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中共许昌市委政策研究室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中共许昌市委政策研究室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81.6 %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81.6 %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按照部门预算编制和资金管理办法的要求，进行项目论证、评审等必要程序。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10"/>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目标1：紧紧围绕市委中心工作，紧扣时代脉搏，创新刊物形式，提升办刊水平，发挥“传递政策信息、交流工作经验、推动经济发展、展示魅力许昌”的重要作用。 </w:t>
            </w:r>
            <w:r>
              <w:br w:type="textWrapping"/>
            </w:r>
            <w:r>
              <w:rPr>
                <w:rFonts w:hint="eastAsia" w:ascii="宋体" w:hAnsi="宋体" w:eastAsia="宋体" w:cs="宋体"/>
                <w:i w:val="0"/>
                <w:color w:val="000000"/>
                <w:kern w:val="0"/>
                <w:sz w:val="18"/>
                <w:szCs w:val="18"/>
                <w:u w:val="none"/>
                <w:lang w:val="en-US" w:eastAsia="zh-CN"/>
              </w:rPr>
              <w:t>目标2：更好发挥党委喉舌作用，进一步围绕市委中心工作，服务全市经济社会发展大局，积极宣传许昌成功经验与做法，展示许昌良好形象面貌。</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1.编发《许昌工作》6期，重点选取120个国内大中城市定向发行，并联系许昌籍外地领导干部精准投递，发行6000余册。</w:t>
            </w:r>
            <w:r>
              <w:br w:type="textWrapping"/>
            </w:r>
            <w:r>
              <w:rPr>
                <w:rFonts w:hint="eastAsia" w:ascii="宋体" w:hAnsi="宋体" w:eastAsia="宋体" w:cs="宋体"/>
                <w:i w:val="0"/>
                <w:color w:val="000000"/>
                <w:kern w:val="0"/>
                <w:sz w:val="18"/>
                <w:szCs w:val="18"/>
                <w:u w:val="none"/>
                <w:lang w:val="en-US" w:eastAsia="zh-CN"/>
              </w:rPr>
              <w:t>2.对《许昌工作》进行全新改版升级，创新栏目设置、丰富刊登内容，积极宣传许昌成功经验与做法，展示许昌良好形象面貌。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28000元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12800元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印刷数量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≥6000册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6000册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出版期数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印刷质量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符合规定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发行及时性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12月底前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传递政策信息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持续传递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市县乡相关部门满意度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省市领导满意度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98.16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bl>
    <w:p>
      <w:pPr>
        <w:pStyle w:val="10"/>
        <w:rPr>
          <w:sz w:val="18"/>
          <w:szCs w:val="18"/>
        </w:rPr>
        <w:sectPr>
          <w:pgSz w:w="11906" w:h="16838"/>
          <w:pgMar w:top="720" w:right="720" w:bottom="720" w:left="720" w:header="851" w:footer="992" w:gutter="0"/>
          <w:cols w:space="425" w:num="1"/>
          <w:docGrid w:type="lines" w:linePitch="312" w:charSpace="0"/>
        </w:sectPr>
      </w:pP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654"/>
        <w:gridCol w:w="545"/>
        <w:gridCol w:w="1174"/>
        <w:gridCol w:w="677"/>
        <w:gridCol w:w="2212"/>
        <w:gridCol w:w="499"/>
        <w:gridCol w:w="1713"/>
        <w:gridCol w:w="705"/>
        <w:gridCol w:w="509"/>
        <w:gridCol w:w="509"/>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89" w:type="dxa"/>
            <w:gridSpan w:val="12"/>
            <w:tcBorders>
              <w:top w:val="nil"/>
              <w:left w:val="nil"/>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b/>
                <w:bCs/>
                <w:i w:val="0"/>
                <w:color w:val="000000"/>
                <w:kern w:val="0"/>
                <w:sz w:val="40"/>
                <w:szCs w:val="40"/>
                <w:u w:val="none"/>
                <w:lang w:val="en-US" w:eastAsia="zh-CN"/>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项目名称</w:t>
            </w:r>
          </w:p>
        </w:tc>
        <w:tc>
          <w:tcPr>
            <w:tcW w:w="98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市老区建设促进会专项资金（基本运转支出）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主管部门</w:t>
            </w: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中共许昌市委政策研究室</w:t>
            </w:r>
          </w:p>
        </w:tc>
        <w:tc>
          <w:tcPr>
            <w:tcW w:w="44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实施单位</w:t>
            </w:r>
          </w:p>
        </w:tc>
        <w:tc>
          <w:tcPr>
            <w:tcW w:w="24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中共许昌市委政策研究室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项目资金                (万元)</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年初预算数</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全年预算数</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全年执行数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分值</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执行率</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年度资金总额：</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4.17</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41.7 %</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财政拨款</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4.17</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41.7 %</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财政专户管理资金</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单位资金</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资金管理情况</w:t>
            </w:r>
          </w:p>
        </w:tc>
        <w:tc>
          <w:tcPr>
            <w:tcW w:w="2373" w:type="dxa"/>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51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情况说明</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分值（20）</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得分</w:t>
            </w:r>
          </w:p>
        </w:tc>
        <w:tc>
          <w:tcPr>
            <w:tcW w:w="1195" w:type="dxa"/>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2373" w:type="dxa"/>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安排科学性</w:t>
            </w:r>
          </w:p>
        </w:tc>
        <w:tc>
          <w:tcPr>
            <w:tcW w:w="51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按照部门预算编制和资金管理办法的要求，进行项目论证、评审等必要程序。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1195" w:type="dxa"/>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2373" w:type="dxa"/>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拨付合规性</w:t>
            </w:r>
          </w:p>
        </w:tc>
        <w:tc>
          <w:tcPr>
            <w:tcW w:w="51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1195" w:type="dxa"/>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2373" w:type="dxa"/>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使用规范性</w:t>
            </w:r>
          </w:p>
        </w:tc>
        <w:tc>
          <w:tcPr>
            <w:tcW w:w="51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严格按照下达预算的科目和项目执行，未出现截留、挤占、挪用和擅自调整等问题。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1195" w:type="dxa"/>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2373" w:type="dxa"/>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预算绩效管理情况</w:t>
            </w:r>
          </w:p>
        </w:tc>
        <w:tc>
          <w:tcPr>
            <w:tcW w:w="51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将资金纳入绩效管理，设置绩效目标，开展绩效监控。</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1195" w:type="dxa"/>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年度总体目标</w:t>
            </w: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预期目标</w:t>
            </w:r>
          </w:p>
        </w:tc>
        <w:tc>
          <w:tcPr>
            <w:tcW w:w="68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目标1：宣传国家方针政策； </w:t>
            </w:r>
            <w:r>
              <w:br w:type="textWrapping"/>
            </w:r>
            <w:r>
              <w:rPr>
                <w:rFonts w:hint="eastAsia" w:ascii="宋体" w:hAnsi="宋体" w:eastAsia="宋体" w:cs="宋体"/>
                <w:i w:val="0"/>
                <w:color w:val="000000"/>
                <w:kern w:val="0"/>
                <w:sz w:val="18"/>
                <w:szCs w:val="18"/>
                <w:u w:val="none"/>
                <w:lang w:val="en-US" w:eastAsia="zh-CN"/>
              </w:rPr>
              <w:t xml:space="preserve">目标2：围绕老区发展，开展老区调查研究，搭建老区建设交流、发展服务平台； </w:t>
            </w:r>
            <w:r>
              <w:br w:type="textWrapping"/>
            </w:r>
            <w:r>
              <w:rPr>
                <w:rFonts w:hint="eastAsia" w:ascii="宋体" w:hAnsi="宋体" w:eastAsia="宋体" w:cs="宋体"/>
                <w:i w:val="0"/>
                <w:color w:val="000000"/>
                <w:kern w:val="0"/>
                <w:sz w:val="18"/>
                <w:szCs w:val="18"/>
                <w:u w:val="none"/>
                <w:lang w:val="en-US" w:eastAsia="zh-CN"/>
              </w:rPr>
              <w:t>目标3：配合党委政府为老区办实事，为开发老区资源，发展经济，做好穿针引线工作。</w:t>
            </w:r>
          </w:p>
        </w:tc>
        <w:tc>
          <w:tcPr>
            <w:tcW w:w="68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1.围绕老区发展，开展调查研究；</w:t>
            </w:r>
            <w:r>
              <w:br w:type="textWrapping"/>
            </w:r>
            <w:r>
              <w:rPr>
                <w:rFonts w:hint="eastAsia" w:ascii="宋体" w:hAnsi="宋体" w:eastAsia="宋体" w:cs="宋体"/>
                <w:i w:val="0"/>
                <w:color w:val="000000"/>
                <w:kern w:val="0"/>
                <w:sz w:val="18"/>
                <w:szCs w:val="18"/>
                <w:u w:val="none"/>
                <w:lang w:val="en-US" w:eastAsia="zh-CN"/>
              </w:rPr>
              <w:t>2.配合党委政府为老区办实事，得到主管部门和老区群众一直认可；</w:t>
            </w:r>
            <w:r>
              <w:br w:type="textWrapping"/>
            </w:r>
            <w:r>
              <w:rPr>
                <w:rFonts w:hint="eastAsia" w:ascii="宋体" w:hAnsi="宋体" w:eastAsia="宋体" w:cs="宋体"/>
                <w:i w:val="0"/>
                <w:color w:val="000000"/>
                <w:kern w:val="0"/>
                <w:sz w:val="18"/>
                <w:szCs w:val="18"/>
                <w:u w:val="none"/>
                <w:lang w:val="en-US" w:eastAsia="zh-CN"/>
              </w:rPr>
              <w:t>3.深入革命老区，宣传国家方针政策，搭建老区建设交流、发展服务平台。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89"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89"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一级指标</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二级指标</w:t>
            </w:r>
          </w:p>
        </w:tc>
        <w:tc>
          <w:tcPr>
            <w:tcW w:w="1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三级指标</w:t>
            </w:r>
          </w:p>
        </w:tc>
        <w:tc>
          <w:tcPr>
            <w:tcW w:w="33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年度指标值</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实际值完成值</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分值</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得分</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偏差度</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1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33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成本指标</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经济成本指标</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调研成本</w:t>
            </w:r>
          </w:p>
        </w:tc>
        <w:tc>
          <w:tcPr>
            <w:tcW w:w="3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≥100000元</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41700元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4.17</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-58.30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调研活动较少。加大调研活动力度。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产出指标</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数量指标</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参加（召开）会议</w:t>
            </w:r>
          </w:p>
        </w:tc>
        <w:tc>
          <w:tcPr>
            <w:tcW w:w="3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≥2次</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上报意见建议</w:t>
            </w:r>
          </w:p>
        </w:tc>
        <w:tc>
          <w:tcPr>
            <w:tcW w:w="3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≥2条</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形成调查研究报告</w:t>
            </w:r>
          </w:p>
        </w:tc>
        <w:tc>
          <w:tcPr>
            <w:tcW w:w="3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≥2篇</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质量指标</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调研报告质量</w:t>
            </w:r>
          </w:p>
        </w:tc>
        <w:tc>
          <w:tcPr>
            <w:tcW w:w="3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切实可行</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时效指标</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会议及时性</w:t>
            </w:r>
          </w:p>
        </w:tc>
        <w:tc>
          <w:tcPr>
            <w:tcW w:w="3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12月底前</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调研报告及时性</w:t>
            </w:r>
          </w:p>
        </w:tc>
        <w:tc>
          <w:tcPr>
            <w:tcW w:w="3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12月底前</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效益指标</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社会效益指标</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传递政策信息</w:t>
            </w:r>
          </w:p>
        </w:tc>
        <w:tc>
          <w:tcPr>
            <w:tcW w:w="3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持续传递</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25</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满意度指标</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服务对象满意度指标</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主管部门满意度</w:t>
            </w:r>
          </w:p>
        </w:tc>
        <w:tc>
          <w:tcPr>
            <w:tcW w:w="3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老区群众满意度</w:t>
            </w:r>
          </w:p>
        </w:tc>
        <w:tc>
          <w:tcPr>
            <w:tcW w:w="3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≥90%</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1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总分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88.34</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p>
        </w:tc>
      </w:tr>
    </w:tbl>
    <w:p>
      <w:pPr>
        <w:pStyle w:val="10"/>
        <w:rPr>
          <w:sz w:val="18"/>
          <w:szCs w:val="18"/>
        </w:rPr>
        <w:sectPr>
          <w:pgSz w:w="11906" w:h="16838"/>
          <w:pgMar w:top="720" w:right="720" w:bottom="720" w:left="720" w:header="851" w:footer="992" w:gutter="0"/>
          <w:cols w:space="425" w:num="1"/>
          <w:docGrid w:type="lines" w:linePitch="312" w:charSpace="0"/>
        </w:sectPr>
      </w:pP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6"/>
        <w:gridCol w:w="348"/>
        <w:gridCol w:w="993"/>
        <w:gridCol w:w="702"/>
        <w:gridCol w:w="2771"/>
        <w:gridCol w:w="2987"/>
        <w:gridCol w:w="702"/>
        <w:gridCol w:w="540"/>
        <w:gridCol w:w="508"/>
        <w:gridCol w:w="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nil"/>
              <w:left w:val="nil"/>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b/>
                <w:bCs/>
                <w:i w:val="0"/>
                <w:color w:val="000000"/>
                <w:kern w:val="0"/>
                <w:sz w:val="40"/>
                <w:szCs w:val="40"/>
                <w:u w:val="none"/>
                <w:lang w:val="en-US" w:eastAsia="zh-CN"/>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编印《许昌革命故事》（结转本级资金）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中共许昌市委政策研究室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中共许昌市委政策研究室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 xml:space="preserve">按照部门预算编制和资金管理办法的要求，进行项目论证、评审等必要程序。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市老区建设促进会拟征集全市革命老区英勇事件、英雄故事，编辑出版《许昌革命故事》，约50万字，国内统一书号，拟印精装16K本2000册，约需征集、编辑、印刷费等费用共19.9万。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《许昌革命故事》已正式出版。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书号费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稿费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编审费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印刷数量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≥2000册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2000册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印刷质量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宣传全市革命老区英勇事件、英雄故事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持续宣传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23.75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宣传方式不够创新。持续做好宣传。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党员干部满意度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98.75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top"/>
              <w:rPr>
                <w:rFonts w:hint="eastAsia" w:ascii="宋体" w:hAnsi="宋体" w:eastAsia="宋体" w:cs="宋体"/>
                <w:i w:val="0"/>
                <w:color w:val="000000"/>
                <w:kern w:val="0"/>
                <w:sz w:val="18"/>
                <w:szCs w:val="18"/>
                <w:u w:val="none"/>
                <w:lang w:val="en-US" w:eastAsia="zh-CN"/>
              </w:rPr>
            </w:pPr>
          </w:p>
        </w:tc>
      </w:tr>
    </w:tbl>
    <w:p>
      <w:pPr>
        <w:pStyle w:val="10"/>
        <w:rPr>
          <w:sz w:val="18"/>
          <w:szCs w:val="18"/>
        </w:rPr>
        <w:sectPr>
          <w:pgSz w:w="11906" w:h="16838"/>
          <w:pgMar w:top="720" w:right="720" w:bottom="720" w:left="72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0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5Lx8q7AEAAMIDAAAOAAAAZHJz&#10;L2Uyb0RvYy54bWytU82O0zAQviPxDpbvNGmEUBU1XSFWRUgrttLCA7iO3Vjyn8Zuk/IA8AacuHDn&#10;ufocjJ2ku/ycEBdnPB5/nu+bL+ubwWhyEhCUsw1dLkpKhOWuVfbQ0I8fti9WlITIbMu0s6KhZxHo&#10;zeb5s3Xva1G5zulWAEEQG+reN7SL0ddFEXgnDAsL54XFQ+nAsIhbOBQtsB7RjS6qsnxV9A5aD46L&#10;EDB7Ox7STcaXUvB4L2UQkeiGYm8xr5DXfVqLzZrVB2C+U3xqg/1DF4Ypi49eoW5ZZOQI6g8oozi4&#10;4GRccGcKJ6XiInNANsvyNzYPHfMic0Fxgr/KFP4fLH9/2gFRbUNfVmVFiWUGp3T5+uXy7cfl+2ey&#10;TAr1PtRY+OB3MO0ChonuIMGkLxIhQ1b1fFVVDJFwTC5X1WpVovgcz+YN4hSP1z2E+FY4Q1LQUMCx&#10;ZTXZ6S7EsXQuSa9Zt1VaY57V2v6SQMyUKVLHY48pisN+mBrfu/aMhMGNTgiebxW+ecdC3DHA0WOf&#10;aOd4j4vUrm+omyJKOgef/pZP9TgRPKWkRys11KLXKdHvLE4quW4OYA72c2CP5o1Dby4pgahziBeY&#10;5QjX0EjJ0YM6dIgvmQ7JDAyJvT5GlCArk/iNpCbaaJSs7WTq5MSn+1z1+Ott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eS8fKuwBAADC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ADC81"/>
    <w:multiLevelType w:val="multilevel"/>
    <w:tmpl w:val="FFAADC81"/>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BFF969A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4940a6ac-e50a-4eaf-bb0e-74d83efbb0de"/>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a4d26d6c-79a2-414a-9a6e-68868245397a"/>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哎呦</cp:lastModifiedBy>
  <dcterms:modified xsi:type="dcterms:W3CDTF">2024-10-08T10:52:34Z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