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3D4E8">
      <w:pPr>
        <w:pStyle w:val="5"/>
        <w:rPr>
          <w:rFonts w:hint="default"/>
          <w:lang w:val="en-US" w:eastAsia="zh-CN"/>
        </w:rPr>
      </w:pPr>
    </w:p>
    <w:p w14:paraId="32D65F45">
      <w:pPr>
        <w:overflowPunct w:val="0"/>
        <w:spacing w:line="600" w:lineRule="exact"/>
        <w:ind w:firstLine="643" w:firstLineChars="200"/>
        <w:rPr>
          <w:rFonts w:ascii="Times New Roman" w:hAnsi="Times New Roman" w:eastAsia="仿宋_GB2312" w:cs="Times New Roman"/>
          <w:b/>
          <w:color w:val="auto"/>
          <w:sz w:val="32"/>
          <w:szCs w:val="32"/>
          <w:highlight w:val="none"/>
        </w:rPr>
      </w:pPr>
    </w:p>
    <w:p w14:paraId="0B4C5D1D">
      <w:pPr>
        <w:overflowPunct w:val="0"/>
        <w:spacing w:line="600" w:lineRule="exact"/>
        <w:ind w:firstLine="643" w:firstLineChars="200"/>
        <w:rPr>
          <w:rFonts w:ascii="Times New Roman" w:hAnsi="Times New Roman" w:eastAsia="仿宋_GB2312" w:cs="Times New Roman"/>
          <w:b/>
          <w:color w:val="auto"/>
          <w:sz w:val="32"/>
          <w:szCs w:val="32"/>
          <w:highlight w:val="none"/>
        </w:rPr>
      </w:pPr>
    </w:p>
    <w:p w14:paraId="28B1CE19">
      <w:pPr>
        <w:overflowPunct w:val="0"/>
        <w:spacing w:line="600" w:lineRule="exact"/>
        <w:jc w:val="center"/>
        <w:rPr>
          <w:rFonts w:ascii="Times New Roman" w:hAnsi="Times New Roman" w:eastAsia="方正小标宋简体" w:cs="Times New Roman"/>
          <w:color w:val="auto"/>
          <w:sz w:val="44"/>
          <w:szCs w:val="44"/>
          <w:highlight w:val="none"/>
        </w:rPr>
      </w:pPr>
      <w:bookmarkStart w:id="51" w:name="_GoBack"/>
      <w:r>
        <w:rPr>
          <w:rFonts w:ascii="Times New Roman" w:hAnsi="Times New Roman" w:eastAsia="方正小标宋简体" w:cs="Times New Roman"/>
          <w:color w:val="auto"/>
          <w:sz w:val="44"/>
          <w:szCs w:val="44"/>
          <w:highlight w:val="none"/>
        </w:rPr>
        <w:t>许昌市“十五五”城乡融合发展规划</w:t>
      </w:r>
    </w:p>
    <w:bookmarkEnd w:id="51"/>
    <w:p w14:paraId="25572D17">
      <w:pPr>
        <w:overflowPunct w:val="0"/>
        <w:spacing w:line="600" w:lineRule="exact"/>
        <w:jc w:val="center"/>
        <w:rPr>
          <w:rFonts w:hint="eastAsia" w:ascii="楷体_GB2312" w:hAnsi="楷体_GB2312" w:eastAsia="楷体_GB2312" w:cs="楷体_GB2312"/>
          <w:color w:val="auto"/>
          <w:sz w:val="36"/>
          <w:szCs w:val="36"/>
          <w:highlight w:val="none"/>
        </w:rPr>
      </w:pPr>
    </w:p>
    <w:p w14:paraId="7517DEDD">
      <w:pPr>
        <w:overflowPunct w:val="0"/>
        <w:spacing w:line="600" w:lineRule="exact"/>
        <w:ind w:firstLine="643" w:firstLineChars="200"/>
        <w:rPr>
          <w:rFonts w:ascii="Times New Roman" w:hAnsi="Times New Roman" w:eastAsia="仿宋_GB2312" w:cs="Times New Roman"/>
          <w:b/>
          <w:color w:val="auto"/>
          <w:sz w:val="32"/>
          <w:szCs w:val="32"/>
          <w:highlight w:val="none"/>
        </w:rPr>
      </w:pPr>
    </w:p>
    <w:p w14:paraId="3078682E">
      <w:pPr>
        <w:overflowPunct w:val="0"/>
        <w:spacing w:line="600" w:lineRule="exact"/>
        <w:ind w:firstLine="643" w:firstLineChars="200"/>
        <w:rPr>
          <w:rFonts w:ascii="Times New Roman" w:hAnsi="Times New Roman" w:eastAsia="仿宋_GB2312" w:cs="Times New Roman"/>
          <w:b/>
          <w:color w:val="auto"/>
          <w:sz w:val="32"/>
          <w:szCs w:val="32"/>
          <w:highlight w:val="none"/>
        </w:rPr>
      </w:pPr>
    </w:p>
    <w:p w14:paraId="6B2E0E0F">
      <w:pPr>
        <w:overflowPunct w:val="0"/>
        <w:spacing w:line="600" w:lineRule="exact"/>
        <w:ind w:firstLine="640" w:firstLineChars="200"/>
        <w:rPr>
          <w:rFonts w:ascii="Times New Roman" w:hAnsi="Times New Roman" w:eastAsia="仿宋_GB2312" w:cs="Times New Roman"/>
          <w:color w:val="auto"/>
          <w:sz w:val="32"/>
          <w:szCs w:val="32"/>
          <w:highlight w:val="none"/>
        </w:rPr>
      </w:pPr>
    </w:p>
    <w:p w14:paraId="388D9E26">
      <w:pPr>
        <w:overflowPunct w:val="0"/>
        <w:spacing w:line="600" w:lineRule="exact"/>
        <w:ind w:firstLine="640" w:firstLineChars="200"/>
        <w:rPr>
          <w:rFonts w:ascii="Times New Roman" w:hAnsi="Times New Roman" w:eastAsia="仿宋_GB2312" w:cs="Times New Roman"/>
          <w:color w:val="auto"/>
          <w:sz w:val="32"/>
          <w:szCs w:val="32"/>
          <w:highlight w:val="none"/>
        </w:rPr>
      </w:pPr>
    </w:p>
    <w:p w14:paraId="462B7ADC">
      <w:pPr>
        <w:overflowPunct w:val="0"/>
        <w:spacing w:line="600" w:lineRule="exact"/>
        <w:ind w:firstLine="640" w:firstLineChars="200"/>
        <w:rPr>
          <w:rFonts w:ascii="Times New Roman" w:hAnsi="Times New Roman" w:eastAsia="仿宋_GB2312" w:cs="Times New Roman"/>
          <w:color w:val="auto"/>
          <w:sz w:val="32"/>
          <w:szCs w:val="32"/>
          <w:highlight w:val="none"/>
        </w:rPr>
      </w:pPr>
    </w:p>
    <w:p w14:paraId="3B798368">
      <w:pPr>
        <w:overflowPunct w:val="0"/>
        <w:spacing w:line="600" w:lineRule="exact"/>
        <w:ind w:firstLine="640" w:firstLineChars="200"/>
        <w:rPr>
          <w:rFonts w:ascii="Times New Roman" w:hAnsi="Times New Roman" w:eastAsia="仿宋_GB2312" w:cs="Times New Roman"/>
          <w:color w:val="auto"/>
          <w:sz w:val="32"/>
          <w:szCs w:val="32"/>
          <w:highlight w:val="none"/>
        </w:rPr>
      </w:pPr>
    </w:p>
    <w:p w14:paraId="6C6904C4">
      <w:pPr>
        <w:overflowPunct w:val="0"/>
        <w:spacing w:line="600" w:lineRule="exact"/>
        <w:ind w:firstLine="640" w:firstLineChars="200"/>
        <w:rPr>
          <w:rFonts w:ascii="Times New Roman" w:hAnsi="Times New Roman" w:eastAsia="仿宋_GB2312" w:cs="Times New Roman"/>
          <w:color w:val="auto"/>
          <w:sz w:val="32"/>
          <w:szCs w:val="32"/>
          <w:highlight w:val="none"/>
        </w:rPr>
      </w:pPr>
    </w:p>
    <w:p w14:paraId="7FA65FA5">
      <w:pPr>
        <w:overflowPunct w:val="0"/>
        <w:spacing w:line="600" w:lineRule="exact"/>
        <w:ind w:firstLine="640" w:firstLineChars="200"/>
        <w:rPr>
          <w:rFonts w:ascii="Times New Roman" w:hAnsi="Times New Roman" w:eastAsia="仿宋_GB2312" w:cs="Times New Roman"/>
          <w:color w:val="auto"/>
          <w:sz w:val="32"/>
          <w:szCs w:val="32"/>
          <w:highlight w:val="none"/>
        </w:rPr>
      </w:pPr>
    </w:p>
    <w:p w14:paraId="2B7D1DB0">
      <w:pPr>
        <w:overflowPunct w:val="0"/>
        <w:spacing w:line="600" w:lineRule="exact"/>
        <w:ind w:firstLine="640" w:firstLineChars="200"/>
        <w:rPr>
          <w:rFonts w:ascii="Times New Roman" w:hAnsi="Times New Roman" w:eastAsia="仿宋_GB2312" w:cs="Times New Roman"/>
          <w:color w:val="auto"/>
          <w:sz w:val="32"/>
          <w:szCs w:val="32"/>
          <w:highlight w:val="none"/>
        </w:rPr>
      </w:pPr>
    </w:p>
    <w:p w14:paraId="562976B5">
      <w:pPr>
        <w:overflowPunct w:val="0"/>
        <w:spacing w:line="600" w:lineRule="exact"/>
        <w:ind w:firstLine="640" w:firstLineChars="200"/>
        <w:rPr>
          <w:rFonts w:ascii="Times New Roman" w:hAnsi="Times New Roman" w:eastAsia="仿宋_GB2312" w:cs="Times New Roman"/>
          <w:color w:val="auto"/>
          <w:sz w:val="32"/>
          <w:szCs w:val="32"/>
          <w:highlight w:val="none"/>
        </w:rPr>
      </w:pPr>
    </w:p>
    <w:p w14:paraId="76EB0AFB">
      <w:pPr>
        <w:tabs>
          <w:tab w:val="left" w:pos="3261"/>
        </w:tabs>
        <w:overflowPunct w:val="0"/>
        <w:spacing w:line="600" w:lineRule="exact"/>
        <w:ind w:firstLine="640" w:firstLineChars="200"/>
        <w:rPr>
          <w:rFonts w:ascii="Times New Roman" w:hAnsi="Times New Roman" w:eastAsia="仿宋_GB2312" w:cs="Times New Roman"/>
          <w:color w:val="auto"/>
          <w:sz w:val="32"/>
          <w:szCs w:val="32"/>
          <w:highlight w:val="none"/>
        </w:rPr>
      </w:pPr>
    </w:p>
    <w:p w14:paraId="3B29D57B">
      <w:pPr>
        <w:overflowPunct w:val="0"/>
        <w:spacing w:line="600" w:lineRule="exact"/>
        <w:ind w:firstLine="640" w:firstLineChars="200"/>
        <w:rPr>
          <w:rFonts w:ascii="Times New Roman" w:hAnsi="Times New Roman" w:eastAsia="仿宋_GB2312" w:cs="Times New Roman"/>
          <w:color w:val="auto"/>
          <w:sz w:val="32"/>
          <w:szCs w:val="32"/>
          <w:highlight w:val="none"/>
        </w:rPr>
      </w:pPr>
    </w:p>
    <w:p w14:paraId="6D13C2A9">
      <w:pPr>
        <w:overflowPunct w:val="0"/>
        <w:spacing w:line="600" w:lineRule="exact"/>
        <w:ind w:firstLine="640" w:firstLineChars="200"/>
        <w:jc w:val="center"/>
        <w:rPr>
          <w:rFonts w:ascii="Times New Roman" w:hAnsi="Times New Roman" w:eastAsia="仿宋_GB2312" w:cs="Times New Roman"/>
          <w:color w:val="auto"/>
          <w:sz w:val="32"/>
          <w:szCs w:val="32"/>
          <w:highlight w:val="none"/>
        </w:rPr>
      </w:pPr>
    </w:p>
    <w:p w14:paraId="31425F0F">
      <w:pPr>
        <w:overflowPunct w:val="0"/>
        <w:spacing w:line="600" w:lineRule="exact"/>
        <w:ind w:firstLine="640" w:firstLineChars="200"/>
        <w:rPr>
          <w:rFonts w:ascii="Times New Roman" w:hAnsi="Times New Roman" w:eastAsia="仿宋_GB2312" w:cs="Times New Roman"/>
          <w:color w:val="auto"/>
          <w:sz w:val="32"/>
          <w:szCs w:val="32"/>
          <w:highlight w:val="none"/>
        </w:rPr>
        <w:sectPr>
          <w:headerReference r:id="rId3" w:type="default"/>
          <w:footerReference r:id="rId4" w:type="default"/>
          <w:pgSz w:w="11906" w:h="16838"/>
          <w:pgMar w:top="1701" w:right="1701" w:bottom="1701" w:left="1701" w:header="851" w:footer="992" w:gutter="0"/>
          <w:pgNumType w:start="1"/>
          <w:cols w:space="425" w:num="1"/>
          <w:docGrid w:type="lines" w:linePitch="312" w:charSpace="0"/>
        </w:sectPr>
      </w:pPr>
      <w:r>
        <w:rPr>
          <w:rFonts w:ascii="Times New Roman" w:hAnsi="Times New Roman" w:eastAsia="仿宋_GB2312" w:cs="Times New Roman"/>
          <w:color w:val="auto"/>
          <w:sz w:val="32"/>
          <w:szCs w:val="32"/>
          <w:highlight w:val="none"/>
        </w:rPr>
        <w:br w:type="page"/>
      </w:r>
    </w:p>
    <w:sdt>
      <w:sdtPr>
        <w:rPr>
          <w:rFonts w:ascii="Times New Roman" w:hAnsi="Times New Roman" w:eastAsia="仿宋_GB2312" w:cs="Times New Roman"/>
          <w:color w:val="auto"/>
          <w:sz w:val="32"/>
          <w:szCs w:val="32"/>
          <w:highlight w:val="none"/>
        </w:rPr>
        <w:id w:val="-1"/>
        <w:docPartObj>
          <w:docPartGallery w:val="Table of Contents"/>
          <w:docPartUnique/>
        </w:docPartObj>
      </w:sdtPr>
      <w:sdtEndPr>
        <w:rPr>
          <w:rFonts w:ascii="Times New Roman" w:hAnsi="Times New Roman" w:eastAsia="仿宋_GB2312" w:cs="Times New Roman"/>
          <w:color w:val="auto"/>
          <w:sz w:val="32"/>
          <w:szCs w:val="32"/>
          <w:highlight w:val="none"/>
        </w:rPr>
      </w:sdtEndPr>
      <w:sdtContent>
        <w:p w14:paraId="623D8057">
          <w:pPr>
            <w:overflowPunct w:val="0"/>
            <w:spacing w:line="600" w:lineRule="exact"/>
            <w:ind w:firstLine="200"/>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t>目  录</w:t>
          </w:r>
        </w:p>
        <w:p w14:paraId="7F1A6426">
          <w:pPr>
            <w:pStyle w:val="13"/>
            <w:tabs>
              <w:tab w:val="right" w:leader="dot" w:pos="8494"/>
            </w:tabs>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TOC \o "1-3" \h \z \u </w:instrText>
          </w:r>
          <w:r>
            <w:rPr>
              <w:rFonts w:ascii="Times New Roman" w:hAnsi="Times New Roman" w:eastAsia="宋体" w:cs="Times New Roman"/>
              <w:color w:val="auto"/>
              <w:sz w:val="28"/>
              <w:szCs w:val="28"/>
              <w:highlight w:val="none"/>
            </w:rPr>
            <w:fldChar w:fldCharType="separate"/>
          </w:r>
          <w:r>
            <w:rPr>
              <w:color w:val="auto"/>
              <w:highlight w:val="none"/>
            </w:rPr>
            <w:fldChar w:fldCharType="begin"/>
          </w:r>
          <w:r>
            <w:rPr>
              <w:color w:val="auto"/>
              <w:highlight w:val="none"/>
            </w:rPr>
            <w:instrText xml:space="preserve"> HYPERLINK \l "_Toc215133870"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序  言</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_Toc215133870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32810B54">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"_Toc215133871"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第一章  发展基础</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_Toc215133871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1B9C635E">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"_Toc215133872"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第一节  “十四五”发展成就</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_Toc215133872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71C0FBD0">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"_Toc215133874"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w:t>
          </w:r>
          <w:r>
            <w:rPr>
              <w:rStyle w:val="19"/>
              <w:rFonts w:hint="eastAsia" w:ascii="Times New Roman" w:hAnsi="Times New Roman" w:eastAsia="宋体" w:cs="Times New Roman"/>
              <w:bCs/>
              <w:color w:val="auto"/>
              <w:sz w:val="28"/>
              <w:szCs w:val="28"/>
              <w:highlight w:val="none"/>
              <w:lang w:val="en-US" w:eastAsia="zh-CN"/>
            </w:rPr>
            <w:t>二</w:t>
          </w:r>
          <w:r>
            <w:rPr>
              <w:rStyle w:val="19"/>
              <w:rFonts w:ascii="Times New Roman" w:hAnsi="Times New Roman" w:eastAsia="宋体" w:cs="Times New Roman"/>
              <w:bCs/>
              <w:color w:val="auto"/>
              <w:sz w:val="28"/>
              <w:szCs w:val="28"/>
              <w:highlight w:val="none"/>
            </w:rPr>
            <w:t>节  “十五五”发展环境</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_Toc215133874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6</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13895FF0">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"_Toc215133875"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第二章  总体要求</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_Toc215133875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8</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183239F4">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"_Toc215133876" </w:instrText>
          </w:r>
          <w:r>
            <w:rPr>
              <w:color w:val="auto"/>
              <w:highlight w:val="none"/>
            </w:rPr>
            <w:fldChar w:fldCharType="separate"/>
          </w:r>
          <w:r>
            <w:rPr>
              <w:rStyle w:val="19"/>
              <w:rFonts w:ascii="Times New Roman" w:hAnsi="Times New Roman" w:eastAsia="宋体" w:cs="Times New Roman"/>
              <w:bCs/>
              <w:color w:val="auto"/>
              <w:sz w:val="28"/>
              <w:szCs w:val="28"/>
              <w:highlight w:val="none"/>
            </w:rPr>
            <w:t xml:space="preserve">第一节  </w:t>
          </w:r>
          <w:r>
            <w:rPr>
              <w:rStyle w:val="19"/>
              <w:rFonts w:hint="eastAsia" w:ascii="Times New Roman" w:hAnsi="Times New Roman" w:eastAsia="宋体" w:cs="Times New Roman"/>
              <w:bCs/>
              <w:color w:val="auto"/>
              <w:sz w:val="28"/>
              <w:szCs w:val="28"/>
              <w:highlight w:val="none"/>
              <w:lang w:val="en-US" w:eastAsia="zh-CN"/>
            </w:rPr>
            <w:t>总体思路</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_Toc215133876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8</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59E60F38">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"_Toc215133877"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第二节  发展原则</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_Toc215133877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9</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69E2BF6B">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"_Toc215133878"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第三节  发展目标</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_Toc215133878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10</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3AD6512D">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"_Toc215133879"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第三章  统筹规划建设布局，促进城乡空间衔接互补</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_Toc215133879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12</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4AF4F500">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"_Toc215133880"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第一节  加强国土空间规划管控</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_Toc215133880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12</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3267F00B">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"_Toc215133881"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第二节  优化城乡空间发展布局</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_Toc215133881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14</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5870B72D">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"_Toc215133882"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第三节  建设城乡融合示范片区</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_Toc215133882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16</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0DBE2330">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"_Toc215133884" </w:instrText>
          </w:r>
          <w:r>
            <w:rPr>
              <w:color w:val="auto"/>
              <w:highlight w:val="none"/>
            </w:rPr>
            <w:fldChar w:fldCharType="separate"/>
          </w:r>
          <w:r>
            <w:rPr>
              <w:rStyle w:val="19"/>
              <w:rFonts w:ascii="Times New Roman" w:hAnsi="Times New Roman" w:eastAsia="方正小标宋简体" w:cs="Times New Roman"/>
              <w:color w:val="auto"/>
              <w:kern w:val="44"/>
              <w:sz w:val="28"/>
              <w:szCs w:val="28"/>
              <w:highlight w:val="none"/>
            </w:rPr>
            <w:t>第四章  推进产业协同发展，促进城乡经济互促共荣</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_Toc215133884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18</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52588EBA">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"_Toc215133885"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第一节  完善科技成果入乡转化体制机制</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_Toc215133885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18</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2A684871">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"_Toc215133886"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第二节  培育县域特色产业集群</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_Toc215133886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20</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7DAFECD7">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"_Toc215133887"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第三节  促进农村一二三产业深度融合发展</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_Toc215133887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23</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611DF37B">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"_Toc215133888"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第四节  构建城乡产业协同平台载体</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_Toc215133888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25</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5512ADCB">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"_Toc215133889"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第五章  深化农业农村改革，促进城乡要素自由流动</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_Toc215133889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27</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48A2251B">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"_Toc215133890"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第一节  统筹推进农业转移人口市民化和乡村人才振兴</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_Toc215133890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27</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0F7646EA">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"_Toc215133891"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第二节  深化农村土地制度改革</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_Toc215133891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30</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478B4B23">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"_Toc215133892"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第三节  完善强农惠农富农</w:t>
          </w:r>
          <w:r>
            <w:rPr>
              <w:rStyle w:val="19"/>
              <w:rFonts w:hint="eastAsia" w:ascii="Times New Roman" w:hAnsi="Times New Roman" w:eastAsia="宋体" w:cs="Times New Roman"/>
              <w:bCs/>
              <w:color w:val="auto"/>
              <w:sz w:val="28"/>
              <w:szCs w:val="28"/>
              <w:highlight w:val="none"/>
              <w:lang w:eastAsia="zh-CN"/>
            </w:rPr>
            <w:t>财政</w:t>
          </w:r>
          <w:r>
            <w:rPr>
              <w:rStyle w:val="19"/>
              <w:rFonts w:ascii="Times New Roman" w:hAnsi="Times New Roman" w:eastAsia="宋体" w:cs="Times New Roman"/>
              <w:bCs/>
              <w:color w:val="auto"/>
              <w:sz w:val="28"/>
              <w:szCs w:val="28"/>
              <w:highlight w:val="none"/>
            </w:rPr>
            <w:t>金融支持体系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_Toc215133892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32</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45CE462C">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"_Toc215133893"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第四节  激活城乡数据要素活力</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_Toc215133893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35</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1566D244">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"_Toc215133894"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第六章  补齐基础设施短板，促进城乡设施一体衔接</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_Toc215133894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37</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249D2ABC">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"_Toc215133895"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第一节  构建一体化城乡交通网络</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37</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3C7D3255">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"_Toc215133896"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第二节  强化能源水利和网络基础设施支撑</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_Toc215133896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39</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2A00BE06">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"_Toc215133897"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第三节  健全城乡公共</w:t>
          </w:r>
          <w:r>
            <w:rPr>
              <w:rStyle w:val="19"/>
              <w:rFonts w:hint="eastAsia" w:ascii="Times New Roman" w:hAnsi="Times New Roman" w:eastAsia="宋体" w:cs="Times New Roman"/>
              <w:bCs/>
              <w:color w:val="auto"/>
              <w:sz w:val="28"/>
              <w:szCs w:val="28"/>
              <w:highlight w:val="none"/>
              <w:lang w:eastAsia="zh-CN"/>
            </w:rPr>
            <w:t>基础</w:t>
          </w:r>
          <w:r>
            <w:rPr>
              <w:rStyle w:val="19"/>
              <w:rFonts w:ascii="Times New Roman" w:hAnsi="Times New Roman" w:eastAsia="宋体" w:cs="Times New Roman"/>
              <w:bCs/>
              <w:color w:val="auto"/>
              <w:sz w:val="28"/>
              <w:szCs w:val="28"/>
              <w:highlight w:val="none"/>
            </w:rPr>
            <w:t>设施</w:t>
          </w:r>
          <w:r>
            <w:rPr>
              <w:rStyle w:val="19"/>
              <w:rFonts w:hint="eastAsia" w:ascii="Times New Roman" w:hAnsi="Times New Roman" w:eastAsia="宋体" w:cs="Times New Roman"/>
              <w:bCs/>
              <w:color w:val="auto"/>
              <w:sz w:val="28"/>
              <w:szCs w:val="28"/>
              <w:highlight w:val="none"/>
              <w:lang w:val="en-US" w:eastAsia="zh-CN"/>
            </w:rPr>
            <w:t>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_Toc215133897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40</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7986A92B">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"_Toc215133898"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第四节  完善基础设施建管护一体化机制</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41</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18C0B270">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"_Toc215133904"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第</w:t>
          </w:r>
          <w:r>
            <w:rPr>
              <w:rStyle w:val="19"/>
              <w:rFonts w:hint="eastAsia" w:ascii="Times New Roman" w:hAnsi="Times New Roman" w:eastAsia="方正小标宋简体" w:cs="Times New Roman"/>
              <w:color w:val="auto"/>
              <w:sz w:val="28"/>
              <w:szCs w:val="28"/>
              <w:highlight w:val="none"/>
              <w:lang w:eastAsia="zh-CN"/>
            </w:rPr>
            <w:t>七</w:t>
          </w:r>
          <w:r>
            <w:rPr>
              <w:rStyle w:val="19"/>
              <w:rFonts w:ascii="Times New Roman" w:hAnsi="Times New Roman" w:eastAsia="方正小标宋简体" w:cs="Times New Roman"/>
              <w:color w:val="auto"/>
              <w:sz w:val="28"/>
              <w:szCs w:val="28"/>
              <w:highlight w:val="none"/>
            </w:rPr>
            <w:t>章  优化公共服务供给，促进城乡福祉均衡共享</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_Toc215133904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43</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2CB24F53">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"_Toc215133905"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第一节  推进城乡教育优质均衡发展</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_Toc215133905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43</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77161EF6">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"_Toc215133906"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第二节  优化城乡医疗卫生服务体系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_Toc215133906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45</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12A80788">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"_Toc215133907"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第三节  统筹城乡文化体育服务供给</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_Toc215133907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47</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6BFC6ADE">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"_Toc215133908"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第四节  完善城乡养老服务网络</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_Toc215133908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48</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581011FF">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"_Toc215133909"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第五节  健全城乡统筹社会保障体系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_Toc215133909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49</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30187F6E">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"_Toc215133899"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第</w:t>
          </w:r>
          <w:r>
            <w:rPr>
              <w:rStyle w:val="19"/>
              <w:rFonts w:hint="eastAsia" w:ascii="Times New Roman" w:hAnsi="Times New Roman" w:eastAsia="方正小标宋简体" w:cs="Times New Roman"/>
              <w:color w:val="auto"/>
              <w:sz w:val="28"/>
              <w:szCs w:val="28"/>
              <w:highlight w:val="none"/>
              <w:lang w:eastAsia="zh-CN"/>
            </w:rPr>
            <w:t>八</w:t>
          </w:r>
          <w:r>
            <w:rPr>
              <w:rStyle w:val="19"/>
              <w:rFonts w:ascii="Times New Roman" w:hAnsi="Times New Roman" w:eastAsia="方正小标宋简体" w:cs="Times New Roman"/>
              <w:color w:val="auto"/>
              <w:sz w:val="28"/>
              <w:szCs w:val="28"/>
              <w:highlight w:val="none"/>
            </w:rPr>
            <w:t>章  加强城乡生态共治，促进城乡环境宜居共生</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_Toc215133899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50</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35ADE774">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"_Toc215133900"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第一节  统筹实施城乡生态保护和修复</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_Toc215133900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50</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37812169">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"_Toc215133901" </w:instrText>
          </w:r>
          <w:r>
            <w:rPr>
              <w:color w:val="auto"/>
              <w:highlight w:val="none"/>
            </w:rPr>
            <w:fldChar w:fldCharType="separate"/>
          </w:r>
          <w:r>
            <w:rPr>
              <w:rStyle w:val="19"/>
              <w:rFonts w:ascii="Times New Roman" w:hAnsi="Times New Roman" w:eastAsia="宋体" w:cs="Times New Roman"/>
              <w:bCs/>
              <w:color w:val="auto"/>
              <w:sz w:val="28"/>
              <w:szCs w:val="28"/>
              <w:highlight w:val="none"/>
            </w:rPr>
            <w:t xml:space="preserve">第二节  </w:t>
          </w:r>
          <w:r>
            <w:rPr>
              <w:rStyle w:val="19"/>
              <w:rFonts w:hint="eastAsia" w:ascii="Times New Roman" w:hAnsi="Times New Roman" w:eastAsia="宋体" w:cs="Times New Roman"/>
              <w:bCs/>
              <w:color w:val="auto"/>
              <w:sz w:val="28"/>
              <w:szCs w:val="28"/>
            </w:rPr>
            <w:t>全面提升农村人居环境质量</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_Toc215133901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52</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5E274264">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"_Toc215133902"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第三节  促进农业农村绿色低碳发展</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_Toc215133902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53</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41EF5D4C">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"_Toc215133910"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第九章  强化基层党建引领，促进城乡治理联动高效</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_Toc215133910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55</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16DB130A">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"_Toc215133911"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第一节  健全乡村治理组织体系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_Toc215133911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55</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6D7625B8">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"_Toc215133912"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第二节  加强文明善治乡村建设</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_Toc215133912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57</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689201CC">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"_Toc215133913"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第三节  深化平安乡村建设</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_Toc215133913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59</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445BD5FC">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"_Toc215133914"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第四节  推进韧性乡村建设</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_Toc215133914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61</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122D0D73">
          <w:pPr>
            <w:pStyle w:val="13"/>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"_Toc215133915" </w:instrText>
          </w:r>
          <w:r>
            <w:rPr>
              <w:color w:val="auto"/>
              <w:highlight w:val="none"/>
            </w:rPr>
            <w:fldChar w:fldCharType="separate"/>
          </w:r>
          <w:r>
            <w:rPr>
              <w:rStyle w:val="19"/>
              <w:rFonts w:ascii="Times New Roman" w:hAnsi="Times New Roman" w:eastAsia="方正小标宋简体" w:cs="Times New Roman"/>
              <w:color w:val="auto"/>
              <w:sz w:val="28"/>
              <w:szCs w:val="28"/>
              <w:highlight w:val="none"/>
            </w:rPr>
            <w:t>第十章  规划实施保障</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_Toc215133915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63</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6569B3A4">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"_Toc215133916"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第一节  全面加强党的领导</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_Toc215133916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63</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231D83A1">
          <w:pPr>
            <w:pStyle w:val="14"/>
            <w:tabs>
              <w:tab w:val="right" w:leader="dot" w:pos="849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"_Toc215133917"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第二节  健全规划实施机制</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_Toc215133917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63</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14:paraId="7B0A1FE5">
          <w:pPr>
            <w:pStyle w:val="14"/>
            <w:tabs>
              <w:tab w:val="right" w:leader="dot" w:pos="8494"/>
            </w:tabs>
            <w:rPr>
              <w:rFonts w:ascii="Times New Roman" w:hAnsi="Times New Roman" w:eastAsia="仿宋_GB2312" w:cs="Times New Roman"/>
              <w:color w:val="auto"/>
              <w:sz w:val="32"/>
              <w:szCs w:val="32"/>
              <w:highlight w:val="none"/>
            </w:rPr>
          </w:pPr>
          <w:r>
            <w:rPr>
              <w:color w:val="auto"/>
              <w:highlight w:val="none"/>
            </w:rPr>
            <w:fldChar w:fldCharType="begin"/>
          </w:r>
          <w:r>
            <w:rPr>
              <w:color w:val="auto"/>
              <w:highlight w:val="none"/>
            </w:rPr>
            <w:instrText xml:space="preserve"> HYPERLINK \l "_Toc215133918" </w:instrText>
          </w:r>
          <w:r>
            <w:rPr>
              <w:color w:val="auto"/>
              <w:highlight w:val="none"/>
            </w:rPr>
            <w:fldChar w:fldCharType="separate"/>
          </w:r>
          <w:r>
            <w:rPr>
              <w:rStyle w:val="19"/>
              <w:rFonts w:ascii="Times New Roman" w:hAnsi="Times New Roman" w:eastAsia="宋体" w:cs="Times New Roman"/>
              <w:bCs/>
              <w:color w:val="auto"/>
              <w:sz w:val="28"/>
              <w:szCs w:val="28"/>
              <w:highlight w:val="none"/>
            </w:rPr>
            <w:t>第三节  强化要素保障能力</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_Toc215133918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63</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r>
            <w:rPr>
              <w:rFonts w:ascii="Times New Roman" w:hAnsi="Times New Roman" w:eastAsia="宋体" w:cs="Times New Roman"/>
              <w:color w:val="auto"/>
              <w:sz w:val="28"/>
              <w:szCs w:val="28"/>
              <w:highlight w:val="none"/>
            </w:rPr>
            <w:fldChar w:fldCharType="end"/>
          </w:r>
        </w:p>
      </w:sdtContent>
    </w:sdt>
    <w:p w14:paraId="0FA9D79A">
      <w:pPr>
        <w:overflowPunct w:val="0"/>
        <w:spacing w:line="600" w:lineRule="exact"/>
        <w:ind w:firstLine="640" w:firstLineChars="200"/>
        <w:rPr>
          <w:rFonts w:ascii="Times New Roman" w:hAnsi="Times New Roman" w:eastAsia="仿宋_GB2312" w:cs="Times New Roman"/>
          <w:color w:val="auto"/>
          <w:sz w:val="32"/>
          <w:szCs w:val="32"/>
          <w:highlight w:val="none"/>
        </w:rPr>
        <w:sectPr>
          <w:footerReference r:id="rId5" w:type="default"/>
          <w:pgSz w:w="11906" w:h="16838"/>
          <w:pgMar w:top="1701" w:right="1701" w:bottom="1701" w:left="1701" w:header="851" w:footer="992" w:gutter="0"/>
          <w:pgNumType w:fmt="upperRoman" w:start="1"/>
          <w:cols w:space="425" w:num="1"/>
          <w:docGrid w:type="lines" w:linePitch="312" w:charSpace="0"/>
        </w:sectPr>
      </w:pPr>
      <w:r>
        <w:rPr>
          <w:rFonts w:ascii="Times New Roman" w:hAnsi="Times New Roman" w:eastAsia="仿宋_GB2312" w:cs="Times New Roman"/>
          <w:color w:val="auto"/>
          <w:sz w:val="32"/>
          <w:szCs w:val="32"/>
          <w:highlight w:val="none"/>
        </w:rPr>
        <w:br w:type="page"/>
      </w:r>
    </w:p>
    <w:p w14:paraId="05BD00A4">
      <w:pPr>
        <w:pStyle w:val="4"/>
        <w:keepNext w:val="0"/>
        <w:overflowPunct w:val="0"/>
        <w:spacing w:before="300" w:after="300" w:line="600" w:lineRule="exact"/>
        <w:ind w:firstLine="0" w:firstLineChars="0"/>
        <w:jc w:val="center"/>
        <w:rPr>
          <w:rFonts w:ascii="Times New Roman" w:hAnsi="Times New Roman" w:eastAsia="方正小标宋简体" w:cs="Times New Roman"/>
          <w:b w:val="0"/>
          <w:bCs w:val="0"/>
          <w:color w:val="auto"/>
          <w:sz w:val="32"/>
          <w:szCs w:val="32"/>
          <w:highlight w:val="none"/>
        </w:rPr>
      </w:pPr>
      <w:bookmarkStart w:id="0" w:name="_Toc215133870"/>
      <w:bookmarkStart w:id="1" w:name="_Toc2075"/>
      <w:r>
        <w:rPr>
          <w:rFonts w:ascii="Times New Roman" w:hAnsi="Times New Roman" w:eastAsia="方正小标宋简体" w:cs="Times New Roman"/>
          <w:b w:val="0"/>
          <w:bCs w:val="0"/>
          <w:color w:val="auto"/>
          <w:sz w:val="32"/>
          <w:szCs w:val="32"/>
          <w:highlight w:val="none"/>
        </w:rPr>
        <w:t>序  言</w:t>
      </w:r>
      <w:bookmarkEnd w:id="0"/>
      <w:bookmarkEnd w:id="1"/>
    </w:p>
    <w:p w14:paraId="5E3621C5">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“十五五”时期是基本实现社会主义现代化夯实基础、全面发力的关键时期，在基本实现社会主义现代化进程中具有承上启下的重要地位。</w:t>
      </w:r>
      <w:r>
        <w:rPr>
          <w:rFonts w:hint="eastAsia" w:ascii="Times New Roman" w:hAnsi="Times New Roman" w:eastAsia="仿宋_GB2312" w:cs="Times New Roman"/>
          <w:color w:val="auto"/>
          <w:sz w:val="32"/>
          <w:szCs w:val="32"/>
          <w:highlight w:val="none"/>
        </w:rPr>
        <w:t>许昌</w:t>
      </w:r>
      <w:r>
        <w:rPr>
          <w:rFonts w:ascii="Times New Roman" w:hAnsi="Times New Roman" w:eastAsia="仿宋_GB2312" w:cs="Times New Roman"/>
          <w:color w:val="auto"/>
          <w:sz w:val="32"/>
          <w:szCs w:val="32"/>
          <w:highlight w:val="none"/>
        </w:rPr>
        <w:t>城乡融合发展第十五个五年规划，主要阐明“十五五”时期全市城乡融合发展的战略意图和政府工作重点，引导规范各类主体行为，统筹重大战略和重大举措时空安排，是政府履行职责的重要依据，是今后五年全市城乡融合发展的宏伟蓝图和全体人民共同奋斗的行动纲领。</w:t>
      </w:r>
    </w:p>
    <w:p w14:paraId="65366509">
      <w:pPr>
        <w:pStyle w:val="4"/>
        <w:keepNext w:val="0"/>
        <w:overflowPunct w:val="0"/>
        <w:spacing w:before="300" w:after="300" w:line="600" w:lineRule="exact"/>
        <w:ind w:firstLine="0" w:firstLineChars="0"/>
        <w:jc w:val="center"/>
        <w:rPr>
          <w:rFonts w:ascii="Times New Roman" w:hAnsi="Times New Roman" w:eastAsia="方正小标宋简体" w:cs="Times New Roman"/>
          <w:b w:val="0"/>
          <w:bCs w:val="0"/>
          <w:color w:val="auto"/>
          <w:sz w:val="32"/>
          <w:szCs w:val="32"/>
          <w:highlight w:val="none"/>
        </w:rPr>
      </w:pPr>
      <w:bookmarkStart w:id="2" w:name="_Toc215133871"/>
      <w:r>
        <w:rPr>
          <w:rFonts w:ascii="Times New Roman" w:hAnsi="Times New Roman" w:eastAsia="方正小标宋简体" w:cs="Times New Roman"/>
          <w:b w:val="0"/>
          <w:bCs w:val="0"/>
          <w:color w:val="auto"/>
          <w:sz w:val="32"/>
          <w:szCs w:val="32"/>
          <w:highlight w:val="none"/>
        </w:rPr>
        <w:t>第一章  发展基础</w:t>
      </w:r>
      <w:bookmarkEnd w:id="2"/>
    </w:p>
    <w:p w14:paraId="72CEFBC8">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充分总结“十四五”时期我市城乡融合发展新的重大成就，全面分析存在的问题和短板，准确把握“十五五”时期面临的发展环境，将为“十五五”时期</w:t>
      </w:r>
      <w:r>
        <w:rPr>
          <w:rFonts w:hint="eastAsia" w:ascii="Times New Roman" w:hAnsi="Times New Roman" w:eastAsia="仿宋_GB2312" w:cs="Times New Roman"/>
          <w:color w:val="auto"/>
          <w:sz w:val="32"/>
          <w:szCs w:val="32"/>
          <w:highlight w:val="none"/>
          <w:lang w:val="en-US" w:eastAsia="zh-CN"/>
        </w:rPr>
        <w:t>加快</w:t>
      </w:r>
      <w:r>
        <w:rPr>
          <w:rFonts w:ascii="Times New Roman" w:hAnsi="Times New Roman" w:eastAsia="仿宋_GB2312" w:cs="Times New Roman"/>
          <w:color w:val="auto"/>
          <w:sz w:val="32"/>
          <w:szCs w:val="32"/>
          <w:highlight w:val="none"/>
        </w:rPr>
        <w:t>乡村全面振兴</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促进城乡融合发展</w:t>
      </w:r>
      <w:r>
        <w:rPr>
          <w:rFonts w:ascii="Times New Roman" w:hAnsi="Times New Roman" w:eastAsia="仿宋_GB2312" w:cs="Times New Roman"/>
          <w:color w:val="auto"/>
          <w:sz w:val="32"/>
          <w:szCs w:val="32"/>
          <w:highlight w:val="none"/>
        </w:rPr>
        <w:t>奠定更加坚实的基础。</w:t>
      </w:r>
    </w:p>
    <w:p w14:paraId="099E2EFB">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3" w:name="_Toc215133872"/>
      <w:r>
        <w:rPr>
          <w:rFonts w:ascii="Times New Roman" w:hAnsi="Times New Roman" w:eastAsia="宋体" w:cs="Times New Roman"/>
          <w:b/>
          <w:bCs/>
          <w:color w:val="auto"/>
          <w:sz w:val="32"/>
          <w:szCs w:val="32"/>
          <w:highlight w:val="none"/>
        </w:rPr>
        <w:t>第一节  “十四五”发展成就</w:t>
      </w:r>
      <w:bookmarkEnd w:id="3"/>
    </w:p>
    <w:p w14:paraId="147D0876">
      <w:pPr>
        <w:overflowPunct w:val="0"/>
        <w:spacing w:line="600" w:lineRule="exact"/>
        <w:ind w:firstLine="640"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color w:val="auto"/>
          <w:sz w:val="32"/>
          <w:szCs w:val="32"/>
          <w:highlight w:val="none"/>
        </w:rPr>
        <w:t>“十四五”期间，</w:t>
      </w:r>
      <w:r>
        <w:rPr>
          <w:rFonts w:hint="eastAsia" w:ascii="Times New Roman" w:hAnsi="Times New Roman" w:eastAsia="仿宋_GB2312" w:cs="Times New Roman"/>
          <w:color w:val="auto"/>
          <w:sz w:val="32"/>
          <w:szCs w:val="32"/>
          <w:highlight w:val="none"/>
          <w:lang w:val="en-US" w:eastAsia="zh-CN"/>
        </w:rPr>
        <w:t>全市上下</w:t>
      </w:r>
      <w:r>
        <w:rPr>
          <w:rFonts w:ascii="Times New Roman" w:hAnsi="Times New Roman" w:eastAsia="仿宋_GB2312" w:cs="Times New Roman"/>
          <w:color w:val="auto"/>
          <w:sz w:val="32"/>
          <w:szCs w:val="32"/>
          <w:highlight w:val="none"/>
        </w:rPr>
        <w:t>坚持以习近平新时代中国特色社会主义思想为指导，深入贯彻落实中央、省委关于城乡融合发展工作部署，扎实推进乡村振兴战略，城乡居民获得感、幸福感、安全感明显增强。</w:t>
      </w:r>
    </w:p>
    <w:p w14:paraId="1BBA4FF7">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城乡融合发展体制机制和政策体系初步形成。</w:t>
      </w:r>
      <w:r>
        <w:rPr>
          <w:rFonts w:ascii="Times New Roman" w:hAnsi="Times New Roman" w:eastAsia="仿宋_GB2312" w:cs="Times New Roman"/>
          <w:color w:val="auto"/>
          <w:sz w:val="32"/>
          <w:szCs w:val="32"/>
          <w:highlight w:val="none"/>
        </w:rPr>
        <w:t>国家、省、市推动城乡融合发展的纲领性文件陆续出台，《国家城乡融合发展试验区（河南许昌）实施方案》经国家发展改革委批复和省政府同意后正式印发，下辖6个县（市、区）分别编制出台本</w:t>
      </w:r>
      <w:r>
        <w:rPr>
          <w:rFonts w:hint="eastAsia" w:ascii="Times New Roman" w:hAnsi="Times New Roman" w:eastAsia="仿宋_GB2312" w:cs="Times New Roman"/>
          <w:color w:val="auto"/>
          <w:sz w:val="32"/>
          <w:szCs w:val="32"/>
          <w:highlight w:val="none"/>
          <w:lang w:eastAsia="zh-CN"/>
        </w:rPr>
        <w:t>地</w:t>
      </w:r>
      <w:r>
        <w:rPr>
          <w:rFonts w:ascii="Times New Roman" w:hAnsi="Times New Roman" w:eastAsia="仿宋_GB2312" w:cs="Times New Roman"/>
          <w:color w:val="auto"/>
          <w:sz w:val="32"/>
          <w:szCs w:val="32"/>
          <w:highlight w:val="none"/>
        </w:rPr>
        <w:t>区实施方案，市直部门研究制定了16项配套政策，构建了市本级的“1+6+16”政策体系，城乡融合发展的“四梁八柱”基本形成。将城乡融合发展与促进共同富裕相结合，争取省委、省政府印发《关于支持许昌高质量建设城乡融合共同富裕先行试验区的意见》，市委审议通过《关于深入学习宣传贯彻党的二十大精神高质量建设城乡融合共同富裕先行试验区的决定》，市委、市政府印发《许昌市高质量建设城乡融合共同富裕先行试验区实施方案》，制定了九个方面专项行动方案，结合河南省直厅局相继出台的具体支持政策，构建起由1个省级层面意见、1个市级实施方案、9个市级行动方案和若干个省直厅局具体支持政策的“1+1+9+N”政策体系。</w:t>
      </w:r>
    </w:p>
    <w:p w14:paraId="559A79F1">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城乡</w:t>
      </w:r>
      <w:r>
        <w:rPr>
          <w:rFonts w:hint="eastAsia" w:ascii="Times New Roman" w:hAnsi="Times New Roman" w:eastAsia="仿宋_GB2312" w:cs="Times New Roman"/>
          <w:b/>
          <w:bCs/>
          <w:color w:val="auto"/>
          <w:sz w:val="32"/>
          <w:szCs w:val="32"/>
          <w:highlight w:val="none"/>
          <w:lang w:eastAsia="zh-CN"/>
        </w:rPr>
        <w:t>基本</w:t>
      </w:r>
      <w:r>
        <w:rPr>
          <w:rFonts w:ascii="Times New Roman" w:hAnsi="Times New Roman" w:eastAsia="仿宋_GB2312" w:cs="Times New Roman"/>
          <w:b/>
          <w:bCs/>
          <w:color w:val="auto"/>
          <w:sz w:val="32"/>
          <w:szCs w:val="32"/>
          <w:highlight w:val="none"/>
        </w:rPr>
        <w:t>公共服务均等化取得新成效。</w:t>
      </w:r>
      <w:r>
        <w:rPr>
          <w:rFonts w:ascii="Times New Roman" w:hAnsi="Times New Roman" w:eastAsia="仿宋_GB2312" w:cs="Times New Roman"/>
          <w:color w:val="auto"/>
          <w:sz w:val="32"/>
          <w:szCs w:val="32"/>
          <w:highlight w:val="none"/>
        </w:rPr>
        <w:t>义务教育由“基本均衡”向“优质均衡”迈进，6个县（市、区）均顺利通过义务教育基本均衡国家级验收，</w:t>
      </w:r>
      <w:r>
        <w:rPr>
          <w:rFonts w:hint="eastAsia" w:ascii="Times New Roman" w:hAnsi="Times New Roman" w:eastAsia="仿宋_GB2312" w:cs="Times New Roman"/>
          <w:color w:val="auto"/>
          <w:sz w:val="32"/>
          <w:szCs w:val="32"/>
          <w:highlight w:val="none"/>
          <w:lang w:val="en-US" w:eastAsia="zh-CN"/>
        </w:rPr>
        <w:t>2025</w:t>
      </w:r>
      <w:r>
        <w:rPr>
          <w:rFonts w:ascii="Times New Roman" w:hAnsi="Times New Roman" w:eastAsia="仿宋_GB2312" w:cs="Times New Roman"/>
          <w:color w:val="auto"/>
          <w:sz w:val="32"/>
          <w:szCs w:val="32"/>
          <w:highlight w:val="none"/>
        </w:rPr>
        <w:t>年全市学前教育毛入园率、九年义务教育巩固率、高中阶段毛入学率分别达到</w:t>
      </w:r>
      <w:r>
        <w:rPr>
          <w:rFonts w:hint="eastAsia" w:ascii="Times New Roman" w:hAnsi="Times New Roman" w:eastAsia="仿宋_GB2312" w:cs="Times New Roman"/>
          <w:color w:val="auto"/>
          <w:sz w:val="32"/>
          <w:szCs w:val="32"/>
          <w:highlight w:val="none"/>
          <w:lang w:val="en-US" w:eastAsia="zh-CN"/>
        </w:rPr>
        <w:t>97</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109</w:t>
      </w:r>
      <w:r>
        <w:rPr>
          <w:rFonts w:ascii="Times New Roman" w:hAnsi="Times New Roman" w:eastAsia="仿宋_GB2312" w:cs="Times New Roman"/>
          <w:color w:val="auto"/>
          <w:sz w:val="32"/>
          <w:szCs w:val="32"/>
          <w:highlight w:val="none"/>
        </w:rPr>
        <w:t>%、93</w:t>
      </w:r>
      <w:r>
        <w:rPr>
          <w:rFonts w:hint="eastAsia" w:ascii="Times New Roman" w:hAnsi="Times New Roman" w:eastAsia="仿宋_GB2312" w:cs="Times New Roman"/>
          <w:color w:val="auto"/>
          <w:sz w:val="32"/>
          <w:szCs w:val="32"/>
          <w:highlight w:val="none"/>
          <w:lang w:val="en-US" w:eastAsia="zh-CN"/>
        </w:rPr>
        <w:t>.56</w:t>
      </w:r>
      <w:r>
        <w:rPr>
          <w:rFonts w:ascii="Times New Roman" w:hAnsi="Times New Roman" w:eastAsia="仿宋_GB2312" w:cs="Times New Roman"/>
          <w:color w:val="auto"/>
          <w:sz w:val="32"/>
          <w:szCs w:val="32"/>
          <w:highlight w:val="none"/>
        </w:rPr>
        <w:t>%。持续深化教师“县管校聘”改革，2020年以来，全市公办中小学教职员工累计18</w:t>
      </w:r>
      <w:r>
        <w:rPr>
          <w:rFonts w:hint="eastAsia" w:ascii="Times New Roman" w:hAnsi="Times New Roman" w:eastAsia="仿宋_GB2312" w:cs="Times New Roman"/>
          <w:color w:val="auto"/>
          <w:sz w:val="32"/>
          <w:szCs w:val="32"/>
          <w:highlight w:val="none"/>
        </w:rPr>
        <w:t>万人</w:t>
      </w:r>
      <w:r>
        <w:rPr>
          <w:rFonts w:ascii="Times New Roman" w:hAnsi="Times New Roman" w:eastAsia="仿宋_GB2312" w:cs="Times New Roman"/>
          <w:color w:val="auto"/>
          <w:sz w:val="32"/>
          <w:szCs w:val="32"/>
          <w:highlight w:val="none"/>
        </w:rPr>
        <w:t>（次）参加岗位竞聘，累计跨校竞聘上岗</w:t>
      </w:r>
      <w:r>
        <w:rPr>
          <w:rFonts w:hint="eastAsia" w:ascii="Times New Roman" w:hAnsi="Times New Roman" w:eastAsia="仿宋_GB2312" w:cs="Times New Roman"/>
          <w:color w:val="auto"/>
          <w:sz w:val="32"/>
          <w:szCs w:val="32"/>
          <w:highlight w:val="none"/>
        </w:rPr>
        <w:t>8917</w:t>
      </w:r>
      <w:r>
        <w:rPr>
          <w:rFonts w:ascii="Times New Roman" w:hAnsi="Times New Roman" w:eastAsia="仿宋_GB2312" w:cs="Times New Roman"/>
          <w:color w:val="auto"/>
          <w:sz w:val="32"/>
          <w:szCs w:val="32"/>
          <w:highlight w:val="none"/>
        </w:rPr>
        <w:t>人（次）、统一调剂上岗</w:t>
      </w:r>
      <w:r>
        <w:rPr>
          <w:rFonts w:hint="eastAsia" w:ascii="Times New Roman" w:hAnsi="Times New Roman" w:eastAsia="仿宋_GB2312" w:cs="Times New Roman"/>
          <w:color w:val="auto"/>
          <w:sz w:val="32"/>
          <w:szCs w:val="32"/>
          <w:highlight w:val="none"/>
        </w:rPr>
        <w:t>961</w:t>
      </w:r>
      <w:r>
        <w:rPr>
          <w:rFonts w:ascii="Times New Roman" w:hAnsi="Times New Roman" w:eastAsia="仿宋_GB2312" w:cs="Times New Roman"/>
          <w:color w:val="auto"/>
          <w:sz w:val="32"/>
          <w:szCs w:val="32"/>
          <w:highlight w:val="none"/>
        </w:rPr>
        <w:t>人（次）。建立健全农村义务教育学校校舍安全长效机制，集中开工建设完成农村寄宿制学校</w:t>
      </w:r>
      <w:r>
        <w:rPr>
          <w:rFonts w:hint="eastAsia" w:ascii="Times New Roman" w:hAnsi="Times New Roman" w:eastAsia="仿宋_GB2312" w:cs="Times New Roman"/>
          <w:color w:val="auto"/>
          <w:sz w:val="32"/>
          <w:szCs w:val="32"/>
          <w:highlight w:val="none"/>
        </w:rPr>
        <w:t>87</w:t>
      </w:r>
      <w:r>
        <w:rPr>
          <w:rFonts w:ascii="Times New Roman" w:hAnsi="Times New Roman" w:eastAsia="仿宋_GB2312" w:cs="Times New Roman"/>
          <w:color w:val="auto"/>
          <w:sz w:val="32"/>
          <w:szCs w:val="32"/>
          <w:highlight w:val="none"/>
        </w:rPr>
        <w:t>所。加快推进紧密型县域医疗卫生共同体建设，</w:t>
      </w:r>
      <w:r>
        <w:rPr>
          <w:rFonts w:hint="eastAsia" w:ascii="Times New Roman" w:hAnsi="Times New Roman" w:eastAsia="仿宋_GB2312" w:cs="Times New Roman"/>
          <w:color w:val="auto"/>
          <w:sz w:val="32"/>
          <w:szCs w:val="32"/>
          <w:highlight w:val="none"/>
        </w:rPr>
        <w:t>统筹建立县域内影像、检验、心电、病理诊断、消毒供应等五大资源共享中心</w:t>
      </w:r>
      <w:r>
        <w:rPr>
          <w:rFonts w:ascii="Times New Roman" w:hAnsi="Times New Roman" w:eastAsia="仿宋_GB2312" w:cs="Times New Roman"/>
          <w:color w:val="auto"/>
          <w:sz w:val="32"/>
          <w:szCs w:val="32"/>
          <w:highlight w:val="none"/>
        </w:rPr>
        <w:t>；持续推进县域医疗次中心和“五个100”实践样板创建，开展“五个60”健康服务示范村卫生室培育，基层卫生服务能力大幅提升。城市低保标准由每人每月不低于570元提高到不低于700元，农村低保标准由每人每年不低于4500元提高到不低于</w:t>
      </w:r>
      <w:r>
        <w:rPr>
          <w:rFonts w:hint="default" w:ascii="Times New Roman" w:hAnsi="Times New Roman" w:eastAsia="仿宋_GB2312" w:cs="Times New Roman"/>
          <w:color w:val="auto"/>
          <w:sz w:val="32"/>
          <w:szCs w:val="32"/>
          <w:highlight w:val="none"/>
          <w:lang w:val="en-US"/>
        </w:rPr>
        <w:t>6672</w:t>
      </w:r>
      <w:r>
        <w:rPr>
          <w:rFonts w:ascii="Times New Roman" w:hAnsi="Times New Roman" w:eastAsia="仿宋_GB2312" w:cs="Times New Roman"/>
          <w:color w:val="auto"/>
          <w:sz w:val="32"/>
          <w:szCs w:val="32"/>
          <w:highlight w:val="none"/>
        </w:rPr>
        <w:t>元，</w:t>
      </w:r>
      <w:r>
        <w:rPr>
          <w:rFonts w:ascii="Times New Roman" w:hAnsi="Times New Roman" w:eastAsia="仿宋_GB2312" w:cs="Times New Roman"/>
          <w:color w:val="auto"/>
          <w:sz w:val="32"/>
          <w:szCs w:val="32"/>
        </w:rPr>
        <w:t>城乡低保标准</w:t>
      </w:r>
      <w:r>
        <w:rPr>
          <w:rFonts w:ascii="Times New Roman" w:hAnsi="Times New Roman" w:eastAsia="仿宋_GB2312" w:cs="Times New Roman"/>
          <w:color w:val="auto"/>
          <w:sz w:val="32"/>
          <w:szCs w:val="32"/>
          <w:highlight w:val="none"/>
        </w:rPr>
        <w:t>差距逐渐缩小。覆盖市</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县（区）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乡的三级养老服务网络基本形成，基本养老保险参保率达到98%。</w:t>
      </w:r>
    </w:p>
    <w:p w14:paraId="2244E9C5">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农村基础设施补短板达成新成果。</w:t>
      </w:r>
      <w:r>
        <w:rPr>
          <w:rFonts w:ascii="Times New Roman" w:hAnsi="Times New Roman" w:eastAsia="仿宋_GB2312" w:cs="Times New Roman"/>
          <w:color w:val="auto"/>
          <w:sz w:val="32"/>
          <w:szCs w:val="32"/>
          <w:highlight w:val="none"/>
        </w:rPr>
        <w:t>持续巩固农村户厕无害化建设改造成果，累计改造农村户厕</w:t>
      </w:r>
      <w:r>
        <w:rPr>
          <w:rFonts w:hint="eastAsia" w:ascii="Times New Roman" w:hAnsi="Times New Roman" w:eastAsia="仿宋_GB2312" w:cs="Times New Roman"/>
          <w:color w:val="auto"/>
          <w:sz w:val="32"/>
          <w:szCs w:val="32"/>
          <w:highlight w:val="none"/>
        </w:rPr>
        <w:t>44</w:t>
      </w:r>
      <w:r>
        <w:rPr>
          <w:rFonts w:ascii="Times New Roman" w:hAnsi="Times New Roman" w:eastAsia="仿宋_GB2312" w:cs="Times New Roman"/>
          <w:color w:val="auto"/>
          <w:sz w:val="32"/>
          <w:szCs w:val="32"/>
          <w:highlight w:val="none"/>
        </w:rPr>
        <w:t>万</w:t>
      </w:r>
      <w:r>
        <w:rPr>
          <w:rFonts w:hint="eastAsia" w:ascii="Times New Roman" w:hAnsi="Times New Roman" w:eastAsia="仿宋_GB2312" w:cs="Times New Roman"/>
          <w:color w:val="auto"/>
          <w:sz w:val="32"/>
          <w:szCs w:val="32"/>
          <w:highlight w:val="none"/>
        </w:rPr>
        <w:t>余</w:t>
      </w:r>
      <w:r>
        <w:rPr>
          <w:rFonts w:ascii="Times New Roman" w:hAnsi="Times New Roman" w:eastAsia="仿宋_GB2312" w:cs="Times New Roman"/>
          <w:color w:val="auto"/>
          <w:sz w:val="32"/>
          <w:szCs w:val="32"/>
          <w:highlight w:val="none"/>
        </w:rPr>
        <w:t>户，全市农村无害化卫生户厕普及率达到</w:t>
      </w:r>
      <w:r>
        <w:rPr>
          <w:rFonts w:hint="eastAsia" w:ascii="Times New Roman" w:hAnsi="Times New Roman" w:eastAsia="仿宋_GB2312" w:cs="Times New Roman"/>
          <w:color w:val="auto"/>
          <w:sz w:val="32"/>
          <w:szCs w:val="32"/>
          <w:highlight w:val="none"/>
        </w:rPr>
        <w:t>73.3</w:t>
      </w:r>
      <w:r>
        <w:rPr>
          <w:rFonts w:ascii="Times New Roman" w:hAnsi="Times New Roman" w:eastAsia="仿宋_GB2312" w:cs="Times New Roman"/>
          <w:color w:val="auto"/>
          <w:sz w:val="32"/>
          <w:szCs w:val="32"/>
          <w:highlight w:val="none"/>
        </w:rPr>
        <w:t>%。积极开展“四好农村路”全域高质量示范创建，新建、改建提升农村道路</w:t>
      </w:r>
      <w:r>
        <w:rPr>
          <w:rFonts w:hint="eastAsia" w:ascii="Times New Roman" w:hAnsi="Times New Roman" w:eastAsia="仿宋_GB2312" w:cs="Times New Roman"/>
          <w:color w:val="auto"/>
          <w:sz w:val="32"/>
          <w:szCs w:val="32"/>
          <w:highlight w:val="none"/>
        </w:rPr>
        <w:t>1644</w:t>
      </w:r>
      <w:r>
        <w:rPr>
          <w:rFonts w:ascii="Times New Roman" w:hAnsi="Times New Roman" w:eastAsia="仿宋_GB2312" w:cs="Times New Roman"/>
          <w:color w:val="auto"/>
          <w:sz w:val="32"/>
          <w:szCs w:val="32"/>
          <w:highlight w:val="none"/>
        </w:rPr>
        <w:t>公里，实现了农村公路“县县畅、乡乡联、村村通、农村骨干路网等级化”，所有建制行政村全部实现通硬化路、通客车。禹州市获评全国城乡交通运输一体化示范县，鄢陵县、建安区获评国家级“四好农村路”示范县，襄城县、长葛市获评省级“四好农村路”示范县。持续推进农村供水“四化”，加快推进城乡供水一体化，累计完成投资23</w:t>
      </w:r>
      <w:r>
        <w:rPr>
          <w:rFonts w:hint="eastAsia" w:ascii="Times New Roman" w:hAnsi="Times New Roman" w:eastAsia="仿宋_GB2312" w:cs="Times New Roman"/>
          <w:color w:val="auto"/>
          <w:sz w:val="32"/>
          <w:szCs w:val="32"/>
          <w:highlight w:val="none"/>
        </w:rPr>
        <w:t>亿元</w:t>
      </w:r>
      <w:r>
        <w:rPr>
          <w:rFonts w:ascii="Times New Roman" w:hAnsi="Times New Roman" w:eastAsia="仿宋_GB2312" w:cs="Times New Roman"/>
          <w:color w:val="auto"/>
          <w:sz w:val="32"/>
          <w:szCs w:val="32"/>
          <w:highlight w:val="none"/>
        </w:rPr>
        <w:t>，铺设管网965</w:t>
      </w:r>
      <w:r>
        <w:rPr>
          <w:rFonts w:hint="eastAsia" w:ascii="Times New Roman" w:hAnsi="Times New Roman" w:eastAsia="仿宋_GB2312" w:cs="Times New Roman"/>
          <w:color w:val="auto"/>
          <w:sz w:val="32"/>
          <w:szCs w:val="32"/>
          <w:highlight w:val="none"/>
        </w:rPr>
        <w:t>公里</w:t>
      </w:r>
      <w:r>
        <w:rPr>
          <w:rFonts w:ascii="Times New Roman" w:hAnsi="Times New Roman" w:eastAsia="仿宋_GB2312" w:cs="Times New Roman"/>
          <w:color w:val="auto"/>
          <w:sz w:val="32"/>
          <w:szCs w:val="32"/>
          <w:highlight w:val="none"/>
        </w:rPr>
        <w:t>，新增农村通水人口254</w:t>
      </w:r>
      <w:r>
        <w:rPr>
          <w:rFonts w:hint="eastAsia" w:ascii="Times New Roman" w:hAnsi="Times New Roman" w:eastAsia="仿宋_GB2312" w:cs="Times New Roman"/>
          <w:color w:val="auto"/>
          <w:sz w:val="32"/>
          <w:szCs w:val="32"/>
          <w:highlight w:val="none"/>
        </w:rPr>
        <w:t>万人</w:t>
      </w:r>
      <w:r>
        <w:rPr>
          <w:rFonts w:ascii="Times New Roman" w:hAnsi="Times New Roman" w:eastAsia="仿宋_GB2312" w:cs="Times New Roman"/>
          <w:color w:val="auto"/>
          <w:sz w:val="32"/>
          <w:szCs w:val="32"/>
          <w:highlight w:val="none"/>
        </w:rPr>
        <w:t>，自来水普及率达到99.1%。大力推进燃气下乡，农村燃气覆盖率达到</w:t>
      </w:r>
      <w:r>
        <w:rPr>
          <w:rFonts w:hint="eastAsia" w:ascii="Times New Roman" w:hAnsi="Times New Roman" w:eastAsia="仿宋_GB2312" w:cs="Times New Roman"/>
          <w:color w:val="auto"/>
          <w:sz w:val="32"/>
          <w:szCs w:val="32"/>
          <w:highlight w:val="none"/>
          <w:lang w:val="en-US" w:eastAsia="zh-CN"/>
        </w:rPr>
        <w:t>98.96</w:t>
      </w:r>
      <w:r>
        <w:rPr>
          <w:rFonts w:ascii="Times New Roman" w:hAnsi="Times New Roman" w:eastAsia="仿宋_GB2312" w:cs="Times New Roman"/>
          <w:color w:val="auto"/>
          <w:sz w:val="32"/>
          <w:szCs w:val="32"/>
          <w:highlight w:val="none"/>
        </w:rPr>
        <w:t>%。不断加强乡村信息基础设施建设，实现乡镇以上区域5G网络连续覆盖及农村热点、重点地区5G覆盖。</w:t>
      </w:r>
    </w:p>
    <w:p w14:paraId="48C8EE87">
      <w:pPr>
        <w:tabs>
          <w:tab w:val="left" w:pos="2552"/>
        </w:tabs>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乡村产业振兴发展取得新突破。</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年，第一产业实现增加值</w:t>
      </w:r>
      <w:r>
        <w:rPr>
          <w:rFonts w:hint="eastAsia" w:ascii="Times New Roman" w:hAnsi="Times New Roman" w:eastAsia="仿宋_GB2312" w:cs="Times New Roman"/>
          <w:color w:val="auto"/>
          <w:sz w:val="32"/>
          <w:szCs w:val="32"/>
          <w:highlight w:val="none"/>
          <w:lang w:val="en-US" w:eastAsia="zh-CN"/>
        </w:rPr>
        <w:t>207.3</w:t>
      </w:r>
      <w:r>
        <w:rPr>
          <w:rFonts w:ascii="Times New Roman" w:hAnsi="Times New Roman" w:eastAsia="仿宋_GB2312" w:cs="Times New Roman"/>
          <w:color w:val="auto"/>
          <w:sz w:val="32"/>
          <w:szCs w:val="32"/>
          <w:highlight w:val="none"/>
        </w:rPr>
        <w:t>亿元，比2020年增加了</w:t>
      </w:r>
      <w:r>
        <w:rPr>
          <w:rFonts w:hint="eastAsia" w:ascii="Times New Roman" w:hAnsi="Times New Roman" w:eastAsia="仿宋_GB2312" w:cs="Times New Roman"/>
          <w:color w:val="auto"/>
          <w:sz w:val="32"/>
          <w:szCs w:val="32"/>
          <w:highlight w:val="none"/>
          <w:lang w:val="en-US" w:eastAsia="zh-CN"/>
        </w:rPr>
        <w:t>23.6</w:t>
      </w:r>
      <w:r>
        <w:rPr>
          <w:rFonts w:hint="eastAsia" w:ascii="Times New Roman" w:hAnsi="Times New Roman" w:eastAsia="仿宋_GB2312" w:cs="Times New Roman"/>
          <w:color w:val="auto"/>
          <w:sz w:val="32"/>
          <w:szCs w:val="32"/>
          <w:highlight w:val="none"/>
        </w:rPr>
        <w:t>亿元</w:t>
      </w:r>
      <w:r>
        <w:rPr>
          <w:rFonts w:ascii="Times New Roman" w:hAnsi="Times New Roman" w:eastAsia="仿宋_GB2312" w:cs="Times New Roman"/>
          <w:color w:val="auto"/>
          <w:sz w:val="32"/>
          <w:szCs w:val="32"/>
          <w:highlight w:val="none"/>
        </w:rPr>
        <w:t>。围绕“花菜药烟”等特色优势产业，加速全产业链发展，加快标准化生产基地、冷链物流和精深加工园区建设，建成省级以上农业标准化示范区53个。实施龙头企业倍增计划，市级以上龙头企业达到</w:t>
      </w:r>
      <w:r>
        <w:rPr>
          <w:rFonts w:hint="eastAsia" w:ascii="Times New Roman" w:hAnsi="Times New Roman" w:eastAsia="仿宋_GB2312" w:cs="Times New Roman"/>
          <w:color w:val="auto"/>
          <w:sz w:val="32"/>
          <w:szCs w:val="32"/>
          <w:highlight w:val="none"/>
          <w:lang w:val="en-US" w:eastAsia="zh-CN"/>
        </w:rPr>
        <w:t>152</w:t>
      </w:r>
      <w:r>
        <w:rPr>
          <w:rFonts w:ascii="Times New Roman" w:hAnsi="Times New Roman" w:eastAsia="仿宋_GB2312" w:cs="Times New Roman"/>
          <w:color w:val="auto"/>
          <w:sz w:val="32"/>
          <w:szCs w:val="32"/>
          <w:highlight w:val="none"/>
        </w:rPr>
        <w:t>家，其中省级</w:t>
      </w:r>
      <w:r>
        <w:rPr>
          <w:rFonts w:hint="eastAsia" w:ascii="Times New Roman" w:hAnsi="Times New Roman" w:eastAsia="仿宋_GB2312" w:cs="Times New Roman"/>
          <w:color w:val="auto"/>
          <w:sz w:val="32"/>
          <w:szCs w:val="32"/>
          <w:highlight w:val="none"/>
        </w:rPr>
        <w:t>55</w:t>
      </w:r>
      <w:r>
        <w:rPr>
          <w:rFonts w:ascii="Times New Roman" w:hAnsi="Times New Roman" w:eastAsia="仿宋_GB2312" w:cs="Times New Roman"/>
          <w:color w:val="auto"/>
          <w:sz w:val="32"/>
          <w:szCs w:val="32"/>
          <w:highlight w:val="none"/>
        </w:rPr>
        <w:t>家，国家级</w:t>
      </w:r>
      <w:r>
        <w:rPr>
          <w:rFonts w:hint="eastAsia"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家。推动三产融合发展，构建“农业+电商+文旅”生态圈，建成5个智慧农业示范基地，打造3条农旅融合精品线路。获批创建省级现代农业产业园5个，实现涉农县（市、区）省级现代农业产业园全覆盖，新增家庭农场</w:t>
      </w:r>
      <w:r>
        <w:rPr>
          <w:rFonts w:hint="eastAsia" w:ascii="Times New Roman" w:hAnsi="Times New Roman" w:eastAsia="仿宋_GB2312" w:cs="Times New Roman"/>
          <w:color w:val="auto"/>
          <w:sz w:val="32"/>
          <w:szCs w:val="32"/>
          <w:highlight w:val="none"/>
        </w:rPr>
        <w:t>2821</w:t>
      </w:r>
      <w:r>
        <w:rPr>
          <w:rFonts w:ascii="Times New Roman" w:hAnsi="Times New Roman" w:eastAsia="仿宋_GB2312" w:cs="Times New Roman"/>
          <w:color w:val="auto"/>
          <w:sz w:val="32"/>
          <w:szCs w:val="32"/>
          <w:highlight w:val="none"/>
        </w:rPr>
        <w:t>家、农民合作社</w:t>
      </w:r>
      <w:r>
        <w:rPr>
          <w:rFonts w:hint="eastAsia" w:ascii="Times New Roman" w:hAnsi="Times New Roman" w:eastAsia="仿宋_GB2312" w:cs="Times New Roman"/>
          <w:color w:val="auto"/>
          <w:sz w:val="32"/>
          <w:szCs w:val="32"/>
          <w:highlight w:val="none"/>
        </w:rPr>
        <w:t>4501</w:t>
      </w:r>
      <w:r>
        <w:rPr>
          <w:rFonts w:ascii="Times New Roman" w:hAnsi="Times New Roman" w:eastAsia="仿宋_GB2312" w:cs="Times New Roman"/>
          <w:color w:val="auto"/>
          <w:sz w:val="32"/>
          <w:szCs w:val="32"/>
          <w:highlight w:val="none"/>
        </w:rPr>
        <w:t>家。“果树进村”创新实践被新华社推介。在全省乡村振兴实绩考核中保持第一方阵。</w:t>
      </w:r>
    </w:p>
    <w:p w14:paraId="5F738137">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城乡共同富裕实现新成就。</w:t>
      </w:r>
      <w:r>
        <w:rPr>
          <w:rFonts w:ascii="Times New Roman" w:hAnsi="Times New Roman" w:eastAsia="仿宋_GB2312" w:cs="Times New Roman"/>
          <w:color w:val="auto"/>
          <w:sz w:val="32"/>
          <w:szCs w:val="32"/>
          <w:highlight w:val="none"/>
        </w:rPr>
        <w:t>千方百计拓宽农民增收渠道，202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年，农村居民人均可支配收入达到</w:t>
      </w:r>
      <w:r>
        <w:rPr>
          <w:rFonts w:hint="eastAsia" w:ascii="Times New Roman" w:hAnsi="Times New Roman" w:eastAsia="仿宋_GB2312" w:cs="Times New Roman"/>
          <w:color w:val="auto"/>
          <w:sz w:val="32"/>
          <w:szCs w:val="32"/>
          <w:highlight w:val="none"/>
          <w:lang w:val="en-US" w:eastAsia="zh-CN"/>
        </w:rPr>
        <w:t>27222</w:t>
      </w:r>
      <w:r>
        <w:rPr>
          <w:rFonts w:ascii="Times New Roman" w:hAnsi="Times New Roman" w:eastAsia="仿宋_GB2312" w:cs="Times New Roman"/>
          <w:color w:val="auto"/>
          <w:sz w:val="32"/>
          <w:szCs w:val="32"/>
          <w:highlight w:val="none"/>
        </w:rPr>
        <w:t>元，比2020年提高了</w:t>
      </w:r>
      <w:r>
        <w:rPr>
          <w:rFonts w:hint="eastAsia" w:ascii="Times New Roman" w:hAnsi="Times New Roman" w:eastAsia="仿宋_GB2312" w:cs="Times New Roman"/>
          <w:color w:val="auto"/>
          <w:sz w:val="32"/>
          <w:szCs w:val="32"/>
          <w:highlight w:val="none"/>
          <w:lang w:val="en-US" w:eastAsia="zh-CN"/>
        </w:rPr>
        <w:t>7514</w:t>
      </w:r>
      <w:r>
        <w:rPr>
          <w:rFonts w:ascii="Times New Roman" w:hAnsi="Times New Roman" w:eastAsia="仿宋_GB2312" w:cs="Times New Roman"/>
          <w:color w:val="auto"/>
          <w:sz w:val="32"/>
          <w:szCs w:val="32"/>
          <w:highlight w:val="none"/>
        </w:rPr>
        <w:t>元，年均增长</w:t>
      </w:r>
      <w:r>
        <w:rPr>
          <w:rFonts w:hint="eastAsia" w:ascii="Times New Roman" w:hAnsi="Times New Roman" w:eastAsia="仿宋_GB2312" w:cs="Times New Roman"/>
          <w:color w:val="auto"/>
          <w:sz w:val="32"/>
          <w:szCs w:val="32"/>
          <w:highlight w:val="none"/>
          <w:lang w:val="en-US" w:eastAsia="zh-CN"/>
        </w:rPr>
        <w:t>6.7</w:t>
      </w:r>
      <w:r>
        <w:rPr>
          <w:rFonts w:ascii="Times New Roman" w:hAnsi="Times New Roman" w:eastAsia="仿宋_GB2312" w:cs="Times New Roman"/>
          <w:color w:val="auto"/>
          <w:sz w:val="32"/>
          <w:szCs w:val="32"/>
          <w:highlight w:val="none"/>
        </w:rPr>
        <w:t>%，连续多年高于城镇居民收入增幅，城乡居民收入比由2020年的1.77:1缩小</w:t>
      </w:r>
      <w:r>
        <w:rPr>
          <w:rFonts w:hint="eastAsia" w:ascii="Times New Roman" w:hAnsi="Times New Roman" w:eastAsia="仿宋_GB2312" w:cs="Times New Roman"/>
          <w:color w:val="auto"/>
          <w:sz w:val="32"/>
          <w:szCs w:val="32"/>
          <w:highlight w:val="none"/>
        </w:rPr>
        <w:t>到</w:t>
      </w:r>
      <w:r>
        <w:rPr>
          <w:rFonts w:hint="eastAsia" w:ascii="Times New Roman" w:hAnsi="Times New Roman" w:eastAsia="仿宋_GB2312" w:cs="Times New Roman"/>
          <w:color w:val="auto"/>
          <w:sz w:val="32"/>
          <w:szCs w:val="32"/>
          <w:highlight w:val="none"/>
          <w:lang w:val="en-US" w:eastAsia="zh-CN"/>
        </w:rPr>
        <w:t>2025年的</w:t>
      </w:r>
      <w:r>
        <w:rPr>
          <w:rFonts w:ascii="Times New Roman" w:hAnsi="Times New Roman" w:eastAsia="仿宋_GB2312" w:cs="Times New Roman"/>
          <w:color w:val="auto"/>
          <w:sz w:val="32"/>
          <w:szCs w:val="32"/>
          <w:highlight w:val="none"/>
        </w:rPr>
        <w:t>1.6</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1。积极发展“互联网+农业”，建成县乡村三级电商扶贫公共服务中心、服务站和服务点，实现“网货下乡”和“农产品进城”双向流通，全市农村电商企业数量超过1000家。持续巩固拓展脱贫攻坚成果，常态化开展监测帮扶，推进就业帮扶、行业帮扶、消费帮扶</w:t>
      </w:r>
      <w:r>
        <w:rPr>
          <w:rFonts w:hint="eastAsia" w:ascii="Times New Roman" w:hAnsi="Times New Roman" w:eastAsia="仿宋_GB2312" w:cs="Times New Roman"/>
          <w:color w:val="auto"/>
          <w:sz w:val="32"/>
          <w:szCs w:val="32"/>
          <w:highlight w:val="none"/>
        </w:rPr>
        <w:t>，全市脱贫群众务工就业规模3.57万人，完成省定目标的107.14%，脱贫劳动力持证9441人。</w:t>
      </w:r>
    </w:p>
    <w:p w14:paraId="6D310274">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农业农村改革取得新进展。</w:t>
      </w:r>
      <w:r>
        <w:rPr>
          <w:rFonts w:ascii="Times New Roman" w:hAnsi="Times New Roman" w:eastAsia="仿宋_GB2312" w:cs="Times New Roman"/>
          <w:color w:val="auto"/>
          <w:sz w:val="32"/>
          <w:szCs w:val="32"/>
          <w:highlight w:val="none"/>
        </w:rPr>
        <w:t>积极推进“政经”分离改革，推动村集体经济组织独立运行，搭建农村“三资”管理平台。加快推进全国农村产权流转交易规范化试点，6个县（市、区）全部</w:t>
      </w:r>
      <w:r>
        <w:rPr>
          <w:rFonts w:hint="eastAsia" w:ascii="Times New Roman" w:hAnsi="Times New Roman" w:eastAsia="仿宋_GB2312" w:cs="Times New Roman"/>
          <w:color w:val="auto"/>
          <w:sz w:val="32"/>
          <w:szCs w:val="32"/>
          <w:highlight w:val="none"/>
        </w:rPr>
        <w:t>建成</w:t>
      </w:r>
      <w:r>
        <w:rPr>
          <w:rFonts w:ascii="Times New Roman" w:hAnsi="Times New Roman" w:eastAsia="仿宋_GB2312" w:cs="Times New Roman"/>
          <w:color w:val="auto"/>
          <w:sz w:val="32"/>
          <w:szCs w:val="32"/>
          <w:highlight w:val="none"/>
        </w:rPr>
        <w:t>农村产权流转交易平台。许昌市及所辖长葛市获批全国农村产权流转交易规范化试点，成为全省唯一的市、县双试点。不断完善土地流转服务体系，建立土地流转价格合理形成机制，推动农村集体经营性建设用地入市，全市累计入市交易农村集体经营性建设用地20宗762亩，成交金额3.9亿元。长葛市被列为全国农村集体经营性建设用地入市试点。加强与高校、科研院所合作，建立入乡转化科技成果数据库，推动国内外优质农业科技成果积极向企业推介。</w:t>
      </w:r>
      <w:r>
        <w:rPr>
          <w:rFonts w:hint="eastAsia" w:ascii="Times New Roman" w:hAnsi="Times New Roman" w:eastAsia="仿宋_GB2312" w:cs="Times New Roman"/>
          <w:color w:val="auto"/>
          <w:sz w:val="32"/>
          <w:szCs w:val="32"/>
          <w:highlight w:val="none"/>
        </w:rPr>
        <w:t>实行科技副乡（镇）长制度，选派200名专家人才到基层挂职</w:t>
      </w:r>
      <w:r>
        <w:rPr>
          <w:rFonts w:ascii="Times New Roman" w:hAnsi="Times New Roman" w:eastAsia="仿宋_GB2312" w:cs="Times New Roman"/>
          <w:color w:val="auto"/>
          <w:sz w:val="32"/>
          <w:szCs w:val="32"/>
          <w:highlight w:val="none"/>
        </w:rPr>
        <w:t>，选派268名科技特派员到基层开展科技服务。</w:t>
      </w:r>
    </w:p>
    <w:p w14:paraId="0C38166D">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城乡统筹和区域发展迈上新台阶。</w:t>
      </w:r>
      <w:r>
        <w:rPr>
          <w:rFonts w:ascii="Times New Roman" w:hAnsi="Times New Roman" w:eastAsia="仿宋_GB2312" w:cs="Times New Roman"/>
          <w:color w:val="auto"/>
          <w:sz w:val="32"/>
          <w:szCs w:val="32"/>
          <w:highlight w:val="none"/>
        </w:rPr>
        <w:t>以国家城乡融合发展试验区和郑州都市圈建设为总牵引，打破城乡二元壁垒与区域行政分割，通过空间重构、要素流动、产业协同、服务共享，推动城乡统筹与区域发展实现从“单点突破”到“系统跃升”的深刻转变。郑许一体化不断深入，郑许市域铁路贯通运营，许港产业带发展规划获批，郑汴许“黄金三角区”成为都市圈核心增长极，许昌从郑州都市圈“南大门”变成核心区。以郑许市域铁路、忠武路等交通廊道为支撑，郑许纵向发展轴基本形成，推动中心城区不断北进东</w:t>
      </w:r>
      <w:r>
        <w:rPr>
          <w:rFonts w:hint="eastAsia" w:ascii="Times New Roman" w:hAnsi="Times New Roman" w:eastAsia="仿宋_GB2312" w:cs="Times New Roman"/>
          <w:color w:val="auto"/>
          <w:sz w:val="32"/>
          <w:szCs w:val="32"/>
          <w:highlight w:val="none"/>
          <w:lang w:eastAsia="zh-CN"/>
        </w:rPr>
        <w:t>跨</w:t>
      </w:r>
      <w:r>
        <w:rPr>
          <w:rFonts w:ascii="Times New Roman" w:hAnsi="Times New Roman" w:eastAsia="仿宋_GB2312" w:cs="Times New Roman"/>
          <w:color w:val="auto"/>
          <w:sz w:val="32"/>
          <w:szCs w:val="32"/>
          <w:highlight w:val="none"/>
        </w:rPr>
        <w:t>，形成与郑州相向发展的良好局面。</w:t>
      </w:r>
    </w:p>
    <w:p w14:paraId="774C5216">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4" w:name="_Toc215133874"/>
      <w:r>
        <w:rPr>
          <w:rFonts w:ascii="Times New Roman" w:hAnsi="Times New Roman" w:eastAsia="宋体" w:cs="Times New Roman"/>
          <w:b/>
          <w:bCs/>
          <w:color w:val="auto"/>
          <w:sz w:val="32"/>
          <w:szCs w:val="32"/>
          <w:highlight w:val="none"/>
        </w:rPr>
        <w:t>第</w:t>
      </w:r>
      <w:r>
        <w:rPr>
          <w:rFonts w:hint="eastAsia" w:ascii="Times New Roman" w:hAnsi="Times New Roman" w:eastAsia="宋体" w:cs="Times New Roman"/>
          <w:b/>
          <w:bCs/>
          <w:color w:val="auto"/>
          <w:sz w:val="32"/>
          <w:szCs w:val="32"/>
          <w:highlight w:val="none"/>
          <w:lang w:val="en-US" w:eastAsia="zh-CN"/>
        </w:rPr>
        <w:t>二</w:t>
      </w:r>
      <w:r>
        <w:rPr>
          <w:rFonts w:ascii="Times New Roman" w:hAnsi="Times New Roman" w:eastAsia="宋体" w:cs="Times New Roman"/>
          <w:b/>
          <w:bCs/>
          <w:color w:val="auto"/>
          <w:sz w:val="32"/>
          <w:szCs w:val="32"/>
          <w:highlight w:val="none"/>
        </w:rPr>
        <w:t>节  “十五五”发展环境</w:t>
      </w:r>
      <w:bookmarkEnd w:id="4"/>
    </w:p>
    <w:p w14:paraId="45F5FB85">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未来五年，是我国基本实现社会主义现代化夯实基础、全面发力的关键时期，也是许昌</w:t>
      </w:r>
      <w:r>
        <w:rPr>
          <w:rFonts w:ascii="Times New Roman" w:hAnsi="Times New Roman" w:eastAsia="仿宋_GB2312" w:cs="Times New Roman"/>
          <w:color w:val="auto"/>
          <w:sz w:val="32"/>
          <w:szCs w:val="32"/>
        </w:rPr>
        <w:t>系统提质、整体跃升的重要阶段</w:t>
      </w:r>
      <w:r>
        <w:rPr>
          <w:rFonts w:ascii="Times New Roman" w:hAnsi="Times New Roman" w:eastAsia="仿宋_GB2312" w:cs="Times New Roman"/>
          <w:color w:val="auto"/>
          <w:sz w:val="32"/>
          <w:szCs w:val="32"/>
          <w:highlight w:val="none"/>
        </w:rPr>
        <w:t>。我市推动城乡融合发展仍面临复杂的内外环境，但也处于重要战略机遇期。</w:t>
      </w:r>
    </w:p>
    <w:p w14:paraId="08BEFBF4">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从全国看，</w:t>
      </w:r>
      <w:r>
        <w:rPr>
          <w:rFonts w:hint="eastAsia" w:ascii="Times New Roman" w:hAnsi="Times New Roman" w:eastAsia="仿宋_GB2312" w:cs="Times New Roman"/>
          <w:color w:val="auto"/>
          <w:sz w:val="32"/>
          <w:szCs w:val="32"/>
          <w:highlight w:val="none"/>
        </w:rPr>
        <w:t>培育壮大新质生产力，加快构建新发展格局，全面推动高质量发展进入蝶变期</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我国</w:t>
      </w:r>
      <w:r>
        <w:rPr>
          <w:rFonts w:ascii="Times New Roman" w:hAnsi="Times New Roman" w:eastAsia="仿宋_GB2312" w:cs="Times New Roman"/>
          <w:color w:val="auto"/>
          <w:sz w:val="32"/>
          <w:szCs w:val="32"/>
          <w:highlight w:val="none"/>
        </w:rPr>
        <w:t>经济基础稳、优势多、韧性强、潜能大，长期向好的支撑条件和基本趋势没有改变，经济社会发展呈现新的阶段性特征。</w:t>
      </w:r>
      <w:r>
        <w:rPr>
          <w:rFonts w:hint="eastAsia" w:ascii="Times New Roman" w:hAnsi="Times New Roman" w:eastAsia="仿宋_GB2312" w:cs="Times New Roman"/>
          <w:color w:val="auto"/>
          <w:sz w:val="32"/>
          <w:szCs w:val="32"/>
        </w:rPr>
        <w:t>我国城镇化正从快速增长期转向稳定发展期，城市发展正从大规模增量扩张阶段转向存量提质增效为主的阶段，</w:t>
      </w:r>
      <w:r>
        <w:rPr>
          <w:rFonts w:ascii="Times New Roman" w:hAnsi="Times New Roman" w:eastAsia="仿宋_GB2312" w:cs="Times New Roman"/>
          <w:color w:val="auto"/>
          <w:sz w:val="32"/>
          <w:szCs w:val="32"/>
        </w:rPr>
        <w:t>将以更大力度推进城乡融合发展，把县城作为新型城镇化的重要载体，畅通土地、人才、资金、数据双向流动，推动公共服务、基础设施、产业链条一体布局、同步提升；以城市更新、</w:t>
      </w:r>
      <w:r>
        <w:rPr>
          <w:rFonts w:hint="eastAsia" w:ascii="Times New Roman" w:hAnsi="Times New Roman" w:eastAsia="仿宋_GB2312" w:cs="Times New Roman"/>
          <w:color w:val="auto"/>
          <w:sz w:val="32"/>
          <w:szCs w:val="32"/>
        </w:rPr>
        <w:t>乡村全面振兴</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rPr>
        <w:t>抓手</w:t>
      </w:r>
      <w:r>
        <w:rPr>
          <w:rFonts w:ascii="Times New Roman" w:hAnsi="Times New Roman" w:eastAsia="仿宋_GB2312" w:cs="Times New Roman"/>
          <w:color w:val="auto"/>
          <w:sz w:val="32"/>
          <w:szCs w:val="32"/>
        </w:rPr>
        <w:t>，把城镇打造成农业转移人口市民化的主平台，</w:t>
      </w:r>
      <w:r>
        <w:rPr>
          <w:rFonts w:hint="eastAsia" w:ascii="Times New Roman" w:hAnsi="Times New Roman" w:eastAsia="仿宋_GB2312" w:cs="Times New Roman"/>
          <w:color w:val="auto"/>
          <w:sz w:val="32"/>
          <w:szCs w:val="32"/>
        </w:rPr>
        <w:t>把乡村建设成为宜居宜业幸福家园</w:t>
      </w:r>
      <w:r>
        <w:rPr>
          <w:rFonts w:ascii="Times New Roman" w:hAnsi="Times New Roman" w:eastAsia="仿宋_GB2312" w:cs="Times New Roman"/>
          <w:color w:val="auto"/>
          <w:sz w:val="32"/>
          <w:szCs w:val="32"/>
        </w:rPr>
        <w:t>，形成工农互促、城乡互补、全面融合、共同繁荣的新格局。</w:t>
      </w:r>
    </w:p>
    <w:p w14:paraId="21D482EE">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从我省看，</w:t>
      </w:r>
      <w:r>
        <w:rPr>
          <w:rFonts w:ascii="Times New Roman" w:hAnsi="Times New Roman" w:eastAsia="仿宋_GB2312" w:cs="Times New Roman"/>
          <w:color w:val="auto"/>
          <w:sz w:val="32"/>
          <w:szCs w:val="32"/>
          <w:highlight w:val="none"/>
        </w:rPr>
        <w:t>聚焦“两高四着力”，</w:t>
      </w:r>
      <w:r>
        <w:rPr>
          <w:rFonts w:ascii="Times New Roman" w:hAnsi="Times New Roman" w:eastAsia="仿宋_GB2312" w:cs="Times New Roman"/>
          <w:b w:val="0"/>
          <w:bCs w:val="0"/>
          <w:color w:val="auto"/>
          <w:spacing w:val="0"/>
          <w:sz w:val="32"/>
          <w:szCs w:val="32"/>
          <w:highlight w:val="none"/>
        </w:rPr>
        <w:t>奋力谱写中原大地推进中国式现代化新篇章进入攻坚期</w:t>
      </w:r>
      <w:r>
        <w:rPr>
          <w:rFonts w:hint="default"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rPr>
        <w:t>正乘势而上加快现代化建设步伐，提升在全国发展大局中的位势能级</w:t>
      </w:r>
      <w:r>
        <w:rPr>
          <w:rFonts w:ascii="Times New Roman" w:hAnsi="Times New Roman" w:eastAsia="仿宋_GB2312" w:cs="Times New Roman"/>
          <w:color w:val="auto"/>
          <w:sz w:val="32"/>
          <w:szCs w:val="32"/>
          <w:highlight w:val="none"/>
        </w:rPr>
        <w:t>。作为人口大省和农业大省，</w:t>
      </w:r>
      <w:r>
        <w:rPr>
          <w:rFonts w:hint="eastAsia" w:ascii="Times New Roman" w:hAnsi="Times New Roman" w:eastAsia="仿宋_GB2312" w:cs="Times New Roman"/>
          <w:color w:val="auto"/>
          <w:sz w:val="32"/>
          <w:szCs w:val="32"/>
          <w:highlight w:val="none"/>
        </w:rPr>
        <w:t>我省</w:t>
      </w:r>
      <w:r>
        <w:rPr>
          <w:rFonts w:ascii="Times New Roman" w:hAnsi="Times New Roman" w:eastAsia="仿宋_GB2312" w:cs="Times New Roman"/>
          <w:color w:val="auto"/>
          <w:sz w:val="32"/>
          <w:szCs w:val="32"/>
          <w:highlight w:val="none"/>
        </w:rPr>
        <w:t>城镇化率长期低于全国平均水平，成为制约全省现代化进程的重要瓶颈。习近平总书记在河南考察时指出“要以城乡融合发展带动乡村全面振兴，促进城乡共同富裕”。未来一段时期，</w:t>
      </w:r>
      <w:r>
        <w:rPr>
          <w:rFonts w:hint="eastAsia" w:ascii="Times New Roman" w:hAnsi="Times New Roman" w:eastAsia="仿宋_GB2312" w:cs="Times New Roman"/>
          <w:color w:val="auto"/>
          <w:sz w:val="32"/>
          <w:szCs w:val="32"/>
          <w:highlight w:val="none"/>
        </w:rPr>
        <w:t>我省</w:t>
      </w:r>
      <w:r>
        <w:rPr>
          <w:rFonts w:ascii="Times New Roman" w:hAnsi="Times New Roman" w:eastAsia="仿宋_GB2312" w:cs="Times New Roman"/>
          <w:color w:val="auto"/>
          <w:sz w:val="32"/>
          <w:szCs w:val="32"/>
          <w:highlight w:val="none"/>
        </w:rPr>
        <w:t>需要通过加快推进城乡融合发展，充分释放超大规模的创造动能和消费潜能，形成需求牵引供给、供给创造需求的良性格局，进而推动全省经济社会高质量发展。</w:t>
      </w:r>
    </w:p>
    <w:p w14:paraId="71C832C5">
      <w:pPr>
        <w:overflowPunct w:val="0"/>
        <w:spacing w:line="600" w:lineRule="exact"/>
        <w:ind w:firstLine="643"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color w:val="auto"/>
          <w:sz w:val="32"/>
          <w:szCs w:val="32"/>
          <w:highlight w:val="none"/>
        </w:rPr>
        <w:t>从我市看，</w:t>
      </w:r>
      <w:r>
        <w:rPr>
          <w:rFonts w:hint="eastAsia" w:ascii="Times New Roman" w:hAnsi="Times New Roman" w:eastAsia="仿宋_GB2312" w:cs="Times New Roman"/>
          <w:color w:val="auto"/>
          <w:sz w:val="32"/>
          <w:szCs w:val="32"/>
          <w:highlight w:val="none"/>
        </w:rPr>
        <w:t>未来五年是经济结构的深度转型期和关键发展期，也是城乡功能的更新攻坚期和融合跨越期</w:t>
      </w:r>
      <w:r>
        <w:rPr>
          <w:rFonts w:ascii="Times New Roman" w:hAnsi="Times New Roman" w:eastAsia="仿宋_GB2312" w:cs="Times New Roman"/>
          <w:color w:val="auto"/>
          <w:sz w:val="32"/>
          <w:szCs w:val="32"/>
          <w:highlight w:val="none"/>
        </w:rPr>
        <w:t>。我市常住人口城镇化率达到</w:t>
      </w:r>
      <w:r>
        <w:rPr>
          <w:rFonts w:hint="default" w:ascii="Times New Roman" w:hAnsi="Times New Roman" w:eastAsia="仿宋_GB2312" w:cs="Times New Roman"/>
          <w:color w:val="auto"/>
          <w:sz w:val="32"/>
          <w:szCs w:val="32"/>
          <w:highlight w:val="none"/>
          <w:lang w:val="en-US"/>
        </w:rPr>
        <w:t>58.02</w:t>
      </w:r>
      <w:r>
        <w:rPr>
          <w:rFonts w:ascii="Times New Roman" w:hAnsi="Times New Roman" w:eastAsia="仿宋_GB2312" w:cs="Times New Roman"/>
          <w:color w:val="auto"/>
          <w:sz w:val="32"/>
          <w:szCs w:val="32"/>
          <w:highlight w:val="none"/>
        </w:rPr>
        <w:t>%，仍处在城镇化快速发展</w:t>
      </w:r>
      <w:r>
        <w:rPr>
          <w:rFonts w:hint="eastAsia" w:ascii="Times New Roman" w:hAnsi="Times New Roman" w:eastAsia="仿宋_GB2312" w:cs="Times New Roman"/>
          <w:color w:val="auto"/>
          <w:sz w:val="32"/>
          <w:szCs w:val="32"/>
          <w:highlight w:val="none"/>
          <w:lang w:eastAsia="zh-CN"/>
        </w:rPr>
        <w:t>阶段</w:t>
      </w:r>
      <w:r>
        <w:rPr>
          <w:rFonts w:ascii="Times New Roman" w:hAnsi="Times New Roman" w:eastAsia="仿宋_GB2312" w:cs="Times New Roman"/>
          <w:color w:val="auto"/>
          <w:sz w:val="32"/>
          <w:szCs w:val="32"/>
          <w:highlight w:val="none"/>
        </w:rPr>
        <w:t>。国家和省高度重视、大力推动城乡融合发展，将有利于我市</w:t>
      </w:r>
      <w:r>
        <w:rPr>
          <w:rFonts w:hint="eastAsia" w:ascii="Times New Roman" w:hAnsi="Times New Roman" w:eastAsia="仿宋_GB2312" w:cs="Times New Roman"/>
          <w:color w:val="auto"/>
          <w:sz w:val="32"/>
          <w:szCs w:val="32"/>
          <w:highlight w:val="none"/>
        </w:rPr>
        <w:t>巩固拓展</w:t>
      </w:r>
      <w:r>
        <w:rPr>
          <w:rFonts w:hint="eastAsia" w:ascii="Times New Roman" w:hAnsi="Times New Roman" w:eastAsia="仿宋_GB2312" w:cs="Times New Roman"/>
          <w:color w:val="auto"/>
          <w:sz w:val="32"/>
          <w:szCs w:val="32"/>
          <w:highlight w:val="none"/>
          <w:lang w:val="en-US" w:eastAsia="zh-CN"/>
        </w:rPr>
        <w:t>国家城乡融合发展</w:t>
      </w:r>
      <w:r>
        <w:rPr>
          <w:rFonts w:hint="eastAsia" w:ascii="Times New Roman" w:hAnsi="Times New Roman" w:eastAsia="仿宋_GB2312" w:cs="Times New Roman"/>
          <w:color w:val="auto"/>
          <w:sz w:val="32"/>
          <w:szCs w:val="32"/>
          <w:highlight w:val="none"/>
        </w:rPr>
        <w:t>试验区建设成果，</w:t>
      </w:r>
      <w:r>
        <w:rPr>
          <w:rFonts w:ascii="Times New Roman" w:hAnsi="Times New Roman" w:eastAsia="仿宋_GB2312" w:cs="Times New Roman"/>
          <w:color w:val="auto"/>
          <w:sz w:val="32"/>
          <w:szCs w:val="32"/>
          <w:highlight w:val="none"/>
        </w:rPr>
        <w:t>积极争取各类改革政策在我市先行先试，推动城乡基础设施、公共服务一体化实现新提升，乡村产业发展实现新突破，为全市现代化建设注入新的动力。</w:t>
      </w:r>
      <w:r>
        <w:rPr>
          <w:rFonts w:hint="eastAsia" w:ascii="Times New Roman" w:hAnsi="Times New Roman" w:eastAsia="仿宋_GB2312" w:cs="Times New Roman"/>
          <w:b/>
          <w:bCs/>
          <w:color w:val="auto"/>
          <w:sz w:val="32"/>
          <w:szCs w:val="32"/>
          <w:highlight w:val="none"/>
          <w:lang w:val="en-US" w:eastAsia="zh-CN"/>
        </w:rPr>
        <w:t>同时也要看到</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我市</w:t>
      </w:r>
      <w:r>
        <w:rPr>
          <w:rFonts w:hint="eastAsia" w:ascii="Times New Roman" w:hAnsi="Times New Roman" w:eastAsia="仿宋_GB2312" w:cs="Times New Roman"/>
          <w:color w:val="auto"/>
          <w:sz w:val="32"/>
          <w:szCs w:val="32"/>
          <w:highlight w:val="none"/>
        </w:rPr>
        <w:t>城镇化和农业农村现代化相对滞后</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实现城乡深度融合发展依然存在城乡空间规划体系融合不充分、要素流动机制不健全</w:t>
      </w:r>
      <w:r>
        <w:rPr>
          <w:rFonts w:hint="eastAsia" w:ascii="Times New Roman" w:hAnsi="Times New Roman" w:eastAsia="仿宋_GB2312" w:cs="Times New Roman"/>
          <w:color w:val="auto"/>
          <w:sz w:val="32"/>
          <w:szCs w:val="32"/>
          <w:highlight w:val="none"/>
          <w:lang w:eastAsia="zh-CN"/>
        </w:rPr>
        <w:t>、城乡产业协同发展水平</w:t>
      </w:r>
      <w:r>
        <w:rPr>
          <w:rFonts w:hint="eastAsia" w:ascii="Times New Roman" w:hAnsi="Times New Roman" w:eastAsia="仿宋_GB2312" w:cs="Times New Roman"/>
          <w:color w:val="auto"/>
          <w:sz w:val="32"/>
          <w:szCs w:val="32"/>
          <w:highlight w:val="none"/>
          <w:lang w:val="en-US" w:eastAsia="zh-CN"/>
        </w:rPr>
        <w:t>不高、城乡公共服务和基础设施一体均等还有差距</w:t>
      </w:r>
      <w:r>
        <w:rPr>
          <w:rFonts w:hint="eastAsia" w:ascii="Times New Roman" w:hAnsi="Times New Roman" w:eastAsia="仿宋_GB2312" w:cs="Times New Roman"/>
          <w:color w:val="auto"/>
          <w:sz w:val="32"/>
          <w:szCs w:val="32"/>
          <w:highlight w:val="none"/>
          <w:lang w:eastAsia="zh-CN"/>
        </w:rPr>
        <w:t>等现实问题和挑战。</w:t>
      </w:r>
    </w:p>
    <w:p w14:paraId="30C2B8C7">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综合研判，“十五五”时期是许昌市破除城乡二元结构、实现深度融合跨越的战略攻坚期与黄金机遇期，机遇与挑战并存、机遇大于挑战。全市必须牢牢把握国家、省大力推动城乡融合的战略大势，坚持问题导向与目标导向相统一，全力破解体制机制障碍，加速推动城乡从“物理拼接”向“化学融合”转变，努力在全省乃至全国率先蹚出一条具有许昌特色的城乡融合、共同繁荣新路径，为全市系统提质、整体跃升，加快推进社会主义现代化建设注入不竭动力。</w:t>
      </w:r>
    </w:p>
    <w:p w14:paraId="3F7C5DCE">
      <w:pPr>
        <w:pStyle w:val="4"/>
        <w:keepNext w:val="0"/>
        <w:overflowPunct w:val="0"/>
        <w:spacing w:before="300" w:after="300" w:line="600" w:lineRule="exact"/>
        <w:ind w:firstLine="0" w:firstLineChars="0"/>
        <w:jc w:val="center"/>
        <w:rPr>
          <w:rFonts w:ascii="Times New Roman" w:hAnsi="Times New Roman" w:eastAsia="方正小标宋简体" w:cs="Times New Roman"/>
          <w:b w:val="0"/>
          <w:bCs w:val="0"/>
          <w:color w:val="auto"/>
          <w:sz w:val="32"/>
          <w:szCs w:val="32"/>
          <w:highlight w:val="none"/>
        </w:rPr>
      </w:pPr>
      <w:bookmarkStart w:id="5" w:name="_Toc215133875"/>
      <w:r>
        <w:rPr>
          <w:rFonts w:ascii="Times New Roman" w:hAnsi="Times New Roman" w:eastAsia="方正小标宋简体" w:cs="Times New Roman"/>
          <w:b w:val="0"/>
          <w:bCs w:val="0"/>
          <w:color w:val="auto"/>
          <w:sz w:val="32"/>
          <w:szCs w:val="32"/>
          <w:highlight w:val="none"/>
        </w:rPr>
        <w:t>第二章  总体要求</w:t>
      </w:r>
      <w:bookmarkEnd w:id="5"/>
    </w:p>
    <w:p w14:paraId="0302FCD5">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“十五五”时期，面对新形势、新使命，必须着眼于支撑城乡融合发展的全局性、根本性、长远性重大问题，培育发展动力，深挖发展潜力，厚植发展优势，实施重大关键性举措，构建城乡融合发展新格局。</w:t>
      </w:r>
    </w:p>
    <w:p w14:paraId="2407E51B">
      <w:pPr>
        <w:keepLines/>
        <w:overflowPunct w:val="0"/>
        <w:spacing w:before="120" w:after="120" w:line="600" w:lineRule="exact"/>
        <w:jc w:val="center"/>
        <w:outlineLvl w:val="1"/>
        <w:rPr>
          <w:rFonts w:hint="default" w:ascii="Times New Roman" w:hAnsi="Times New Roman" w:eastAsia="宋体" w:cs="Times New Roman"/>
          <w:b/>
          <w:bCs/>
          <w:color w:val="auto"/>
          <w:sz w:val="32"/>
          <w:szCs w:val="32"/>
          <w:highlight w:val="none"/>
          <w:lang w:val="en-US" w:eastAsia="zh-CN"/>
        </w:rPr>
      </w:pPr>
      <w:bookmarkStart w:id="6" w:name="_Toc215133876"/>
      <w:r>
        <w:rPr>
          <w:rFonts w:ascii="Times New Roman" w:hAnsi="Times New Roman" w:eastAsia="宋体" w:cs="Times New Roman"/>
          <w:b/>
          <w:bCs/>
          <w:color w:val="auto"/>
          <w:sz w:val="32"/>
          <w:szCs w:val="32"/>
          <w:highlight w:val="none"/>
        </w:rPr>
        <w:t xml:space="preserve">第一节  </w:t>
      </w:r>
      <w:bookmarkEnd w:id="6"/>
      <w:r>
        <w:rPr>
          <w:rFonts w:hint="eastAsia" w:ascii="Times New Roman" w:hAnsi="Times New Roman" w:eastAsia="宋体" w:cs="Times New Roman"/>
          <w:b/>
          <w:bCs/>
          <w:color w:val="auto"/>
          <w:sz w:val="32"/>
          <w:szCs w:val="32"/>
          <w:highlight w:val="none"/>
          <w:lang w:val="en-US" w:eastAsia="zh-CN"/>
        </w:rPr>
        <w:t>总体思路</w:t>
      </w:r>
    </w:p>
    <w:p w14:paraId="0F372085">
      <w:pPr>
        <w:overflowPunct w:val="0"/>
        <w:spacing w:line="600" w:lineRule="exact"/>
        <w:ind w:firstLine="640" w:firstLineChars="200"/>
        <w:rPr>
          <w:rFonts w:ascii="Times New Roman" w:hAnsi="Times New Roman" w:eastAsia="黑体" w:cs="Times New Roman"/>
          <w:color w:val="auto"/>
          <w:sz w:val="32"/>
          <w:szCs w:val="32"/>
          <w:highlight w:val="none"/>
        </w:rPr>
      </w:pPr>
      <w:r>
        <w:rPr>
          <w:rFonts w:ascii="Times New Roman" w:hAnsi="Times New Roman" w:eastAsia="仿宋_GB2312" w:cs="Times New Roman"/>
          <w:color w:val="auto"/>
          <w:sz w:val="32"/>
          <w:szCs w:val="32"/>
          <w:highlight w:val="none"/>
        </w:rPr>
        <w:t>“十五五”时期我市城乡融合发展的</w:t>
      </w:r>
      <w:r>
        <w:rPr>
          <w:rFonts w:hint="eastAsia" w:ascii="Times New Roman" w:hAnsi="Times New Roman" w:eastAsia="仿宋_GB2312" w:cs="Times New Roman"/>
          <w:color w:val="auto"/>
          <w:sz w:val="32"/>
          <w:szCs w:val="32"/>
          <w:highlight w:val="none"/>
          <w:lang w:val="en-US" w:eastAsia="zh-CN"/>
        </w:rPr>
        <w:t>总体思路</w:t>
      </w:r>
      <w:r>
        <w:rPr>
          <w:rFonts w:ascii="Times New Roman" w:hAnsi="Times New Roman" w:eastAsia="仿宋_GB2312" w:cs="Times New Roman"/>
          <w:color w:val="auto"/>
          <w:sz w:val="32"/>
          <w:szCs w:val="32"/>
          <w:highlight w:val="none"/>
        </w:rPr>
        <w:t>是：</w:t>
      </w:r>
      <w:r>
        <w:rPr>
          <w:rFonts w:ascii="Times New Roman" w:hAnsi="Times New Roman" w:eastAsia="黑体" w:cs="Times New Roman"/>
          <w:color w:val="auto"/>
          <w:sz w:val="32"/>
          <w:szCs w:val="32"/>
          <w:highlight w:val="none"/>
        </w:rPr>
        <w:t>全面贯彻习近平新时代中国特色社会主义思想，深入贯彻党的二十大和二十届历次全会精神，围绕</w:t>
      </w:r>
      <w:r>
        <w:rPr>
          <w:rFonts w:hint="eastAsia" w:ascii="Times New Roman" w:hAnsi="Times New Roman" w:eastAsia="黑体" w:cs="Times New Roman"/>
          <w:color w:val="auto"/>
          <w:sz w:val="32"/>
          <w:szCs w:val="32"/>
          <w:highlight w:val="none"/>
          <w:lang w:eastAsia="zh-CN"/>
        </w:rPr>
        <w:t>省委</w:t>
      </w:r>
      <w:r>
        <w:rPr>
          <w:rFonts w:ascii="Times New Roman" w:hAnsi="Times New Roman" w:eastAsia="黑体" w:cs="Times New Roman"/>
          <w:color w:val="auto"/>
          <w:sz w:val="32"/>
          <w:szCs w:val="32"/>
          <w:highlight w:val="none"/>
        </w:rPr>
        <w:t>“1+2+4+N”目标任务体系，聚焦</w:t>
      </w:r>
      <w:r>
        <w:rPr>
          <w:rFonts w:hint="eastAsia" w:ascii="Times New Roman" w:hAnsi="Times New Roman" w:eastAsia="黑体" w:cs="Times New Roman"/>
          <w:color w:val="auto"/>
          <w:sz w:val="32"/>
          <w:szCs w:val="32"/>
          <w:highlight w:val="none"/>
          <w:lang w:eastAsia="zh-CN"/>
        </w:rPr>
        <w:t>在落实“两高四着力”中勇挑大梁、走在前列总体目标</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eastAsia="zh-CN"/>
        </w:rPr>
        <w:t>以“两融五城四跃升”为实现路径，</w:t>
      </w:r>
      <w:r>
        <w:rPr>
          <w:rFonts w:ascii="Times New Roman" w:hAnsi="Times New Roman" w:eastAsia="黑体" w:cs="Times New Roman"/>
          <w:color w:val="auto"/>
          <w:sz w:val="32"/>
          <w:szCs w:val="32"/>
          <w:highlight w:val="none"/>
        </w:rPr>
        <w:t>坚持以</w:t>
      </w:r>
      <w:r>
        <w:rPr>
          <w:rFonts w:hint="eastAsia" w:ascii="Times New Roman" w:hAnsi="Times New Roman" w:eastAsia="黑体" w:cs="Times New Roman"/>
          <w:color w:val="auto"/>
          <w:sz w:val="32"/>
          <w:szCs w:val="32"/>
          <w:highlight w:val="none"/>
          <w:lang w:eastAsia="zh-CN"/>
        </w:rPr>
        <w:t>提升城乡发展水平和居民收入</w:t>
      </w:r>
      <w:r>
        <w:rPr>
          <w:rFonts w:ascii="Times New Roman" w:hAnsi="Times New Roman" w:eastAsia="黑体" w:cs="Times New Roman"/>
          <w:color w:val="auto"/>
          <w:sz w:val="32"/>
          <w:szCs w:val="32"/>
          <w:highlight w:val="none"/>
        </w:rPr>
        <w:t>为目标，以协调推进乡村</w:t>
      </w:r>
      <w:r>
        <w:rPr>
          <w:rFonts w:hint="eastAsia" w:ascii="Times New Roman" w:hAnsi="Times New Roman" w:eastAsia="黑体" w:cs="Times New Roman"/>
          <w:color w:val="auto"/>
          <w:sz w:val="32"/>
          <w:szCs w:val="32"/>
          <w:highlight w:val="none"/>
          <w:lang w:eastAsia="zh-CN"/>
        </w:rPr>
        <w:t>全面</w:t>
      </w:r>
      <w:r>
        <w:rPr>
          <w:rFonts w:ascii="Times New Roman" w:hAnsi="Times New Roman" w:eastAsia="黑体" w:cs="Times New Roman"/>
          <w:color w:val="auto"/>
          <w:sz w:val="32"/>
          <w:szCs w:val="32"/>
          <w:highlight w:val="none"/>
        </w:rPr>
        <w:t>振兴和新型城镇化为抓手，以促进城乡生产要素双向自由流动和公共资源合理配置为关键，</w:t>
      </w:r>
      <w:r>
        <w:rPr>
          <w:rFonts w:hint="eastAsia" w:ascii="Times New Roman" w:hAnsi="Times New Roman" w:eastAsia="黑体" w:cs="Times New Roman"/>
          <w:color w:val="auto"/>
          <w:sz w:val="32"/>
          <w:szCs w:val="32"/>
          <w:highlight w:val="none"/>
          <w:lang w:val="en-US" w:eastAsia="zh-CN"/>
        </w:rPr>
        <w:t>巩固</w:t>
      </w:r>
      <w:r>
        <w:rPr>
          <w:rFonts w:hint="eastAsia" w:ascii="Times New Roman" w:hAnsi="Times New Roman" w:eastAsia="黑体" w:cs="Times New Roman"/>
          <w:color w:val="auto"/>
          <w:sz w:val="32"/>
          <w:szCs w:val="32"/>
          <w:highlight w:val="none"/>
        </w:rPr>
        <w:t>拓展国家城乡融合发展试验区建设成果，健全城乡要素平等交换、双向流动机制，提高城乡基础设施一体化、公共服务均等化水平，</w:t>
      </w:r>
      <w:r>
        <w:rPr>
          <w:rFonts w:hint="eastAsia" w:ascii="Times New Roman" w:hAnsi="Times New Roman" w:eastAsia="黑体" w:cs="Times New Roman"/>
          <w:color w:val="auto"/>
          <w:sz w:val="32"/>
          <w:szCs w:val="32"/>
          <w:highlight w:val="none"/>
          <w:lang w:eastAsia="zh-CN"/>
        </w:rPr>
        <w:t>不断</w:t>
      </w:r>
      <w:r>
        <w:rPr>
          <w:rFonts w:ascii="Times New Roman" w:hAnsi="Times New Roman" w:eastAsia="黑体" w:cs="Times New Roman"/>
          <w:color w:val="auto"/>
          <w:sz w:val="32"/>
          <w:szCs w:val="32"/>
          <w:highlight w:val="none"/>
        </w:rPr>
        <w:t>缩小城乡发展差距和居民生活水平差距</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rPr>
        <w:t>着力塑造配置效率更高、收益分配更公、协同成本更低的城乡</w:t>
      </w:r>
      <w:r>
        <w:rPr>
          <w:rFonts w:hint="eastAsia" w:ascii="Times New Roman" w:hAnsi="Times New Roman" w:eastAsia="黑体" w:cs="Times New Roman"/>
          <w:color w:val="auto"/>
          <w:sz w:val="32"/>
          <w:szCs w:val="32"/>
          <w:highlight w:val="none"/>
          <w:lang w:eastAsia="zh-CN"/>
        </w:rPr>
        <w:t>融合</w:t>
      </w:r>
      <w:r>
        <w:rPr>
          <w:rFonts w:hint="eastAsia" w:ascii="Times New Roman" w:hAnsi="Times New Roman" w:eastAsia="黑体" w:cs="Times New Roman"/>
          <w:color w:val="auto"/>
          <w:sz w:val="32"/>
          <w:szCs w:val="32"/>
          <w:highlight w:val="none"/>
        </w:rPr>
        <w:t>发展新态势，加快形成工农互促、城乡互补、协调发展、共同繁荣的新型工农城乡关系，奋力谱写中原大地推进中国式现代化许昌新篇章。</w:t>
      </w:r>
    </w:p>
    <w:p w14:paraId="250D1E67">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7" w:name="_Toc215133877"/>
      <w:r>
        <w:rPr>
          <w:rFonts w:ascii="Times New Roman" w:hAnsi="Times New Roman" w:eastAsia="宋体" w:cs="Times New Roman"/>
          <w:b/>
          <w:bCs/>
          <w:color w:val="auto"/>
          <w:sz w:val="32"/>
          <w:szCs w:val="32"/>
          <w:highlight w:val="none"/>
        </w:rPr>
        <w:t>第二节  发展原则</w:t>
      </w:r>
      <w:bookmarkEnd w:id="7"/>
    </w:p>
    <w:p w14:paraId="241332B0">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贯彻落实以上指导思想，必须遵循以下原则：</w:t>
      </w:r>
    </w:p>
    <w:p w14:paraId="0FC7B1B8">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——坚持党的全面领导。</w:t>
      </w:r>
      <w:r>
        <w:rPr>
          <w:rFonts w:ascii="Times New Roman" w:hAnsi="Times New Roman" w:eastAsia="仿宋_GB2312" w:cs="Times New Roman"/>
          <w:color w:val="auto"/>
          <w:sz w:val="32"/>
          <w:szCs w:val="32"/>
          <w:highlight w:val="none"/>
        </w:rPr>
        <w:t>坚决维护党中央权威和集中统一领导，把党的领导贯穿经济社会发展各方面全过程，充分发挥党总揽全局、协调各方的领导核心作用，实施党委研究重大发展战略、制定重大政策等工作机制，提升各级党组织</w:t>
      </w:r>
      <w:r>
        <w:rPr>
          <w:rFonts w:hint="eastAsia" w:ascii="Times New Roman" w:hAnsi="Times New Roman" w:eastAsia="仿宋_GB2312" w:cs="Times New Roman"/>
          <w:color w:val="auto"/>
          <w:sz w:val="32"/>
          <w:szCs w:val="32"/>
          <w:highlight w:val="none"/>
        </w:rPr>
        <w:t>把方向、谋大局、定政策、促改革</w:t>
      </w:r>
      <w:r>
        <w:rPr>
          <w:rFonts w:ascii="Times New Roman" w:hAnsi="Times New Roman" w:eastAsia="仿宋_GB2312" w:cs="Times New Roman"/>
          <w:color w:val="auto"/>
          <w:sz w:val="32"/>
          <w:szCs w:val="32"/>
          <w:highlight w:val="none"/>
        </w:rPr>
        <w:t>能力。</w:t>
      </w:r>
    </w:p>
    <w:p w14:paraId="7A378FC5">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——坚持遵循规律、把握方向。</w:t>
      </w:r>
      <w:r>
        <w:rPr>
          <w:rFonts w:ascii="Times New Roman" w:hAnsi="Times New Roman" w:eastAsia="仿宋_GB2312" w:cs="Times New Roman"/>
          <w:color w:val="auto"/>
          <w:sz w:val="32"/>
          <w:szCs w:val="32"/>
          <w:highlight w:val="none"/>
        </w:rPr>
        <w:t>以新发展理念引领城乡融合发展，切实转变发展方式，充分发挥市场在资源配置中的决定性作用，更好发挥政府作用，强化统筹谋划和顶层设计，稳妥把握改革时序、节奏和步骤，形成符合实际、突出特色的改革路径和城乡融合发展模式。</w:t>
      </w:r>
    </w:p>
    <w:p w14:paraId="251D89CF">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——坚持农民主体、共建共享。</w:t>
      </w:r>
      <w:r>
        <w:rPr>
          <w:rFonts w:ascii="Times New Roman" w:hAnsi="Times New Roman" w:eastAsia="仿宋_GB2312" w:cs="Times New Roman"/>
          <w:color w:val="auto"/>
          <w:sz w:val="32"/>
          <w:szCs w:val="32"/>
          <w:highlight w:val="none"/>
        </w:rPr>
        <w:t>坚持以人民为中心的发展思想，充分尊重农民意愿，切实保护农民权益，促进社会公平正义，围绕全生命周期加强基础性、普惠性、兜底线民生保障建设，调动农民积极性、主动性、创造性，让现代化建设成果更多更公平惠及全体人民。</w:t>
      </w:r>
    </w:p>
    <w:p w14:paraId="4AC8793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——坚持统筹协调、重点突破。</w:t>
      </w:r>
      <w:r>
        <w:rPr>
          <w:rFonts w:ascii="Times New Roman" w:hAnsi="Times New Roman" w:eastAsia="仿宋_GB2312" w:cs="Times New Roman"/>
          <w:color w:val="auto"/>
          <w:sz w:val="32"/>
          <w:szCs w:val="32"/>
          <w:highlight w:val="none"/>
        </w:rPr>
        <w:t>兼顾改革基础和发展亟需，因地制宜推进深层次改革，推动各项改革相互配套，探索针对性原创性差异化的改革路径和方式，增强改革的系统性、整体性、协同性。</w:t>
      </w:r>
    </w:p>
    <w:p w14:paraId="6F29348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——坚持统筹发展和安全。</w:t>
      </w:r>
      <w:r>
        <w:rPr>
          <w:rFonts w:ascii="Times New Roman" w:hAnsi="Times New Roman" w:eastAsia="仿宋_GB2312" w:cs="Times New Roman"/>
          <w:color w:val="auto"/>
          <w:sz w:val="32"/>
          <w:szCs w:val="32"/>
          <w:highlight w:val="none"/>
        </w:rPr>
        <w:t>正确处理改革发展稳定关系，守住土地</w:t>
      </w:r>
      <w:r>
        <w:rPr>
          <w:rFonts w:hint="eastAsia" w:ascii="Times New Roman" w:hAnsi="Times New Roman" w:eastAsia="仿宋_GB2312" w:cs="Times New Roman"/>
          <w:color w:val="auto"/>
          <w:sz w:val="32"/>
          <w:szCs w:val="32"/>
          <w:highlight w:val="none"/>
        </w:rPr>
        <w:t>公</w:t>
      </w:r>
      <w:r>
        <w:rPr>
          <w:rFonts w:ascii="Times New Roman" w:hAnsi="Times New Roman" w:eastAsia="仿宋_GB2312" w:cs="Times New Roman"/>
          <w:color w:val="auto"/>
          <w:sz w:val="32"/>
          <w:szCs w:val="32"/>
          <w:highlight w:val="none"/>
        </w:rPr>
        <w:t>有制性质不改变、耕地红线不突破、农民利益不受损底线，守住生态保护红线，守住乡村文化根脉，有效防范化解各类风险，以新安全格局保障新发展格局。</w:t>
      </w:r>
    </w:p>
    <w:p w14:paraId="4C511593">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8" w:name="_Toc215133878"/>
      <w:r>
        <w:rPr>
          <w:rFonts w:ascii="Times New Roman" w:hAnsi="Times New Roman" w:eastAsia="宋体" w:cs="Times New Roman"/>
          <w:b/>
          <w:bCs/>
          <w:color w:val="auto"/>
          <w:sz w:val="32"/>
          <w:szCs w:val="32"/>
          <w:highlight w:val="none"/>
        </w:rPr>
        <w:t>第三节  发展目标</w:t>
      </w:r>
      <w:bookmarkEnd w:id="8"/>
    </w:p>
    <w:p w14:paraId="1F1FAA4F">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“十五五”时期，我市将围绕</w:t>
      </w:r>
      <w:r>
        <w:rPr>
          <w:rFonts w:hint="eastAsia" w:ascii="Times New Roman" w:hAnsi="Times New Roman" w:eastAsia="仿宋_GB2312" w:cs="Times New Roman"/>
          <w:color w:val="auto"/>
          <w:sz w:val="32"/>
          <w:szCs w:val="32"/>
          <w:highlight w:val="none"/>
          <w:lang w:eastAsia="zh-CN"/>
        </w:rPr>
        <w:t>省委</w:t>
      </w:r>
      <w:r>
        <w:rPr>
          <w:rFonts w:ascii="Times New Roman" w:hAnsi="Times New Roman" w:eastAsia="仿宋_GB2312" w:cs="Times New Roman"/>
          <w:color w:val="auto"/>
          <w:sz w:val="32"/>
          <w:szCs w:val="32"/>
          <w:highlight w:val="none"/>
        </w:rPr>
        <w:t>“1+2+4+N”目标任务体系，锚定“两融五城四跃升”</w:t>
      </w:r>
      <w:r>
        <w:rPr>
          <w:rFonts w:hint="eastAsia" w:ascii="Times New Roman" w:hAnsi="Times New Roman" w:eastAsia="仿宋_GB2312" w:cs="Times New Roman"/>
          <w:color w:val="auto"/>
          <w:sz w:val="32"/>
          <w:szCs w:val="32"/>
          <w:highlight w:val="none"/>
          <w:lang w:eastAsia="zh-CN"/>
        </w:rPr>
        <w:t>实现路径</w:t>
      </w:r>
      <w:r>
        <w:rPr>
          <w:rFonts w:ascii="Times New Roman" w:hAnsi="Times New Roman" w:eastAsia="仿宋_GB2312" w:cs="Times New Roman"/>
          <w:color w:val="auto"/>
          <w:sz w:val="32"/>
          <w:szCs w:val="32"/>
          <w:highlight w:val="none"/>
        </w:rPr>
        <w:t>，坚持目标导向和问题导向有机统一，朝着“</w:t>
      </w:r>
      <w:r>
        <w:rPr>
          <w:rFonts w:ascii="Times New Roman" w:hAnsi="Times New Roman" w:eastAsia="仿宋_GB2312" w:cs="Times New Roman"/>
          <w:b/>
          <w:color w:val="auto"/>
          <w:sz w:val="32"/>
          <w:szCs w:val="32"/>
          <w:highlight w:val="none"/>
        </w:rPr>
        <w:t>一个领先、三个突破</w:t>
      </w:r>
      <w:r>
        <w:rPr>
          <w:rFonts w:ascii="Times New Roman" w:hAnsi="Times New Roman" w:eastAsia="仿宋_GB2312" w:cs="Times New Roman"/>
          <w:color w:val="auto"/>
          <w:sz w:val="32"/>
          <w:szCs w:val="32"/>
          <w:highlight w:val="none"/>
        </w:rPr>
        <w:t>”的奋斗目标迈进。</w:t>
      </w:r>
    </w:p>
    <w:p w14:paraId="25FF70AC">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——城乡融合发展水平全省领先。</w:t>
      </w:r>
      <w:r>
        <w:rPr>
          <w:rFonts w:ascii="Times New Roman" w:hAnsi="Times New Roman" w:eastAsia="仿宋_GB2312" w:cs="Times New Roman"/>
          <w:color w:val="auto"/>
          <w:sz w:val="32"/>
          <w:szCs w:val="32"/>
          <w:highlight w:val="none"/>
        </w:rPr>
        <w:t>适应新时代城乡融合发展新趋势、新要求，突出全域改革试验，城乡融合发展体制机制和政策体系“四梁八柱”巩固完善，试验区建设成果拓展深化，城乡融合发展先行先试经验在全市推广实施。到2030年，城乡居民</w:t>
      </w:r>
      <w:r>
        <w:rPr>
          <w:rFonts w:hint="eastAsia" w:ascii="Times New Roman" w:hAnsi="Times New Roman" w:eastAsia="仿宋_GB2312" w:cs="Times New Roman"/>
          <w:color w:val="auto"/>
          <w:sz w:val="32"/>
          <w:szCs w:val="32"/>
          <w:highlight w:val="none"/>
          <w:lang w:eastAsia="zh-CN"/>
        </w:rPr>
        <w:t>人均可支配</w:t>
      </w:r>
      <w:r>
        <w:rPr>
          <w:rFonts w:ascii="Times New Roman" w:hAnsi="Times New Roman" w:eastAsia="仿宋_GB2312" w:cs="Times New Roman"/>
          <w:color w:val="auto"/>
          <w:sz w:val="32"/>
          <w:szCs w:val="32"/>
          <w:highlight w:val="none"/>
        </w:rPr>
        <w:t>收入</w:t>
      </w:r>
      <w:r>
        <w:rPr>
          <w:rFonts w:hint="eastAsia" w:ascii="Times New Roman" w:hAnsi="Times New Roman" w:eastAsia="仿宋_GB2312" w:cs="Times New Roman"/>
          <w:color w:val="auto"/>
          <w:sz w:val="32"/>
          <w:szCs w:val="32"/>
          <w:highlight w:val="none"/>
          <w:lang w:eastAsia="zh-CN"/>
        </w:rPr>
        <w:t>比</w:t>
      </w:r>
      <w:r>
        <w:rPr>
          <w:rFonts w:ascii="Times New Roman" w:hAnsi="Times New Roman" w:eastAsia="仿宋_GB2312" w:cs="Times New Roman"/>
          <w:color w:val="auto"/>
          <w:sz w:val="32"/>
          <w:szCs w:val="32"/>
          <w:highlight w:val="none"/>
        </w:rPr>
        <w:t>在全省领先，改革红利和试验效应在更大范围内充分释放。</w:t>
      </w:r>
    </w:p>
    <w:p w14:paraId="6CC745A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——全面深化农村改革实现新突破。</w:t>
      </w:r>
      <w:r>
        <w:rPr>
          <w:rFonts w:ascii="Times New Roman" w:hAnsi="Times New Roman" w:eastAsia="仿宋_GB2312" w:cs="Times New Roman"/>
          <w:color w:val="auto"/>
          <w:sz w:val="32"/>
          <w:szCs w:val="32"/>
        </w:rPr>
        <w:t>坚持以全面深化农村改革推进农业农村现代化，积极开展农村土地二轮延包</w:t>
      </w:r>
      <w:r>
        <w:rPr>
          <w:rFonts w:hint="eastAsia" w:ascii="Times New Roman" w:hAnsi="Times New Roman" w:eastAsia="仿宋_GB2312" w:cs="Times New Roman"/>
          <w:color w:val="auto"/>
          <w:sz w:val="32"/>
          <w:szCs w:val="32"/>
          <w:lang w:val="en-US" w:eastAsia="zh-CN"/>
        </w:rPr>
        <w:t>工作</w:t>
      </w:r>
      <w:r>
        <w:rPr>
          <w:rFonts w:ascii="Times New Roman" w:hAnsi="Times New Roman" w:eastAsia="仿宋_GB2312" w:cs="Times New Roman"/>
          <w:color w:val="auto"/>
          <w:sz w:val="32"/>
          <w:szCs w:val="32"/>
        </w:rPr>
        <w:t>，推进全市全域开展农村集体经营性建设用地入市改革，推进以乡镇为基本实施单元的全域土地综合整治，推进农村产权流转交易规范化建设。到2030年，在农村集体经营性建设用地入市、收益分配、风险防范、农村资产价值评估、乡村产权保护交易等领域形成一批更具特色和可复制推广的改革成果，城乡要素平等交换、双向流动的制度性通道更加便捷畅通，叫响具有示范性的农村综合改革特色品牌。</w:t>
      </w:r>
    </w:p>
    <w:p w14:paraId="648D093D">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——城乡产业协同发展实现新突破。</w:t>
      </w:r>
      <w:r>
        <w:rPr>
          <w:rFonts w:ascii="Times New Roman" w:hAnsi="Times New Roman" w:eastAsia="仿宋_GB2312" w:cs="Times New Roman"/>
          <w:color w:val="auto"/>
          <w:sz w:val="32"/>
          <w:szCs w:val="32"/>
          <w:highlight w:val="none"/>
        </w:rPr>
        <w:t>持续深入学习“千万工程”经验，以增加农民收入为中心任务，以一二三产业融合发展为路径，</w:t>
      </w:r>
      <w:r>
        <w:rPr>
          <w:rFonts w:hint="eastAsia" w:ascii="Times New Roman" w:hAnsi="Times New Roman" w:eastAsia="仿宋_GB2312" w:cs="Times New Roman"/>
          <w:color w:val="auto"/>
          <w:sz w:val="32"/>
          <w:szCs w:val="32"/>
          <w:highlight w:val="none"/>
        </w:rPr>
        <w:t>统筹发展科技农业、绿色农业、质量农业、品牌农业</w:t>
      </w:r>
      <w:r>
        <w:rPr>
          <w:rFonts w:hint="eastAsia" w:ascii="Times New Roman" w:hAnsi="Times New Roman" w:eastAsia="仿宋_GB2312" w:cs="Times New Roman"/>
          <w:color w:val="auto"/>
          <w:sz w:val="32"/>
          <w:szCs w:val="32"/>
          <w:highlight w:val="none"/>
          <w:lang w:eastAsia="zh-CN"/>
        </w:rPr>
        <w:t>，在科技成果入乡转化、乡村特色产业链培育、城乡产业平台建设和打造区域农产品优质品牌等方面实现突破，</w:t>
      </w:r>
      <w:r>
        <w:rPr>
          <w:rFonts w:hint="eastAsia" w:ascii="仿宋_GB2312" w:hAnsi="仿宋_GB2312" w:eastAsia="仿宋_GB2312" w:cs="仿宋_GB2312"/>
          <w:color w:val="auto"/>
          <w:sz w:val="32"/>
          <w:szCs w:val="32"/>
          <w:lang w:eastAsia="zh-CN"/>
        </w:rPr>
        <w:t>提升乡村产业市场竞争力和可持续发展能力</w:t>
      </w:r>
      <w:r>
        <w:rPr>
          <w:rFonts w:ascii="Times New Roman" w:hAnsi="Times New Roman" w:eastAsia="仿宋_GB2312" w:cs="Times New Roman"/>
          <w:color w:val="auto"/>
          <w:sz w:val="32"/>
          <w:szCs w:val="32"/>
          <w:highlight w:val="none"/>
        </w:rPr>
        <w:t>。到2030年，建成一批更高能级的城乡产业协同发展平台，农业现代化水平迈上新台阶，联农带农富农政策效能明显释放，形成具有影响力的城乡协同产业集群。</w:t>
      </w:r>
    </w:p>
    <w:p w14:paraId="4AEAE408">
      <w:pPr>
        <w:overflowPunct w:val="0"/>
        <w:spacing w:line="600" w:lineRule="exact"/>
        <w:ind w:firstLine="643" w:firstLineChars="200"/>
        <w:rPr>
          <w:rFonts w:ascii="Times New Roman" w:hAnsi="Times New Roman" w:eastAsia="仿宋_GB2312" w:cs="Times New Roman"/>
          <w:color w:val="auto"/>
          <w:sz w:val="32"/>
          <w:szCs w:val="32"/>
          <w:highlight w:val="none"/>
        </w:rPr>
        <w:sectPr>
          <w:footerReference r:id="rId6" w:type="default"/>
          <w:pgSz w:w="11906" w:h="16838"/>
          <w:pgMar w:top="1701" w:right="1701" w:bottom="1701" w:left="1701" w:header="851" w:footer="992" w:gutter="0"/>
          <w:pgNumType w:start="1"/>
          <w:cols w:space="425" w:num="1"/>
          <w:docGrid w:type="lines" w:linePitch="312" w:charSpace="0"/>
        </w:sectPr>
      </w:pPr>
      <w:r>
        <w:rPr>
          <w:rFonts w:ascii="Times New Roman" w:hAnsi="Times New Roman" w:eastAsia="仿宋_GB2312" w:cs="Times New Roman"/>
          <w:b/>
          <w:color w:val="auto"/>
          <w:sz w:val="32"/>
          <w:szCs w:val="32"/>
          <w:highlight w:val="none"/>
        </w:rPr>
        <w:t>——城乡治理深度融合实现新突破。</w:t>
      </w:r>
      <w:r>
        <w:rPr>
          <w:rFonts w:ascii="Times New Roman" w:hAnsi="Times New Roman" w:eastAsia="仿宋_GB2312" w:cs="Times New Roman"/>
          <w:color w:val="auto"/>
          <w:sz w:val="32"/>
          <w:szCs w:val="32"/>
          <w:highlight w:val="none"/>
        </w:rPr>
        <w:t>顺应人口变化趋势，持续推动乡村规划建设科学化、城乡基础设施一体化、基本公共服务均等化、生态环境治理常态化、乡村治理体系和治理能力现代化，城乡规划、建设、治理融合水平全面提升。到2030年，城乡基本公共服务均等化和基础设施一体化达到更高水平，农村基本具备现代生活条件，城乡居民生活水平差距显著缩小，树立具有美誉度的城乡治理深度融合典范。</w:t>
      </w:r>
    </w:p>
    <w:p w14:paraId="0E5F3A43">
      <w:pPr>
        <w:pStyle w:val="4"/>
        <w:keepNext w:val="0"/>
        <w:overflowPunct w:val="0"/>
        <w:spacing w:before="300" w:after="300" w:line="600" w:lineRule="exact"/>
        <w:ind w:firstLine="0" w:firstLineChars="0"/>
        <w:jc w:val="center"/>
        <w:rPr>
          <w:rFonts w:ascii="Times New Roman" w:hAnsi="Times New Roman" w:eastAsia="方正小标宋简体" w:cs="Times New Roman"/>
          <w:b w:val="0"/>
          <w:bCs w:val="0"/>
          <w:color w:val="auto"/>
          <w:sz w:val="32"/>
          <w:szCs w:val="32"/>
          <w:highlight w:val="none"/>
        </w:rPr>
      </w:pPr>
      <w:bookmarkStart w:id="9" w:name="_Toc215133879"/>
      <w:r>
        <w:rPr>
          <w:rFonts w:ascii="Times New Roman" w:hAnsi="Times New Roman" w:eastAsia="方正小标宋简体" w:cs="Times New Roman"/>
          <w:b w:val="0"/>
          <w:bCs w:val="0"/>
          <w:color w:val="auto"/>
          <w:sz w:val="32"/>
          <w:szCs w:val="32"/>
          <w:highlight w:val="none"/>
        </w:rPr>
        <w:t>第三章  统筹规划建设布局，促进城乡空间衔接互补</w:t>
      </w:r>
      <w:bookmarkEnd w:id="9"/>
    </w:p>
    <w:p w14:paraId="35406397">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w:t>
      </w:r>
      <w:r>
        <w:rPr>
          <w:rFonts w:ascii="Times New Roman" w:hAnsi="Times New Roman" w:eastAsia="仿宋_GB2312" w:cs="Times New Roman"/>
          <w:color w:val="auto"/>
          <w:sz w:val="32"/>
          <w:szCs w:val="32"/>
        </w:rPr>
        <w:t>全域统筹、功能整合、城乡一体</w:t>
      </w:r>
      <w:r>
        <w:rPr>
          <w:rFonts w:ascii="Times New Roman" w:hAnsi="Times New Roman" w:eastAsia="仿宋_GB2312" w:cs="Times New Roman"/>
          <w:color w:val="auto"/>
          <w:sz w:val="32"/>
          <w:szCs w:val="32"/>
          <w:highlight w:val="none"/>
        </w:rPr>
        <w:t>，统筹优化城乡生产生活生态空间，建设覆盖全域、城乡融合的空间布局“一张图”</w:t>
      </w:r>
      <w:r>
        <w:rPr>
          <w:rFonts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rPr>
        <w:t>统筹城乡建设规划布局</w:t>
      </w:r>
      <w:r>
        <w:rPr>
          <w:rFonts w:ascii="Times New Roman" w:hAnsi="Times New Roman" w:eastAsia="仿宋_GB2312" w:cs="Times New Roman"/>
          <w:color w:val="auto"/>
          <w:sz w:val="32"/>
          <w:szCs w:val="32"/>
          <w:highlight w:val="none"/>
        </w:rPr>
        <w:t>，形成以国土空间规划为基础、以其他规划为支撑的规划体系，构建城乡协调联动的融合发展空间格局。</w:t>
      </w:r>
    </w:p>
    <w:p w14:paraId="63DD6163">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10" w:name="_Toc215133880"/>
      <w:r>
        <w:rPr>
          <w:rFonts w:ascii="Times New Roman" w:hAnsi="Times New Roman" w:eastAsia="宋体" w:cs="Times New Roman"/>
          <w:b/>
          <w:bCs/>
          <w:color w:val="auto"/>
          <w:sz w:val="32"/>
          <w:szCs w:val="32"/>
          <w:highlight w:val="none"/>
        </w:rPr>
        <w:t>第一节  加强国土空间规划管控</w:t>
      </w:r>
      <w:bookmarkEnd w:id="10"/>
    </w:p>
    <w:p w14:paraId="0F20C8A7">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落实国家和河南省主体功能区战略格局，构建城乡一体规划制度，完善各级国土空间规划和村庄规划，科学布局城乡生产生活生态空间。</w:t>
      </w:r>
    </w:p>
    <w:p w14:paraId="07BEB893">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落实主体功能区战略。</w:t>
      </w:r>
      <w:r>
        <w:rPr>
          <w:rFonts w:ascii="Times New Roman" w:hAnsi="Times New Roman" w:eastAsia="仿宋_GB2312" w:cs="Times New Roman"/>
          <w:color w:val="auto"/>
          <w:sz w:val="32"/>
          <w:szCs w:val="32"/>
          <w:highlight w:val="none"/>
        </w:rPr>
        <w:t>落实细化国家主体功能定位，加强对魏都区、建安区、长葛市、禹州市等城市化地区和襄城县、鄢陵县等农产品主产区的主体功能管控引导，建立各类规划分区的国土用途管控目标、空间布局和管控规则，差异化指引乡（镇、街道）完善乡级行政区主体功能体系。强化控制线底线管控，</w:t>
      </w:r>
      <w:r>
        <w:rPr>
          <w:rFonts w:hint="eastAsia" w:ascii="Times New Roman" w:hAnsi="Times New Roman" w:eastAsia="仿宋_GB2312" w:cs="Times New Roman"/>
          <w:color w:val="auto"/>
          <w:sz w:val="32"/>
          <w:szCs w:val="32"/>
          <w:highlight w:val="none"/>
          <w:lang w:eastAsia="zh-CN"/>
        </w:rPr>
        <w:t>坚守</w:t>
      </w:r>
      <w:r>
        <w:rPr>
          <w:rFonts w:ascii="Times New Roman" w:hAnsi="Times New Roman" w:eastAsia="仿宋_GB2312" w:cs="Times New Roman"/>
          <w:color w:val="auto"/>
          <w:sz w:val="32"/>
          <w:szCs w:val="32"/>
          <w:highlight w:val="none"/>
        </w:rPr>
        <w:t>耕地和永久基本农田保护红线，</w:t>
      </w:r>
      <w:r>
        <w:rPr>
          <w:rFonts w:hint="eastAsia" w:ascii="Times New Roman" w:hAnsi="Times New Roman" w:eastAsia="仿宋_GB2312" w:cs="Times New Roman"/>
          <w:color w:val="auto"/>
          <w:sz w:val="32"/>
          <w:szCs w:val="32"/>
          <w:highlight w:val="none"/>
          <w:lang w:eastAsia="zh-CN"/>
        </w:rPr>
        <w:t>进一步</w:t>
      </w:r>
      <w:r>
        <w:rPr>
          <w:rFonts w:ascii="Times New Roman" w:hAnsi="Times New Roman" w:eastAsia="仿宋_GB2312" w:cs="Times New Roman"/>
          <w:color w:val="auto"/>
          <w:sz w:val="32"/>
          <w:szCs w:val="32"/>
          <w:highlight w:val="none"/>
        </w:rPr>
        <w:t>科学划定生态保护红线，合理划定城镇开发边界，守好洪涝灾害风险安全底线，明确历史文化保护线和矿产资源控制线。</w:t>
      </w:r>
    </w:p>
    <w:p w14:paraId="045231EF">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完善城乡规划体系。</w:t>
      </w:r>
      <w:r>
        <w:rPr>
          <w:rFonts w:ascii="Times New Roman" w:hAnsi="Times New Roman" w:eastAsia="仿宋_GB2312" w:cs="Times New Roman"/>
          <w:color w:val="auto"/>
          <w:sz w:val="32"/>
          <w:szCs w:val="32"/>
          <w:highlight w:val="none"/>
        </w:rPr>
        <w:t>按照多规合一、统筹城乡、覆盖全域、分类分重点的原则，建立以发展规划为统领，以国土空间规划为基础，以专项规划为支撑，定位准确、边界清晰、功能互补、统一衔接的规划体系。强化国土空间规划的空间统筹和要素保障作用，</w:t>
      </w:r>
      <w:r>
        <w:rPr>
          <w:rFonts w:hint="eastAsia" w:ascii="Times New Roman" w:hAnsi="Times New Roman" w:eastAsia="仿宋_GB2312" w:cs="Times New Roman"/>
          <w:color w:val="auto"/>
          <w:sz w:val="32"/>
          <w:szCs w:val="32"/>
          <w:highlight w:val="none"/>
        </w:rPr>
        <w:t>依托县乡级国土空间规划，统筹优化城乡空间布局</w:t>
      </w:r>
      <w:r>
        <w:rPr>
          <w:rFonts w:ascii="Times New Roman" w:hAnsi="Times New Roman" w:eastAsia="仿宋_GB2312" w:cs="Times New Roman"/>
          <w:color w:val="auto"/>
          <w:sz w:val="32"/>
          <w:szCs w:val="32"/>
          <w:highlight w:val="none"/>
        </w:rPr>
        <w:t>，合理确定镇村两级发展重点和优先序。</w:t>
      </w:r>
      <w:r>
        <w:rPr>
          <w:rFonts w:hint="eastAsia" w:ascii="Times New Roman" w:hAnsi="Times New Roman" w:eastAsia="仿宋_GB2312" w:cs="Times New Roman"/>
          <w:color w:val="auto"/>
          <w:sz w:val="32"/>
          <w:szCs w:val="32"/>
          <w:highlight w:val="none"/>
        </w:rPr>
        <w:t>鼓励和指导各县（市、区）结合地域特色、产业基础、生态禀赋细化村庄分类标准，按需推进村庄规划编制，深入挖掘村庄文化资源，提炼乡土特色，将特色元素融入街巷整治、庭院建筑、景观环境等各项建设中，充分利用自然环境和文化要素，营造乡土气息浓郁、地方特色鲜明的村庄风貌。探索片区化推进、组团式发展、先导区引领的和美乡村建设新机制新模式。</w:t>
      </w:r>
    </w:p>
    <w:p w14:paraId="2A0E6237">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加强国土空间统一用途管制。</w:t>
      </w:r>
      <w:r>
        <w:rPr>
          <w:rFonts w:ascii="Times New Roman" w:hAnsi="Times New Roman" w:eastAsia="仿宋_GB2312" w:cs="Times New Roman"/>
          <w:color w:val="auto"/>
          <w:sz w:val="32"/>
          <w:szCs w:val="32"/>
          <w:highlight w:val="none"/>
        </w:rPr>
        <w:t>优化国土空间用途管制审批制度，加强分区分类差异化用途管制，分类实施“详细规划+规划许可”“详细规划（村庄规划）+规划许可”“约束指标+分区准入”、空间准入清单等管制措施。</w:t>
      </w:r>
      <w:r>
        <w:rPr>
          <w:rFonts w:hint="eastAsia" w:ascii="Times New Roman" w:hAnsi="Times New Roman" w:eastAsia="仿宋_GB2312" w:cs="Times New Roman"/>
          <w:color w:val="auto"/>
          <w:sz w:val="32"/>
          <w:szCs w:val="32"/>
          <w:highlight w:val="none"/>
        </w:rPr>
        <w:t>强化城乡用地统筹保障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落实城镇建设用地增加规模与吸纳农业转移人口数量挂钩政策，合理安排城镇新增建设用地指标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引导县乡级国土空间规划统筹安排农业农村发展用地，优先保障乡村全面振兴用地需求</w:t>
      </w:r>
      <w:r>
        <w:rPr>
          <w:rFonts w:hint="eastAsia" w:ascii="Times New Roman" w:hAnsi="Times New Roman" w:eastAsia="仿宋_GB2312" w:cs="Times New Roman"/>
          <w:color w:val="auto"/>
          <w:sz w:val="32"/>
          <w:szCs w:val="32"/>
          <w:highlight w:val="none"/>
          <w:lang w:eastAsia="zh-CN"/>
        </w:rPr>
        <w:t>，</w:t>
      </w:r>
      <w:r>
        <w:rPr>
          <w:rFonts w:hint="eastAsia" w:ascii="FangSong_GB2312" w:eastAsia="FangSong_GB2312"/>
          <w:color w:val="auto"/>
          <w:sz w:val="32"/>
          <w:szCs w:val="32"/>
        </w:rPr>
        <w:t>新编县</w:t>
      </w:r>
      <w:r>
        <w:rPr>
          <w:rFonts w:hint="eastAsia" w:ascii="FangSong_GB2312" w:eastAsia="FangSong_GB2312"/>
          <w:color w:val="auto"/>
          <w:sz w:val="32"/>
          <w:szCs w:val="32"/>
          <w:lang w:eastAsia="zh-CN"/>
        </w:rPr>
        <w:t>、</w:t>
      </w:r>
      <w:r>
        <w:rPr>
          <w:rFonts w:hint="eastAsia" w:ascii="FangSong_GB2312" w:eastAsia="FangSong_GB2312"/>
          <w:color w:val="auto"/>
          <w:sz w:val="32"/>
          <w:szCs w:val="32"/>
        </w:rPr>
        <w:t>乡级国土空间规划安排不少于10%建设用地指标用于农业农村</w:t>
      </w:r>
      <w:r>
        <w:rPr>
          <w:rFonts w:hint="eastAsia" w:ascii="FangSong_GB2312" w:eastAsia="FangSong_GB2312"/>
          <w:color w:val="auto"/>
          <w:sz w:val="32"/>
          <w:szCs w:val="32"/>
          <w:lang w:eastAsia="zh-CN"/>
        </w:rPr>
        <w:t>。</w:t>
      </w:r>
      <w:r>
        <w:rPr>
          <w:rFonts w:ascii="Times New Roman" w:hAnsi="Times New Roman" w:eastAsia="仿宋_GB2312" w:cs="Times New Roman"/>
          <w:color w:val="auto"/>
          <w:sz w:val="32"/>
          <w:szCs w:val="32"/>
          <w:highlight w:val="none"/>
        </w:rPr>
        <w:t>实施农村地区国土空间弹性管控，在不突破规划建设用地规模、不占用永久基本农田和生态保护红线的前提下，引导村庄规划中预留一定比例的建设用地机动指标，用于农村公共设施和产业融合发展项目使用。</w:t>
      </w:r>
    </w:p>
    <w:p w14:paraId="6E29C66E">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11" w:name="_Toc215133881"/>
      <w:r>
        <w:rPr>
          <w:rFonts w:ascii="Times New Roman" w:hAnsi="Times New Roman" w:eastAsia="宋体" w:cs="Times New Roman"/>
          <w:b/>
          <w:bCs/>
          <w:color w:val="auto"/>
          <w:sz w:val="32"/>
          <w:szCs w:val="32"/>
          <w:highlight w:val="none"/>
        </w:rPr>
        <w:t>第二节  优化城乡空间发展布局</w:t>
      </w:r>
      <w:bookmarkEnd w:id="11"/>
    </w:p>
    <w:p w14:paraId="1C843BC9">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rPr>
        <w:t>顺应产业和人口向优势区域集中的客观规律，坚持“轴带引领、板块协同、多点支撑”总体思路，持续优化完善城乡空间布局</w:t>
      </w:r>
      <w:r>
        <w:rPr>
          <w:rFonts w:hint="eastAsia" w:ascii="Times New Roman" w:hAnsi="Times New Roman" w:eastAsia="仿宋_GB2312" w:cs="Times New Roman"/>
          <w:color w:val="auto"/>
          <w:sz w:val="32"/>
          <w:szCs w:val="32"/>
          <w:lang w:val="en-US" w:eastAsia="zh-CN"/>
        </w:rPr>
        <w:t>和发展格局</w:t>
      </w:r>
      <w:r>
        <w:rPr>
          <w:rFonts w:ascii="Times New Roman" w:hAnsi="Times New Roman" w:eastAsia="仿宋_GB2312" w:cs="Times New Roman"/>
          <w:color w:val="auto"/>
          <w:sz w:val="32"/>
          <w:szCs w:val="32"/>
          <w:highlight w:val="none"/>
        </w:rPr>
        <w:t>。</w:t>
      </w:r>
    </w:p>
    <w:p w14:paraId="627322AE">
      <w:pPr>
        <w:overflowPunct w:val="0"/>
        <w:spacing w:line="600" w:lineRule="exact"/>
        <w:ind w:firstLine="643"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color w:val="auto"/>
          <w:sz w:val="32"/>
          <w:szCs w:val="32"/>
          <w:highlight w:val="none"/>
          <w:lang w:eastAsia="zh-CN"/>
        </w:rPr>
        <w:t>构建市域总体空间格局。</w:t>
      </w:r>
      <w:r>
        <w:rPr>
          <w:rFonts w:hint="default" w:ascii="Times New Roman" w:hAnsi="Times New Roman" w:eastAsia="仿宋_GB2312" w:cs="Times New Roman"/>
          <w:color w:val="auto"/>
          <w:sz w:val="32"/>
          <w:szCs w:val="32"/>
          <w:highlight w:val="none"/>
        </w:rPr>
        <w:t>以生产空间集约高效、生活空间宜居适度、生态空间山清水秀为目标，明确城镇、农业、生态空间，推动市县统筹联动与城乡融合发展，全面优化功能配置，构建“东林西山拥沃野、一带三极联中原”的总体空间格局。“东林”指东部林海；“西山”指北部箕山山系（伏牛山余脉）和紫云山；“拥沃野”指保护粮食、经济作物及其他特色农业生产区；“一带”指沿京广郑许城镇产业综合发展带（含中心城区、长葛市）；“三极”指禹州市中心城区、鄢陵县中心城区、襄城县中心城区；“联中原”指引导城镇和产业沿交通走廊集聚，形成与区域开放互联的发展骨架。</w:t>
      </w:r>
    </w:p>
    <w:p w14:paraId="787AD275">
      <w:pPr>
        <w:overflowPunct w:val="0"/>
        <w:spacing w:line="600" w:lineRule="exact"/>
        <w:ind w:firstLine="643" w:firstLineChars="200"/>
        <w:rPr>
          <w:rFonts w:hint="default"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b/>
          <w:color w:val="auto"/>
          <w:sz w:val="32"/>
          <w:szCs w:val="32"/>
          <w:highlight w:val="none"/>
          <w:lang w:eastAsia="zh-CN"/>
        </w:rPr>
        <w:t>提升</w:t>
      </w:r>
      <w:r>
        <w:rPr>
          <w:rFonts w:ascii="Times New Roman" w:hAnsi="Times New Roman" w:eastAsia="仿宋_GB2312" w:cs="Times New Roman"/>
          <w:b/>
          <w:color w:val="auto"/>
          <w:sz w:val="32"/>
          <w:szCs w:val="32"/>
          <w:highlight w:val="none"/>
        </w:rPr>
        <w:t>中心城区发展</w:t>
      </w:r>
      <w:r>
        <w:rPr>
          <w:rFonts w:hint="eastAsia" w:ascii="Times New Roman" w:hAnsi="Times New Roman" w:eastAsia="仿宋_GB2312" w:cs="Times New Roman"/>
          <w:b/>
          <w:color w:val="auto"/>
          <w:sz w:val="32"/>
          <w:szCs w:val="32"/>
          <w:highlight w:val="none"/>
          <w:lang w:eastAsia="zh-CN"/>
        </w:rPr>
        <w:t>能级</w:t>
      </w:r>
      <w:r>
        <w:rPr>
          <w:rFonts w:ascii="Times New Roman" w:hAnsi="Times New Roman" w:eastAsia="仿宋_GB2312" w:cs="Times New Roman"/>
          <w:b/>
          <w:color w:val="auto"/>
          <w:sz w:val="32"/>
          <w:szCs w:val="32"/>
          <w:highlight w:val="none"/>
        </w:rPr>
        <w:t>。</w:t>
      </w:r>
      <w:r>
        <w:rPr>
          <w:rFonts w:hint="default" w:ascii="Times New Roman" w:hAnsi="Times New Roman" w:eastAsia="仿宋_GB2312" w:cs="Times New Roman"/>
          <w:color w:val="auto"/>
          <w:sz w:val="32"/>
          <w:szCs w:val="32"/>
          <w:highlight w:val="none"/>
        </w:rPr>
        <w:t>主动融入郑州都市圈和沿京广铁路城市发展带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推动中心城区“北进东跨”，加快芙蓉湖、北海、许东科教新城等重点区域开发，</w:t>
      </w:r>
      <w:r>
        <w:rPr>
          <w:rFonts w:hint="eastAsia" w:ascii="Times New Roman" w:hAnsi="Times New Roman" w:eastAsia="仿宋_GB2312" w:cs="Times New Roman"/>
          <w:color w:val="auto"/>
          <w:sz w:val="32"/>
          <w:szCs w:val="32"/>
          <w:highlight w:val="none"/>
          <w:lang w:eastAsia="zh-CN"/>
        </w:rPr>
        <w:t>有序推进曹魏古城、铁西片区等老城区</w:t>
      </w:r>
      <w:r>
        <w:rPr>
          <w:rFonts w:hint="default" w:ascii="Times New Roman" w:hAnsi="Times New Roman" w:eastAsia="仿宋_GB2312" w:cs="Times New Roman"/>
          <w:color w:val="auto"/>
          <w:sz w:val="32"/>
          <w:szCs w:val="32"/>
          <w:highlight w:val="none"/>
        </w:rPr>
        <w:t>城市更新</w:t>
      </w:r>
      <w:r>
        <w:rPr>
          <w:rFonts w:hint="eastAsia" w:ascii="Times New Roman" w:hAnsi="Times New Roman" w:eastAsia="仿宋_GB2312" w:cs="Times New Roman"/>
          <w:color w:val="auto"/>
          <w:sz w:val="32"/>
          <w:szCs w:val="32"/>
          <w:highlight w:val="none"/>
          <w:lang w:eastAsia="zh-CN"/>
        </w:rPr>
        <w:t>，建设高品质城市空间。</w:t>
      </w:r>
      <w:r>
        <w:rPr>
          <w:rFonts w:hint="eastAsia" w:ascii="Times New Roman" w:hAnsi="Times New Roman" w:eastAsia="仿宋_GB2312" w:cs="Times New Roman"/>
          <w:color w:val="auto"/>
          <w:sz w:val="32"/>
          <w:szCs w:val="32"/>
          <w:highlight w:val="none"/>
        </w:rPr>
        <w:t>统筹优化城市产业空间布局，持续提升全域产业综合承载能力，加快</w:t>
      </w:r>
      <w:r>
        <w:rPr>
          <w:rFonts w:hint="eastAsia" w:ascii="Times New Roman" w:hAnsi="Times New Roman" w:eastAsia="仿宋_GB2312" w:cs="Times New Roman"/>
          <w:color w:val="auto"/>
          <w:sz w:val="32"/>
          <w:szCs w:val="32"/>
          <w:highlight w:val="none"/>
          <w:lang w:eastAsia="zh-CN"/>
        </w:rPr>
        <w:t>建设</w:t>
      </w:r>
      <w:r>
        <w:rPr>
          <w:rFonts w:hint="eastAsia" w:ascii="Times New Roman" w:hAnsi="Times New Roman" w:eastAsia="仿宋_GB2312" w:cs="Times New Roman"/>
          <w:color w:val="auto"/>
          <w:sz w:val="32"/>
          <w:szCs w:val="32"/>
          <w:highlight w:val="none"/>
        </w:rPr>
        <w:t>“一带一圈两谷”</w:t>
      </w:r>
      <w:r>
        <w:rPr>
          <w:rFonts w:hint="eastAsia" w:ascii="Times New Roman" w:hAnsi="Times New Roman" w:eastAsia="仿宋_GB2312" w:cs="Times New Roman"/>
          <w:color w:val="auto"/>
          <w:sz w:val="32"/>
          <w:szCs w:val="32"/>
          <w:highlight w:val="none"/>
          <w:lang w:eastAsia="zh-CN"/>
        </w:rPr>
        <w:t>产业高地。许港产业带</w:t>
      </w:r>
      <w:r>
        <w:rPr>
          <w:rFonts w:hint="default" w:ascii="Times New Roman" w:hAnsi="Times New Roman" w:eastAsia="仿宋_GB2312" w:cs="Times New Roman"/>
          <w:color w:val="auto"/>
          <w:sz w:val="32"/>
          <w:szCs w:val="32"/>
          <w:highlight w:val="none"/>
        </w:rPr>
        <w:t>以郑许市域铁路、京广高铁、京港澳高速</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为功能主轴，串联郑州航空港区、长葛市、许昌市中心城区，打造具有竞争力的现代化产业带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lang w:bidi="ar"/>
        </w:rPr>
        <w:t>芙蓉湖现代服务业创新圈</w:t>
      </w:r>
      <w:r>
        <w:rPr>
          <w:rFonts w:hint="eastAsia" w:ascii="Times New Roman" w:hAnsi="Times New Roman" w:eastAsia="仿宋_GB2312" w:cs="Times New Roman"/>
          <w:color w:val="auto"/>
          <w:kern w:val="0"/>
          <w:sz w:val="31"/>
          <w:szCs w:val="31"/>
          <w:highlight w:val="none"/>
          <w:lang w:eastAsia="zh-CN" w:bidi="ar"/>
        </w:rPr>
        <w:t>围绕</w:t>
      </w:r>
      <w:r>
        <w:rPr>
          <w:rFonts w:hint="default" w:ascii="Times New Roman" w:hAnsi="Times New Roman" w:eastAsia="仿宋_GB2312" w:cs="Times New Roman"/>
          <w:color w:val="auto"/>
          <w:kern w:val="0"/>
          <w:sz w:val="31"/>
          <w:szCs w:val="31"/>
          <w:highlight w:val="none"/>
          <w:lang w:bidi="ar"/>
        </w:rPr>
        <w:t>芙蓉湖周边及中央公园两侧</w:t>
      </w:r>
      <w:r>
        <w:rPr>
          <w:rFonts w:hint="eastAsia" w:ascii="Times New Roman" w:hAnsi="Times New Roman" w:eastAsia="仿宋_GB2312" w:cs="Times New Roman"/>
          <w:color w:val="auto"/>
          <w:kern w:val="0"/>
          <w:sz w:val="31"/>
          <w:szCs w:val="31"/>
          <w:highlight w:val="none"/>
          <w:lang w:eastAsia="zh-CN" w:bidi="ar"/>
        </w:rPr>
        <w:t>，推动</w:t>
      </w:r>
      <w:r>
        <w:rPr>
          <w:rFonts w:hint="default" w:ascii="Times New Roman" w:hAnsi="Times New Roman" w:eastAsia="仿宋_GB2312" w:cs="Times New Roman"/>
          <w:color w:val="auto"/>
          <w:kern w:val="0"/>
          <w:sz w:val="32"/>
          <w:szCs w:val="32"/>
          <w:highlight w:val="none"/>
          <w:lang w:bidi="ar"/>
        </w:rPr>
        <w:t>高附加值生产性服务业和高品质生活性服务业</w:t>
      </w:r>
      <w:r>
        <w:rPr>
          <w:rFonts w:hint="eastAsia" w:ascii="Times New Roman" w:hAnsi="Times New Roman" w:eastAsia="仿宋_GB2312" w:cs="Times New Roman"/>
          <w:color w:val="auto"/>
          <w:kern w:val="0"/>
          <w:sz w:val="32"/>
          <w:szCs w:val="32"/>
          <w:highlight w:val="none"/>
          <w:lang w:eastAsia="zh-CN" w:bidi="ar"/>
        </w:rPr>
        <w:t>集聚发展</w:t>
      </w:r>
      <w:r>
        <w:rPr>
          <w:rFonts w:hint="default" w:ascii="Times New Roman" w:hAnsi="Times New Roman" w:eastAsia="仿宋_GB2312" w:cs="Times New Roman"/>
          <w:color w:val="auto"/>
          <w:kern w:val="0"/>
          <w:sz w:val="32"/>
          <w:szCs w:val="32"/>
          <w:highlight w:val="none"/>
          <w:lang w:bidi="ar"/>
        </w:rPr>
        <w:t>。中原电气谷</w:t>
      </w:r>
      <w:r>
        <w:rPr>
          <w:rFonts w:hint="default" w:ascii="Times New Roman" w:hAnsi="Times New Roman" w:eastAsia="仿宋_GB2312" w:cs="Times New Roman"/>
          <w:color w:val="auto"/>
          <w:sz w:val="32"/>
          <w:szCs w:val="32"/>
          <w:highlight w:val="none"/>
          <w:lang w:val="en-US" w:eastAsia="zh-CN"/>
        </w:rPr>
        <w:t>依托许昌国家高新区</w:t>
      </w:r>
      <w:r>
        <w:rPr>
          <w:rFonts w:hint="default" w:ascii="Times New Roman" w:hAnsi="Times New Roman" w:eastAsia="仿宋_GB2312" w:cs="Times New Roman"/>
          <w:color w:val="auto"/>
          <w:kern w:val="0"/>
          <w:sz w:val="32"/>
          <w:szCs w:val="32"/>
          <w:highlight w:val="none"/>
          <w:lang w:bidi="ar"/>
        </w:rPr>
        <w:t>，聚焦“电力、电子、电气”产业方向</w:t>
      </w:r>
      <w:r>
        <w:rPr>
          <w:rFonts w:hint="eastAsia"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建设智能电力装备产业集群。中原生命健康谷以经开区为核心，锚定生物制造</w:t>
      </w:r>
      <w:r>
        <w:rPr>
          <w:rFonts w:hint="eastAsia"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医疗器械</w:t>
      </w:r>
      <w:r>
        <w:rPr>
          <w:rFonts w:hint="eastAsia" w:ascii="Times New Roman" w:hAnsi="Times New Roman" w:eastAsia="仿宋_GB2312" w:cs="Times New Roman"/>
          <w:color w:val="auto"/>
          <w:kern w:val="0"/>
          <w:sz w:val="32"/>
          <w:szCs w:val="32"/>
          <w:highlight w:val="none"/>
          <w:lang w:eastAsia="zh-CN" w:bidi="ar"/>
        </w:rPr>
        <w:t>、健康食品等</w:t>
      </w:r>
      <w:r>
        <w:rPr>
          <w:rFonts w:hint="default" w:ascii="Times New Roman" w:hAnsi="Times New Roman" w:eastAsia="仿宋_GB2312" w:cs="Times New Roman"/>
          <w:color w:val="auto"/>
          <w:kern w:val="0"/>
          <w:sz w:val="32"/>
          <w:szCs w:val="32"/>
          <w:highlight w:val="none"/>
          <w:lang w:bidi="ar"/>
        </w:rPr>
        <w:t>主导产业，建设生命健康产业集群。</w:t>
      </w:r>
    </w:p>
    <w:p w14:paraId="4B7F710C">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优化县域发展功能布局。</w:t>
      </w:r>
      <w:r>
        <w:rPr>
          <w:rFonts w:ascii="Times New Roman" w:hAnsi="Times New Roman" w:eastAsia="仿宋_GB2312" w:cs="Times New Roman"/>
          <w:color w:val="auto"/>
          <w:sz w:val="32"/>
          <w:szCs w:val="32"/>
          <w:highlight w:val="none"/>
        </w:rPr>
        <w:t>立足县域区位特点、资源禀赋、产业基础等独特优势，探索差异化发展路径。</w:t>
      </w:r>
      <w:r>
        <w:rPr>
          <w:rFonts w:hint="eastAsia" w:ascii="Times New Roman" w:hAnsi="Times New Roman" w:eastAsia="仿宋_GB2312" w:cs="Times New Roman"/>
          <w:color w:val="auto"/>
          <w:sz w:val="32"/>
          <w:szCs w:val="32"/>
          <w:highlight w:val="none"/>
        </w:rPr>
        <w:t>支持禹州市建设现代化中等城市，加快传统产业转型升级，大力培育新材料、装备制造、医药健康等新兴产业，挖掘特色资源优势，打造钧瓷文化旅游体验目的地和中医药健康产业集聚地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支持长葛市</w:t>
      </w:r>
      <w:r>
        <w:rPr>
          <w:rFonts w:hint="eastAsia" w:ascii="Times New Roman" w:hAnsi="Times New Roman" w:eastAsia="仿宋_GB2312" w:cs="Times New Roman"/>
          <w:color w:val="auto"/>
          <w:sz w:val="32"/>
          <w:szCs w:val="32"/>
          <w:highlight w:val="none"/>
          <w:lang w:eastAsia="zh-CN"/>
        </w:rPr>
        <w:t>重点</w:t>
      </w:r>
      <w:r>
        <w:rPr>
          <w:rFonts w:hint="default" w:ascii="Times New Roman" w:hAnsi="Times New Roman" w:eastAsia="仿宋_GB2312" w:cs="Times New Roman"/>
          <w:color w:val="auto"/>
          <w:kern w:val="0"/>
          <w:sz w:val="32"/>
          <w:szCs w:val="32"/>
          <w:highlight w:val="none"/>
          <w:shd w:val="clear" w:color="auto" w:fill="FFFFFF"/>
          <w:lang w:bidi="ar"/>
        </w:rPr>
        <w:t>承接和发展智能装备、精密制造、新能源汽车零部件等高端制造业，以及电子商务、科技服务等现代服务业，打造许港产业融合协作先行区，成为许昌北向融入的</w:t>
      </w:r>
      <w:r>
        <w:rPr>
          <w:rFonts w:hint="default" w:ascii="Times New Roman" w:hAnsi="Times New Roman" w:eastAsia="仿宋_GB2312" w:cs="Times New Roman"/>
          <w:color w:val="auto"/>
          <w:kern w:val="0"/>
          <w:sz w:val="32"/>
          <w:szCs w:val="32"/>
          <w:highlight w:val="none"/>
          <w:shd w:val="clear" w:color="auto" w:fill="FFFFFF"/>
          <w:lang w:val="en-US" w:eastAsia="zh-CN" w:bidi="ar"/>
        </w:rPr>
        <w:t>发展</w:t>
      </w:r>
      <w:r>
        <w:rPr>
          <w:rFonts w:hint="default" w:ascii="Times New Roman" w:hAnsi="Times New Roman" w:eastAsia="仿宋_GB2312" w:cs="Times New Roman"/>
          <w:color w:val="auto"/>
          <w:kern w:val="0"/>
          <w:sz w:val="32"/>
          <w:szCs w:val="32"/>
          <w:highlight w:val="none"/>
          <w:shd w:val="clear" w:color="auto" w:fill="FFFFFF"/>
          <w:lang w:bidi="ar"/>
        </w:rPr>
        <w:t>门户与产业高地。支持鄢陵县做强做优花木特色产业集群，系统化、市场化推进文旅康养产业发展，促进医疗、养老、旅游、文化、农业等深度融合</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着力发展健康管理、康复疗养、休闲度假等业态，</w:t>
      </w:r>
      <w:r>
        <w:rPr>
          <w:rFonts w:hint="eastAsia" w:ascii="Times New Roman" w:hAnsi="Times New Roman" w:eastAsia="仿宋_GB2312" w:cs="Times New Roman"/>
          <w:color w:val="auto"/>
          <w:kern w:val="0"/>
          <w:sz w:val="32"/>
          <w:szCs w:val="32"/>
          <w:highlight w:val="none"/>
          <w:shd w:val="clear" w:color="auto" w:fill="FFFFFF"/>
          <w:lang w:eastAsia="zh-CN" w:bidi="ar"/>
        </w:rPr>
        <w:t>建设</w:t>
      </w:r>
      <w:r>
        <w:rPr>
          <w:rFonts w:hint="default" w:ascii="Times New Roman" w:hAnsi="Times New Roman" w:eastAsia="仿宋_GB2312" w:cs="Times New Roman"/>
          <w:color w:val="auto"/>
          <w:kern w:val="0"/>
          <w:sz w:val="32"/>
          <w:szCs w:val="32"/>
          <w:highlight w:val="none"/>
          <w:shd w:val="clear" w:color="auto" w:fill="FFFFFF"/>
          <w:lang w:bidi="ar"/>
        </w:rPr>
        <w:t>“都市圈生态康养南花园”。支持襄城县聚焦硅碳新材料等前沿领域，延伸产业链条，</w:t>
      </w:r>
      <w:r>
        <w:rPr>
          <w:rFonts w:hint="eastAsia" w:ascii="Times New Roman" w:hAnsi="Times New Roman" w:eastAsia="仿宋_GB2312" w:cs="Times New Roman"/>
          <w:color w:val="auto"/>
          <w:kern w:val="0"/>
          <w:sz w:val="32"/>
          <w:szCs w:val="32"/>
          <w:highlight w:val="none"/>
          <w:shd w:val="clear" w:color="auto" w:fill="FFFFFF"/>
          <w:lang w:eastAsia="zh-CN" w:bidi="ar"/>
        </w:rPr>
        <w:t>培育壮大</w:t>
      </w:r>
      <w:r>
        <w:rPr>
          <w:rFonts w:hint="default" w:ascii="Times New Roman" w:hAnsi="Times New Roman" w:eastAsia="仿宋_GB2312" w:cs="Times New Roman"/>
          <w:color w:val="auto"/>
          <w:kern w:val="0"/>
          <w:sz w:val="32"/>
          <w:szCs w:val="32"/>
          <w:highlight w:val="none"/>
          <w:shd w:val="clear" w:color="auto" w:fill="FFFFFF"/>
          <w:lang w:bidi="ar"/>
        </w:rPr>
        <w:t>先进材料产业集群</w:t>
      </w:r>
      <w:r>
        <w:rPr>
          <w:rFonts w:hint="eastAsia" w:ascii="Times New Roman" w:hAnsi="Times New Roman" w:eastAsia="仿宋_GB2312" w:cs="Times New Roman"/>
          <w:color w:val="auto"/>
          <w:kern w:val="0"/>
          <w:sz w:val="32"/>
          <w:szCs w:val="32"/>
          <w:highlight w:val="none"/>
          <w:u w:val="none"/>
          <w:shd w:val="clear" w:color="auto" w:fill="FFFFFF"/>
          <w:lang w:eastAsia="zh-CN" w:bidi="ar"/>
        </w:rPr>
        <w:t>，同时</w:t>
      </w:r>
      <w:r>
        <w:rPr>
          <w:rFonts w:hint="default" w:ascii="Times New Roman" w:hAnsi="Times New Roman" w:eastAsia="仿宋_GB2312" w:cs="Times New Roman"/>
          <w:color w:val="auto"/>
          <w:kern w:val="0"/>
          <w:sz w:val="32"/>
          <w:szCs w:val="32"/>
          <w:highlight w:val="none"/>
          <w:u w:val="none"/>
          <w:shd w:val="clear" w:color="auto" w:fill="FFFFFF"/>
          <w:lang w:bidi="ar"/>
        </w:rPr>
        <w:t>大力发展农产品精深加工，推动烟叶产业高质量发展</w:t>
      </w:r>
      <w:r>
        <w:rPr>
          <w:rFonts w:hint="eastAsia"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建设豫西南先进材料产业长廊和都市圈绿色农业基地</w:t>
      </w:r>
      <w:r>
        <w:rPr>
          <w:rFonts w:ascii="Times New Roman" w:hAnsi="Times New Roman" w:eastAsia="仿宋_GB2312" w:cs="Times New Roman"/>
          <w:color w:val="auto"/>
          <w:sz w:val="32"/>
          <w:szCs w:val="32"/>
          <w:highlight w:val="none"/>
        </w:rPr>
        <w:t>。</w:t>
      </w:r>
    </w:p>
    <w:p w14:paraId="6B4B19D8">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lang w:eastAsia="zh-CN"/>
        </w:rPr>
        <w:t>强</w:t>
      </w:r>
      <w:r>
        <w:rPr>
          <w:rFonts w:ascii="Times New Roman" w:hAnsi="Times New Roman" w:eastAsia="仿宋_GB2312" w:cs="Times New Roman"/>
          <w:b/>
          <w:color w:val="auto"/>
          <w:sz w:val="32"/>
          <w:szCs w:val="32"/>
          <w:highlight w:val="none"/>
        </w:rPr>
        <w:t>化重点乡镇</w:t>
      </w:r>
      <w:r>
        <w:rPr>
          <w:rFonts w:hint="eastAsia" w:ascii="Times New Roman" w:hAnsi="Times New Roman" w:eastAsia="仿宋_GB2312" w:cs="Times New Roman"/>
          <w:b/>
          <w:color w:val="auto"/>
          <w:sz w:val="32"/>
          <w:szCs w:val="32"/>
          <w:highlight w:val="none"/>
          <w:lang w:eastAsia="zh-CN"/>
        </w:rPr>
        <w:t>辐射带动</w:t>
      </w:r>
      <w:r>
        <w:rPr>
          <w:rFonts w:ascii="Times New Roman" w:hAnsi="Times New Roman" w:eastAsia="仿宋_GB2312" w:cs="Times New Roman"/>
          <w:b/>
          <w:color w:val="auto"/>
          <w:sz w:val="32"/>
          <w:szCs w:val="32"/>
          <w:highlight w:val="none"/>
        </w:rPr>
        <w:t>。</w:t>
      </w:r>
      <w:r>
        <w:rPr>
          <w:rFonts w:ascii="Times New Roman" w:hAnsi="Times New Roman" w:eastAsia="仿宋_GB2312" w:cs="Times New Roman"/>
          <w:color w:val="auto"/>
          <w:sz w:val="32"/>
          <w:szCs w:val="32"/>
          <w:highlight w:val="none"/>
        </w:rPr>
        <w:t>发挥中心镇特色资源优势，培育一批农业大镇、工业重镇、商贸强镇、文旅名镇，提升中心镇对周边乡（镇）的辐射带动能力，打造连接城乡的重要节点和纽带。</w:t>
      </w:r>
      <w:r>
        <w:rPr>
          <w:rFonts w:hint="eastAsia" w:ascii="Times New Roman" w:hAnsi="Times New Roman" w:eastAsia="仿宋_GB2312" w:cs="Times New Roman"/>
          <w:color w:val="auto"/>
          <w:w w:val="99"/>
          <w:sz w:val="32"/>
          <w:szCs w:val="32"/>
          <w:highlight w:val="none"/>
          <w:lang w:val="en-US" w:eastAsia="zh-CN"/>
        </w:rPr>
        <w:t>支持大周镇、</w:t>
      </w:r>
      <w:r>
        <w:rPr>
          <w:rFonts w:hint="eastAsia" w:ascii="Times New Roman" w:hAnsi="Times New Roman" w:eastAsia="仿宋_GB2312" w:cs="Times New Roman"/>
          <w:b w:val="0"/>
          <w:bCs w:val="0"/>
          <w:color w:val="auto"/>
          <w:w w:val="99"/>
          <w:sz w:val="32"/>
          <w:szCs w:val="32"/>
          <w:highlight w:val="none"/>
          <w:lang w:val="en-US" w:eastAsia="zh-CN"/>
        </w:rPr>
        <w:t>神垕镇</w:t>
      </w:r>
      <w:r>
        <w:rPr>
          <w:rFonts w:hint="eastAsia" w:ascii="Times New Roman" w:hAnsi="Times New Roman" w:eastAsia="仿宋_GB2312" w:cs="Times New Roman"/>
          <w:color w:val="auto"/>
          <w:w w:val="99"/>
          <w:sz w:val="32"/>
          <w:szCs w:val="32"/>
          <w:highlight w:val="none"/>
          <w:lang w:val="en-US" w:eastAsia="zh-CN"/>
        </w:rPr>
        <w:t>、陈化店镇、顺店镇等镇增强特色产业和人口集聚功能，力争镇区人口超5万人。</w:t>
      </w:r>
      <w:r>
        <w:rPr>
          <w:rFonts w:ascii="Times New Roman" w:hAnsi="Times New Roman" w:eastAsia="仿宋_GB2312" w:cs="Times New Roman"/>
          <w:color w:val="auto"/>
          <w:sz w:val="32"/>
          <w:szCs w:val="32"/>
          <w:highlight w:val="none"/>
        </w:rPr>
        <w:t>支持五女店镇、紫云镇、库庄镇、火龙镇等镇强化综合服务功能，推动农村人口和资源要素向镇区集中，打造连接城乡、服务农村的核心节点。引导尚集镇、小召乡、苏桥镇、河街乡、</w:t>
      </w:r>
      <w:r>
        <w:rPr>
          <w:rFonts w:hint="eastAsia" w:ascii="Times New Roman" w:hAnsi="Times New Roman" w:eastAsia="仿宋_GB2312" w:cs="Times New Roman"/>
          <w:color w:val="auto"/>
          <w:sz w:val="32"/>
          <w:szCs w:val="32"/>
          <w:highlight w:val="none"/>
          <w:lang w:eastAsia="zh-CN"/>
        </w:rPr>
        <w:t>将</w:t>
      </w:r>
      <w:r>
        <w:rPr>
          <w:rFonts w:ascii="Times New Roman" w:hAnsi="Times New Roman" w:eastAsia="仿宋_GB2312" w:cs="Times New Roman"/>
          <w:color w:val="auto"/>
          <w:sz w:val="32"/>
          <w:szCs w:val="32"/>
          <w:highlight w:val="none"/>
        </w:rPr>
        <w:t>官池镇等镇按照城市标准规划建设。强化一般镇突出现代农业、生态保护等功能，改善人居环境品质，加快教育、文化、卫生、体育等社会事业发展，满足城乡居民的基本公共服务需求。强化县乡村统筹联动发展，加强县城与镇区、乡村之间的规划统筹、产业协作、交通互联、服务共享，促进要素有序流动、资源高效配置，提升县域联动发展能级和效应。</w:t>
      </w:r>
    </w:p>
    <w:p w14:paraId="6F124051">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12" w:name="_Toc215133882"/>
      <w:r>
        <w:rPr>
          <w:rFonts w:ascii="Times New Roman" w:hAnsi="Times New Roman" w:eastAsia="宋体" w:cs="Times New Roman"/>
          <w:b/>
          <w:bCs/>
          <w:color w:val="auto"/>
          <w:sz w:val="32"/>
          <w:szCs w:val="32"/>
          <w:highlight w:val="none"/>
        </w:rPr>
        <w:t>第三节  建设城乡融合示范片区</w:t>
      </w:r>
      <w:bookmarkEnd w:id="12"/>
    </w:p>
    <w:p w14:paraId="28E4AB43">
      <w:pPr>
        <w:overflowPunct w:val="0"/>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坚持以点带面、示范引领，按照集中连片、规划一体、分批推进、梯次见效的原则，立足各县（市、区）资源禀赋、区位条件、产业基础与改革潜力，择优遴选基础好、产业强、班子硬、群众意愿高的区域，优化调整城乡融合示范片区布局。优先</w:t>
      </w:r>
      <w:r>
        <w:rPr>
          <w:rFonts w:hint="eastAsia" w:ascii="Times New Roman" w:hAnsi="Times New Roman" w:eastAsia="仿宋_GB2312" w:cs="Times New Roman"/>
          <w:color w:val="auto"/>
          <w:sz w:val="32"/>
          <w:szCs w:val="32"/>
          <w:highlight w:val="none"/>
          <w:lang w:eastAsia="zh-CN"/>
        </w:rPr>
        <w:t>建设</w:t>
      </w:r>
      <w:r>
        <w:rPr>
          <w:rFonts w:hint="eastAsia" w:ascii="Times New Roman" w:hAnsi="Times New Roman" w:eastAsia="仿宋_GB2312" w:cs="Times New Roman"/>
          <w:color w:val="auto"/>
          <w:sz w:val="32"/>
          <w:szCs w:val="32"/>
          <w:highlight w:val="none"/>
        </w:rPr>
        <w:t>一批可复制、可推广、可借鉴的示范样板，以片区“小切口”推动融合“大突破”，以示范“先行者”带动全域“齐步走”，力争2—3年见到明显成效、形成成熟经验，成熟一片、推进一片、带动一片，稳步拓展、扩面提质，最终实现城乡融合示范引领全域覆盖、整体提升。</w:t>
      </w:r>
    </w:p>
    <w:p w14:paraId="4BB7B9D0">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强化规划引领。</w:t>
      </w:r>
      <w:r>
        <w:rPr>
          <w:rFonts w:hint="eastAsia" w:ascii="Times New Roman" w:hAnsi="Times New Roman" w:eastAsia="仿宋_GB2312" w:cs="Times New Roman"/>
          <w:color w:val="auto"/>
          <w:sz w:val="32"/>
          <w:szCs w:val="32"/>
          <w:highlight w:val="none"/>
        </w:rPr>
        <w:t>以国土空间规划为基础，统筹衔接产业发展、基础设施、公共服务、生态保护、</w:t>
      </w:r>
      <w:r>
        <w:rPr>
          <w:rFonts w:hint="eastAsia" w:ascii="仿宋_GB2312" w:hAnsi="仿宋_GB2312" w:eastAsia="仿宋_GB2312" w:cs="仿宋_GB2312"/>
          <w:color w:val="auto"/>
          <w:kern w:val="0"/>
          <w:sz w:val="32"/>
          <w:szCs w:val="32"/>
          <w:lang w:val="en-US" w:eastAsia="zh-CN" w:bidi="ar"/>
        </w:rPr>
        <w:t>村容风貌</w:t>
      </w:r>
      <w:r>
        <w:rPr>
          <w:rFonts w:hint="eastAsia" w:ascii="Times New Roman" w:hAnsi="Times New Roman" w:eastAsia="仿宋_GB2312" w:cs="Times New Roman"/>
          <w:color w:val="auto"/>
          <w:sz w:val="32"/>
          <w:szCs w:val="32"/>
          <w:highlight w:val="none"/>
        </w:rPr>
        <w:t>等，合理确定</w:t>
      </w:r>
      <w:r>
        <w:rPr>
          <w:rFonts w:hint="eastAsia" w:ascii="Times New Roman" w:hAnsi="Times New Roman" w:eastAsia="仿宋_GB2312" w:cs="Times New Roman"/>
          <w:color w:val="auto"/>
          <w:sz w:val="32"/>
          <w:szCs w:val="32"/>
          <w:highlight w:val="none"/>
          <w:lang w:eastAsia="zh-CN"/>
        </w:rPr>
        <w:t>片区</w:t>
      </w:r>
      <w:r>
        <w:rPr>
          <w:rFonts w:hint="eastAsia" w:ascii="Times New Roman" w:hAnsi="Times New Roman" w:eastAsia="仿宋_GB2312" w:cs="Times New Roman"/>
          <w:color w:val="auto"/>
          <w:sz w:val="32"/>
          <w:szCs w:val="32"/>
          <w:highlight w:val="none"/>
        </w:rPr>
        <w:t>功能定位、发展目标与建设路径。不搞大拆大建，立足现有资源禀赋，突出地域特色、产业特色、风貌特色，推动片区规划与镇村布局、项目布局、要素配置有机衔接，构建中心引领、组团联动、连片成带、全域统筹的示范片区发展格局。</w:t>
      </w:r>
    </w:p>
    <w:p w14:paraId="7867F884">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聚焦改革破题。</w:t>
      </w:r>
      <w:r>
        <w:rPr>
          <w:rFonts w:hint="eastAsia" w:ascii="Times New Roman" w:hAnsi="Times New Roman" w:eastAsia="仿宋_GB2312" w:cs="Times New Roman"/>
          <w:color w:val="auto"/>
          <w:sz w:val="32"/>
          <w:szCs w:val="32"/>
          <w:highlight w:val="none"/>
        </w:rPr>
        <w:t>坚持向改革要活力、向开放要空间、向创新要效益，</w:t>
      </w:r>
      <w:r>
        <w:rPr>
          <w:rFonts w:hint="eastAsia" w:ascii="Times New Roman" w:hAnsi="Times New Roman" w:eastAsia="仿宋_GB2312" w:cs="Times New Roman"/>
          <w:color w:val="auto"/>
          <w:sz w:val="32"/>
          <w:szCs w:val="32"/>
          <w:highlight w:val="none"/>
          <w:lang w:eastAsia="zh-CN"/>
        </w:rPr>
        <w:t>研究制定支持示范片区建设的政策措施，</w:t>
      </w:r>
      <w:r>
        <w:rPr>
          <w:rFonts w:hint="eastAsia" w:ascii="Times New Roman" w:hAnsi="Times New Roman" w:eastAsia="仿宋_GB2312" w:cs="Times New Roman"/>
          <w:color w:val="auto"/>
          <w:sz w:val="32"/>
          <w:szCs w:val="32"/>
          <w:highlight w:val="none"/>
        </w:rPr>
        <w:t>聚焦土地、资本、技术、人才、数据等关键要素，深化农业农村改革，打通城乡要素平等交换、双向流动的制度性通道，充分激活</w:t>
      </w:r>
      <w:r>
        <w:rPr>
          <w:rFonts w:hint="eastAsia" w:ascii="Times New Roman" w:hAnsi="Times New Roman" w:eastAsia="仿宋_GB2312" w:cs="Times New Roman"/>
          <w:color w:val="auto"/>
          <w:sz w:val="32"/>
          <w:szCs w:val="32"/>
          <w:highlight w:val="none"/>
          <w:lang w:eastAsia="zh-CN"/>
        </w:rPr>
        <w:t>示范片区</w:t>
      </w:r>
      <w:r>
        <w:rPr>
          <w:rFonts w:hint="eastAsia" w:ascii="Times New Roman" w:hAnsi="Times New Roman" w:eastAsia="仿宋_GB2312" w:cs="Times New Roman"/>
          <w:color w:val="auto"/>
          <w:sz w:val="32"/>
          <w:szCs w:val="32"/>
          <w:highlight w:val="none"/>
        </w:rPr>
        <w:t>内生发展动力</w:t>
      </w:r>
      <w:r>
        <w:rPr>
          <w:rFonts w:hint="eastAsia" w:ascii="Times New Roman" w:hAnsi="Times New Roman" w:eastAsia="仿宋_GB2312" w:cs="Times New Roman"/>
          <w:color w:val="auto"/>
          <w:sz w:val="32"/>
          <w:szCs w:val="32"/>
          <w:highlight w:val="none"/>
          <w:lang w:eastAsia="zh-CN"/>
        </w:rPr>
        <w:t>，探索形成可复制推广的政策清单</w:t>
      </w:r>
      <w:r>
        <w:rPr>
          <w:rFonts w:hint="eastAsia" w:ascii="Times New Roman" w:hAnsi="Times New Roman" w:eastAsia="仿宋_GB2312" w:cs="Times New Roman"/>
          <w:color w:val="auto"/>
          <w:sz w:val="32"/>
          <w:szCs w:val="32"/>
          <w:highlight w:val="none"/>
        </w:rPr>
        <w:t>。</w:t>
      </w:r>
    </w:p>
    <w:p w14:paraId="38034A30">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突出产业支撑。</w:t>
      </w:r>
      <w:r>
        <w:rPr>
          <w:rFonts w:hint="eastAsia" w:ascii="Times New Roman" w:hAnsi="Times New Roman" w:eastAsia="仿宋_GB2312" w:cs="Times New Roman"/>
          <w:color w:val="auto"/>
          <w:sz w:val="32"/>
          <w:szCs w:val="32"/>
          <w:highlight w:val="none"/>
        </w:rPr>
        <w:t>把产业兴旺作为示范片区建设的核心支撑，立足片区资源优势，做强现代农业、特色加工、文旅康养、休闲体验等主导业态，延伸产业链、提升价值链、畅通供应链。推动农村一二三产业深度融合，培育发展乡村新产业新业态新模式，做强特色产业集群，提升产业联农带农富农效能。</w:t>
      </w:r>
    </w:p>
    <w:p w14:paraId="74411C6F">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坚持项目推动。</w:t>
      </w:r>
      <w:r>
        <w:rPr>
          <w:rFonts w:hint="eastAsia" w:ascii="Times New Roman" w:hAnsi="Times New Roman" w:eastAsia="仿宋_GB2312" w:cs="Times New Roman"/>
          <w:color w:val="auto"/>
          <w:sz w:val="32"/>
          <w:szCs w:val="32"/>
          <w:highlight w:val="none"/>
        </w:rPr>
        <w:t>实行项目化推进、清单化管理、节点化落实，围绕示范片区建设目标，分年度谋划实施基础设施提档、公共服务提质、产业发展提效、人居环境整治、基层治理创新等重点项目，形成谋划一批、建设一批、达产一批、储备一批的良性循环。深入践行“千万工程”经验，持续改善农村人居环境，建设宜居宜业和美乡村。</w:t>
      </w:r>
    </w:p>
    <w:p w14:paraId="66B0E7D2">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健全推进机制。</w:t>
      </w:r>
      <w:r>
        <w:rPr>
          <w:rFonts w:hint="eastAsia" w:ascii="Times New Roman" w:hAnsi="Times New Roman" w:eastAsia="仿宋_GB2312" w:cs="Times New Roman"/>
          <w:color w:val="auto"/>
          <w:sz w:val="32"/>
          <w:szCs w:val="32"/>
          <w:highlight w:val="none"/>
        </w:rPr>
        <w:t>建立市级统筹、县级主责、乡镇落实、分级推进、动态调整的工作机制，强化专班专抓、高位推进、督导问效，集中政策、资金、要素向示范片区倾斜，优先保障、优先支持、优先落地。建立择优入库、动态管理、能进能出的示范片区培育机制，对首批示范片区集中攻坚，确保2—3年形成标志性成果与成熟制度模式；及时总结推广规划建设、产业发展、要素改革、治理创新、群众参与等方面经验做法，成熟一片、拓展一片，稳步向全域延伸、向多业态覆盖、向整体提升转变，最终实现城乡融合发展全域示范、全面引领。</w:t>
      </w:r>
    </w:p>
    <w:p w14:paraId="59899F4F">
      <w:pPr>
        <w:keepLines/>
        <w:overflowPunct w:val="0"/>
        <w:spacing w:before="300" w:after="300" w:line="600" w:lineRule="exact"/>
        <w:jc w:val="center"/>
        <w:outlineLvl w:val="0"/>
        <w:rPr>
          <w:rFonts w:ascii="Times New Roman" w:hAnsi="Times New Roman" w:eastAsia="方正小标宋简体" w:cs="Times New Roman"/>
          <w:color w:val="auto"/>
          <w:kern w:val="44"/>
          <w:sz w:val="32"/>
          <w:szCs w:val="32"/>
          <w:highlight w:val="none"/>
        </w:rPr>
      </w:pPr>
      <w:bookmarkStart w:id="13" w:name="_Toc215133884"/>
      <w:r>
        <w:rPr>
          <w:rFonts w:ascii="Times New Roman" w:hAnsi="Times New Roman" w:eastAsia="方正小标宋简体" w:cs="Times New Roman"/>
          <w:color w:val="auto"/>
          <w:kern w:val="44"/>
          <w:sz w:val="32"/>
          <w:szCs w:val="32"/>
          <w:highlight w:val="none"/>
        </w:rPr>
        <w:t>第四章  推进产业协同发展，促进城乡经济互促共荣</w:t>
      </w:r>
      <w:bookmarkEnd w:id="13"/>
    </w:p>
    <w:p w14:paraId="0FB183BA">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以城带乡、以工促农，优化城乡产业空间布局，畅通城乡要素流动通道，促进一二三产业融合发展，壮大乡村特色产业集群，培育乡村旅游和农村电商等新业态，构建优势互补、互促共荣的城乡产业发展新格局，持续增强城乡经济内生动力。</w:t>
      </w:r>
    </w:p>
    <w:p w14:paraId="28172ADF">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14" w:name="_Toc215133885"/>
      <w:r>
        <w:rPr>
          <w:rFonts w:ascii="Times New Roman" w:hAnsi="Times New Roman" w:eastAsia="宋体" w:cs="Times New Roman"/>
          <w:b/>
          <w:bCs/>
          <w:color w:val="auto"/>
          <w:sz w:val="32"/>
          <w:szCs w:val="32"/>
          <w:highlight w:val="none"/>
        </w:rPr>
        <w:t>第一节  完善科技成果入乡转化体制机制</w:t>
      </w:r>
      <w:bookmarkEnd w:id="14"/>
    </w:p>
    <w:p w14:paraId="1BD47E9C">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强化城乡科技协同与要素互补，破解科技成果入乡“最后一公里”难题，构建“政产学研用金”协同机制，推动科技资源向乡村高效流动，形成可复制、可推广的科技成果入乡转化许昌模式。</w:t>
      </w:r>
    </w:p>
    <w:p w14:paraId="7765E660">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eastAsia="zh-CN"/>
        </w:rPr>
        <w:t>提升农业科技创新能力</w:t>
      </w:r>
      <w:r>
        <w:rPr>
          <w:rFonts w:ascii="Times New Roman" w:hAnsi="Times New Roman" w:eastAsia="仿宋_GB2312" w:cs="Times New Roman"/>
          <w:b/>
          <w:bCs/>
          <w:color w:val="auto"/>
          <w:sz w:val="32"/>
          <w:szCs w:val="32"/>
          <w:highlight w:val="none"/>
        </w:rPr>
        <w:t>。</w:t>
      </w:r>
      <w:r>
        <w:rPr>
          <w:rFonts w:hint="eastAsia" w:ascii="仿宋_GB2312" w:hAnsi="仿宋_GB2312" w:eastAsia="仿宋_GB2312" w:cs="仿宋_GB2312"/>
          <w:color w:val="auto"/>
          <w:sz w:val="32"/>
          <w:szCs w:val="32"/>
        </w:rPr>
        <w:t>支持企业与中国农科院、省农科院、河南农业大学等高校和科研院所加强合作，加快建设技术创新中心、产业创新中心、中试基地、产业</w:t>
      </w:r>
      <w:r>
        <w:rPr>
          <w:rFonts w:hint="eastAsia" w:ascii="仿宋_GB2312" w:hAnsi="仿宋_GB2312" w:eastAsia="仿宋_GB2312" w:cs="仿宋_GB2312"/>
          <w:b w:val="0"/>
          <w:bCs w:val="0"/>
          <w:color w:val="auto"/>
          <w:sz w:val="32"/>
          <w:szCs w:val="32"/>
        </w:rPr>
        <w:t>研究院等创新平台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围绕现代种业、农机装备等关键领域</w:t>
      </w:r>
      <w:r>
        <w:rPr>
          <w:rFonts w:hint="eastAsia" w:ascii="仿宋_GB2312" w:hAnsi="仿宋_GB2312" w:eastAsia="仿宋_GB2312" w:cs="仿宋_GB2312"/>
          <w:color w:val="auto"/>
          <w:sz w:val="32"/>
          <w:szCs w:val="32"/>
          <w:lang w:eastAsia="zh-CN"/>
        </w:rPr>
        <w:t>和烟草、中药材等特色产业，依托</w:t>
      </w:r>
      <w:r>
        <w:rPr>
          <w:rFonts w:hint="eastAsia" w:ascii="Times New Roman" w:hAnsi="Times New Roman" w:eastAsia="仿宋_GB2312" w:cs="Times New Roman"/>
          <w:b w:val="0"/>
          <w:bCs w:val="0"/>
          <w:color w:val="auto"/>
          <w:sz w:val="32"/>
          <w:szCs w:val="32"/>
          <w:highlight w:val="none"/>
          <w:lang w:eastAsia="zh-CN"/>
        </w:rPr>
        <w:t>黄淮种业科创产业园、烟草研究所、环农大科创圈、中医药科创园区等平台载体，</w:t>
      </w:r>
      <w:r>
        <w:rPr>
          <w:rFonts w:hint="eastAsia" w:ascii="仿宋_GB2312" w:hAnsi="仿宋_GB2312" w:eastAsia="仿宋_GB2312" w:cs="仿宋_GB2312"/>
          <w:color w:val="auto"/>
          <w:sz w:val="32"/>
          <w:szCs w:val="32"/>
        </w:rPr>
        <w:t>加快科技创新，</w:t>
      </w:r>
      <w:r>
        <w:rPr>
          <w:rFonts w:hint="eastAsia" w:ascii="仿宋_GB2312" w:hAnsi="仿宋_GB2312" w:eastAsia="仿宋_GB2312" w:cs="仿宋_GB2312"/>
          <w:color w:val="auto"/>
          <w:sz w:val="32"/>
          <w:szCs w:val="32"/>
          <w:lang w:eastAsia="zh-CN"/>
        </w:rPr>
        <w:t>培育</w:t>
      </w:r>
      <w:r>
        <w:rPr>
          <w:rFonts w:hint="eastAsia" w:ascii="仿宋_GB2312" w:hAnsi="仿宋_GB2312" w:eastAsia="仿宋_GB2312" w:cs="仿宋_GB2312"/>
          <w:color w:val="auto"/>
          <w:sz w:val="32"/>
          <w:szCs w:val="32"/>
        </w:rPr>
        <w:t>农业新质生产力。</w:t>
      </w:r>
      <w:r>
        <w:rPr>
          <w:rFonts w:ascii="Times New Roman" w:hAnsi="Times New Roman" w:eastAsia="仿宋_GB2312" w:cs="Times New Roman"/>
          <w:color w:val="auto"/>
          <w:sz w:val="32"/>
          <w:szCs w:val="32"/>
          <w:highlight w:val="none"/>
        </w:rPr>
        <w:t>构建以</w:t>
      </w:r>
      <w:r>
        <w:rPr>
          <w:rFonts w:hint="eastAsia" w:ascii="Times New Roman" w:hAnsi="Times New Roman" w:eastAsia="仿宋_GB2312" w:cs="Times New Roman"/>
          <w:color w:val="auto"/>
          <w:sz w:val="32"/>
          <w:szCs w:val="32"/>
          <w:highlight w:val="none"/>
        </w:rPr>
        <w:t>许昌市农业技术推广站</w:t>
      </w:r>
      <w:r>
        <w:rPr>
          <w:rFonts w:ascii="Times New Roman" w:hAnsi="Times New Roman" w:eastAsia="仿宋_GB2312" w:cs="Times New Roman"/>
          <w:color w:val="auto"/>
          <w:sz w:val="32"/>
          <w:szCs w:val="32"/>
          <w:highlight w:val="none"/>
        </w:rPr>
        <w:t>为枢纽、县乡技术推广站为节点、企业与合作社为终端的成果转化网络，推动科技成果供需</w:t>
      </w:r>
      <w:r>
        <w:rPr>
          <w:rFonts w:hint="eastAsia" w:ascii="Times New Roman" w:hAnsi="Times New Roman" w:eastAsia="仿宋_GB2312" w:cs="Times New Roman"/>
          <w:color w:val="auto"/>
          <w:sz w:val="32"/>
          <w:szCs w:val="32"/>
          <w:highlight w:val="none"/>
        </w:rPr>
        <w:t>精准对接。建立“农科驿站”“农科超市”等新型农业科技服务平台，开展涉农科技成果发布对接活动，推动专家、技术与企业、乡村精准对接。</w:t>
      </w:r>
    </w:p>
    <w:p w14:paraId="3A8F14A6">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强化科技人才引育与激励机制。</w:t>
      </w:r>
      <w:r>
        <w:rPr>
          <w:rFonts w:hint="eastAsia" w:ascii="Times New Roman" w:hAnsi="Times New Roman" w:eastAsia="仿宋_GB2312" w:cs="Times New Roman"/>
          <w:b w:val="0"/>
          <w:bCs w:val="0"/>
          <w:color w:val="auto"/>
          <w:sz w:val="32"/>
          <w:szCs w:val="32"/>
          <w:highlight w:val="none"/>
          <w:lang w:eastAsia="zh-CN"/>
        </w:rPr>
        <w:t>加强农业科技人才建设，创新科技人才引进、评价、使用方式和新型研发机构运营机制。健全农业科技成果转移转化机制，深化农业科技成果权属、转化收益分配等制度改革，大幅提升第一“贡献人”转化收益分配比例。</w:t>
      </w:r>
      <w:r>
        <w:rPr>
          <w:rFonts w:hint="eastAsia" w:ascii="Times New Roman" w:hAnsi="Times New Roman" w:eastAsia="仿宋_GB2312" w:cs="Times New Roman"/>
          <w:color w:val="auto"/>
          <w:sz w:val="32"/>
          <w:szCs w:val="32"/>
          <w:highlight w:val="none"/>
        </w:rPr>
        <w:t>健全科技人才下乡机制，</w:t>
      </w:r>
      <w:r>
        <w:rPr>
          <w:rFonts w:ascii="Times New Roman" w:hAnsi="Times New Roman" w:eastAsia="仿宋_GB2312" w:cs="Times New Roman"/>
          <w:color w:val="auto"/>
          <w:sz w:val="32"/>
          <w:szCs w:val="32"/>
          <w:highlight w:val="none"/>
        </w:rPr>
        <w:t>持续实施</w:t>
      </w:r>
      <w:r>
        <w:rPr>
          <w:rFonts w:hint="eastAsia" w:ascii="Times New Roman" w:hAnsi="Times New Roman" w:eastAsia="仿宋_GB2312" w:cs="Times New Roman"/>
          <w:color w:val="auto"/>
          <w:sz w:val="32"/>
          <w:szCs w:val="32"/>
          <w:highlight w:val="none"/>
        </w:rPr>
        <w:t>科技特派员制度，围绕乡村科技需求，开展技术培训、传播先进适用技术、</w:t>
      </w:r>
      <w:r>
        <w:rPr>
          <w:rFonts w:hint="eastAsia" w:ascii="Times New Roman" w:hAnsi="Times New Roman" w:eastAsia="仿宋_GB2312" w:cs="Times New Roman"/>
          <w:color w:val="auto"/>
          <w:sz w:val="32"/>
          <w:szCs w:val="32"/>
          <w:highlight w:val="none"/>
          <w:lang w:val="en-US" w:eastAsia="zh-CN"/>
        </w:rPr>
        <w:t>选聘</w:t>
      </w:r>
      <w:r>
        <w:rPr>
          <w:rFonts w:hint="eastAsia" w:ascii="Times New Roman" w:hAnsi="Times New Roman" w:eastAsia="仿宋_GB2312" w:cs="Times New Roman"/>
          <w:color w:val="auto"/>
          <w:sz w:val="32"/>
          <w:szCs w:val="32"/>
          <w:highlight w:val="none"/>
        </w:rPr>
        <w:t>科技特派员</w:t>
      </w:r>
      <w:r>
        <w:rPr>
          <w:rFonts w:hint="eastAsia" w:ascii="Times New Roman" w:hAnsi="Times New Roman" w:eastAsia="仿宋_GB2312" w:cs="Times New Roman"/>
          <w:color w:val="auto"/>
          <w:sz w:val="32"/>
          <w:szCs w:val="32"/>
          <w:highlight w:val="none"/>
          <w:lang w:eastAsia="zh-CN"/>
        </w:rPr>
        <w:t>，开展</w:t>
      </w:r>
      <w:r>
        <w:rPr>
          <w:rFonts w:hint="eastAsia" w:ascii="Times New Roman" w:hAnsi="Times New Roman" w:eastAsia="仿宋_GB2312" w:cs="Times New Roman"/>
          <w:color w:val="auto"/>
          <w:sz w:val="32"/>
          <w:szCs w:val="32"/>
          <w:highlight w:val="none"/>
        </w:rPr>
        <w:t>培养乡土科技人才、培育苗头产业、拓展销售渠道等服务</w:t>
      </w:r>
      <w:r>
        <w:rPr>
          <w:rFonts w:ascii="Times New Roman" w:hAnsi="Times New Roman" w:eastAsia="仿宋_GB2312" w:cs="Times New Roman"/>
          <w:color w:val="auto"/>
          <w:sz w:val="32"/>
          <w:szCs w:val="32"/>
          <w:highlight w:val="none"/>
        </w:rPr>
        <w:t>。</w:t>
      </w:r>
    </w:p>
    <w:p w14:paraId="5DDF6C86">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创新科技成果推广与服务模式</w:t>
      </w:r>
      <w:r>
        <w:rPr>
          <w:rFonts w:hint="eastAsia"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rPr>
        <w:t>探索农业科技创新、农业科技成果推广新路径新机制，推动技术、人才、资金等生产要素向乡村流动。依托许昌市农业技术推广站</w:t>
      </w:r>
      <w:r>
        <w:rPr>
          <w:rFonts w:ascii="Times New Roman" w:hAnsi="Times New Roman" w:eastAsia="仿宋_GB2312" w:cs="Times New Roman"/>
          <w:color w:val="auto"/>
          <w:sz w:val="32"/>
          <w:szCs w:val="32"/>
          <w:highlight w:val="none"/>
        </w:rPr>
        <w:t>定期举办“科技成果直通车”乡村专场活动，促进高校院所与乡镇企业精准对接。</w:t>
      </w:r>
      <w:r>
        <w:rPr>
          <w:rFonts w:hint="eastAsia" w:ascii="Times New Roman" w:hAnsi="Times New Roman" w:eastAsia="仿宋_GB2312" w:cs="Times New Roman"/>
          <w:color w:val="auto"/>
          <w:sz w:val="32"/>
          <w:szCs w:val="32"/>
          <w:highlight w:val="none"/>
        </w:rPr>
        <w:t>鼓励高校和科研院所开展乡村振兴智力服务，推广科技小院、专家大院、院</w:t>
      </w:r>
      <w:r>
        <w:rPr>
          <w:rFonts w:hint="eastAsia" w:ascii="Times New Roman" w:hAnsi="Times New Roman" w:eastAsia="仿宋_GB2312" w:cs="Times New Roman"/>
          <w:color w:val="auto"/>
          <w:sz w:val="32"/>
          <w:szCs w:val="32"/>
          <w:highlight w:val="none"/>
          <w:lang w:eastAsia="zh-CN"/>
        </w:rPr>
        <w:t>（校）</w:t>
      </w:r>
      <w:r>
        <w:rPr>
          <w:rFonts w:hint="eastAsia" w:ascii="Times New Roman" w:hAnsi="Times New Roman" w:eastAsia="仿宋_GB2312" w:cs="Times New Roman"/>
          <w:color w:val="auto"/>
          <w:sz w:val="32"/>
          <w:szCs w:val="32"/>
          <w:highlight w:val="none"/>
        </w:rPr>
        <w:t>地共建等农业科技社会化服务模式。</w:t>
      </w:r>
      <w:r>
        <w:rPr>
          <w:rFonts w:ascii="Times New Roman" w:hAnsi="Times New Roman" w:eastAsia="仿宋_GB2312" w:cs="Times New Roman"/>
          <w:color w:val="auto"/>
          <w:sz w:val="32"/>
          <w:szCs w:val="32"/>
          <w:highlight w:val="none"/>
        </w:rPr>
        <w:t>完善科技金融服务体系，推动科技金融服务模式向“政策+服务+金融”三位一体综合服务模式转型，提升科技金融服务的综合性和精准性。</w:t>
      </w:r>
    </w:p>
    <w:p w14:paraId="3A3B9216">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15" w:name="_Toc215133886"/>
      <w:bookmarkStart w:id="16" w:name="OLE_LINK79"/>
      <w:r>
        <w:rPr>
          <w:rFonts w:ascii="Times New Roman" w:hAnsi="Times New Roman" w:eastAsia="宋体" w:cs="Times New Roman"/>
          <w:b/>
          <w:bCs/>
          <w:color w:val="auto"/>
          <w:sz w:val="32"/>
          <w:szCs w:val="32"/>
          <w:highlight w:val="none"/>
        </w:rPr>
        <w:t>第二节  培育县域特色产业集群</w:t>
      </w:r>
      <w:bookmarkEnd w:id="15"/>
    </w:p>
    <w:p w14:paraId="1A60251E">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立足各县（市、区）资源禀赋和产业基础，以构建县域乡村富民产业体系为目标，坚持差异化、特色化、品牌化、集群化发展路径，推动产业向开发区和园区集中，要素向优势产业汇聚，技术向产业链核心攻坚，形成“一县一集群、一镇一特色”的县域经济发展新格局。</w:t>
      </w:r>
    </w:p>
    <w:p w14:paraId="757CC28B">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提升县域特色产业发展能级。</w:t>
      </w:r>
      <w:r>
        <w:rPr>
          <w:rFonts w:ascii="Times New Roman" w:hAnsi="Times New Roman" w:eastAsia="仿宋_GB2312" w:cs="Times New Roman"/>
          <w:color w:val="auto"/>
          <w:sz w:val="32"/>
          <w:szCs w:val="32"/>
          <w:highlight w:val="none"/>
        </w:rPr>
        <w:t>实施集群培优提质行动，</w:t>
      </w:r>
      <w:r>
        <w:rPr>
          <w:rFonts w:hint="eastAsia" w:ascii="Times New Roman" w:hAnsi="Times New Roman" w:eastAsia="仿宋_GB2312" w:cs="Times New Roman"/>
          <w:color w:val="auto"/>
          <w:sz w:val="32"/>
          <w:szCs w:val="32"/>
          <w:highlight w:val="none"/>
          <w:lang w:val="en-US" w:eastAsia="zh-CN"/>
        </w:rPr>
        <w:t>推动县（市）主动融入全市产业“五城”和“363+N”产业体系，立足自身资源禀赋与产业基础，聚焦主导产业精耕细作、集中发力，推动县域装备制造产业差异化发展，建设长葛智能电力装备和工程机械、襄城食品机械、禹州环保矿山装备产业集群；加快禹州煤炭建材和钧陶瓷、长葛再生金属和卫浴洁具、襄城煤化工、鄢陵家具板材绿色化、智能化改造；提升长葛市原料药、禹州市中医药、鄢陵县医用卫材创新水平；做精县域超硬材料、硅碳材料、化工材料、新型功能材料细分赛道；增强县域发制品、绿色食品、轻工纺织产业集聚度和品牌话语权；聚焦前沿领域，推动县域现有产业跨界融合创新，建设一批应用场景和示范项目，打造高成长性产业新赛道。</w:t>
      </w:r>
    </w:p>
    <w:p w14:paraId="049B96FA">
      <w:pPr>
        <w:overflowPunct w:val="0"/>
        <w:spacing w:line="600" w:lineRule="exact"/>
        <w:ind w:firstLine="643" w:firstLineChars="200"/>
        <w:rPr>
          <w:rFonts w:hint="eastAsia" w:ascii="Times New Roman" w:hAnsi="Times New Roman" w:eastAsia="仿宋_GB2312" w:cs="Times New Roman"/>
          <w:b w:val="0"/>
          <w:bCs w:val="0"/>
          <w:color w:val="auto"/>
          <w:sz w:val="32"/>
          <w:szCs w:val="32"/>
          <w:highlight w:val="none"/>
          <w:lang w:eastAsia="zh-CN"/>
        </w:rPr>
      </w:pPr>
      <w:r>
        <w:rPr>
          <w:rFonts w:ascii="Times New Roman" w:hAnsi="Times New Roman" w:eastAsia="仿宋_GB2312" w:cs="Times New Roman"/>
          <w:b/>
          <w:bCs/>
          <w:color w:val="auto"/>
          <w:sz w:val="32"/>
          <w:szCs w:val="32"/>
          <w:highlight w:val="none"/>
        </w:rPr>
        <w:t>构建“5+4+3”乡村富民产业体系。</w:t>
      </w:r>
      <w:r>
        <w:rPr>
          <w:rFonts w:ascii="Times New Roman" w:hAnsi="Times New Roman" w:eastAsia="仿宋_GB2312" w:cs="Times New Roman"/>
          <w:color w:val="auto"/>
          <w:sz w:val="32"/>
          <w:szCs w:val="32"/>
          <w:highlight w:val="none"/>
        </w:rPr>
        <w:t>实施“一链一策”，精准培育12条产业链。</w:t>
      </w:r>
      <w:r>
        <w:rPr>
          <w:rFonts w:ascii="Times New Roman" w:hAnsi="Times New Roman" w:eastAsia="仿宋_GB2312" w:cs="Times New Roman"/>
          <w:b/>
          <w:bCs/>
          <w:color w:val="auto"/>
          <w:sz w:val="32"/>
          <w:szCs w:val="32"/>
          <w:highlight w:val="none"/>
        </w:rPr>
        <w:t>做大做强五大优势产业</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以襄城县、建安区为重点培育豆制品产业链；以禹州市、襄城县为重点发展红薯产业链；依托建安区食用菌现代化生产加工基地、襄城县和鄢陵县的辣椒种植、建安区、长葛市的大棚蔬菜种植发展菌蔬产业链；以生猪调出大县为重点带动全市生猪全产业链发展，以禹州市、建安区为重点打造牛羊优势产区，加快水产养殖池塘标准化改造，发展设施渔业，综合发展肉制品产业链；依托禹州市、长葛市、鄢陵县、襄城县、建安区优质小麦生产，鼓励粮食粗加工与精深加工，依托面制品加工企业开发深加工产品，引导粮食企业向各类园区聚集，优化提升配套服务功能，培育发展面制品产业链。</w:t>
      </w:r>
      <w:r>
        <w:rPr>
          <w:rFonts w:ascii="Times New Roman" w:hAnsi="Times New Roman" w:eastAsia="仿宋_GB2312" w:cs="Times New Roman"/>
          <w:b/>
          <w:bCs/>
          <w:color w:val="auto"/>
          <w:sz w:val="32"/>
          <w:szCs w:val="32"/>
          <w:highlight w:val="none"/>
        </w:rPr>
        <w:t>做精做优四大特色产业</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以建安区、长葛市为重点，融合中原种业创新示范园等核心节点，加快建设黄淮种业科创产业园，形成以政府为主导、企业为创新主体、产学研紧密结合的种业产业发展格局；打造蜂产品产业化集群，大力发展蜂产品精深加工与产品研发，持续培育蜂产品知名品牌，打造蜂产业链；以禹州市为重点全面提升中药材质量效益水平，依托鄢陵县花木优势打造杜仲产业园区，加快发展国家中医药传承创新发展试验区建设，依托头部企业带动中药材全产业链发展；以全国核心烟区襄城县、禹州市、建安区为重点，打造烟叶产业链。</w:t>
      </w:r>
      <w:r>
        <w:rPr>
          <w:rFonts w:ascii="Times New Roman" w:hAnsi="Times New Roman" w:eastAsia="仿宋_GB2312" w:cs="Times New Roman"/>
          <w:b/>
          <w:bCs/>
          <w:color w:val="auto"/>
          <w:sz w:val="32"/>
          <w:szCs w:val="32"/>
          <w:highlight w:val="none"/>
        </w:rPr>
        <w:t>培育壮大三大惠农产业</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依托鄢陵县花木优势和禹州市优质柿子、优质杏等特色林果基地，培育花木林果产业链；以禹州市、建安区、鄢陵县、襄城县等为重点，深挖钧瓷、刺绣、社火道具等传统技艺潜力，培育农文旅融合产业链；加快提升和完善乡村商贸服务网点，补齐乡村商贸和物流体系短板，积极发展乡村电商业务，打造乡村商贸物流产业链。</w:t>
      </w:r>
    </w:p>
    <w:p w14:paraId="05678092">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实施“一镇一特”专业镇培育工程。</w:t>
      </w:r>
      <w:r>
        <w:rPr>
          <w:rFonts w:ascii="Times New Roman" w:hAnsi="Times New Roman" w:eastAsia="仿宋_GB2312" w:cs="Times New Roman"/>
          <w:color w:val="auto"/>
          <w:sz w:val="32"/>
          <w:szCs w:val="32"/>
          <w:highlight w:val="none"/>
        </w:rPr>
        <w:t>积极争取国家和省级农业产业强镇项目，培育一批产业强镇。做强鄢陵现代花木、襄城烟叶</w:t>
      </w:r>
      <w:r>
        <w:rPr>
          <w:rFonts w:hint="eastAsia" w:ascii="Times New Roman" w:hAnsi="Times New Roman" w:eastAsia="仿宋_GB2312" w:cs="Times New Roman"/>
          <w:color w:val="auto"/>
          <w:sz w:val="32"/>
          <w:szCs w:val="32"/>
          <w:highlight w:val="none"/>
          <w:lang w:eastAsia="zh-CN"/>
        </w:rPr>
        <w:t>等</w:t>
      </w:r>
      <w:r>
        <w:rPr>
          <w:rFonts w:ascii="Times New Roman" w:hAnsi="Times New Roman" w:eastAsia="仿宋_GB2312" w:cs="Times New Roman"/>
          <w:color w:val="auto"/>
          <w:sz w:val="32"/>
          <w:szCs w:val="32"/>
          <w:highlight w:val="none"/>
        </w:rPr>
        <w:t>专业镇、特色镇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推进</w:t>
      </w:r>
      <w:r>
        <w:rPr>
          <w:rFonts w:hint="default" w:ascii="Times New Roman" w:hAnsi="Times New Roman" w:eastAsia="仿宋_GB2312" w:cs="Times New Roman"/>
          <w:color w:val="auto"/>
          <w:kern w:val="2"/>
          <w:sz w:val="32"/>
          <w:szCs w:val="32"/>
          <w:highlight w:val="none"/>
          <w:lang w:val="en-US" w:eastAsia="zh-CN" w:bidi="ar-SA"/>
        </w:rPr>
        <w:t>长葛市佛耳湖镇</w:t>
      </w:r>
      <w:r>
        <w:rPr>
          <w:rFonts w:hint="eastAsia" w:ascii="Times New Roman" w:hAnsi="Times New Roman" w:eastAsia="仿宋_GB2312" w:cs="Times New Roman"/>
          <w:color w:val="auto"/>
          <w:kern w:val="2"/>
          <w:sz w:val="32"/>
          <w:szCs w:val="32"/>
          <w:highlight w:val="none"/>
          <w:lang w:val="en-US" w:eastAsia="zh-CN" w:bidi="ar-SA"/>
        </w:rPr>
        <w:t>、石固镇</w:t>
      </w:r>
      <w:r>
        <w:rPr>
          <w:rFonts w:hint="default" w:ascii="Times New Roman" w:hAnsi="Times New Roman" w:eastAsia="仿宋_GB2312" w:cs="Times New Roman"/>
          <w:color w:val="auto"/>
          <w:kern w:val="2"/>
          <w:sz w:val="32"/>
          <w:szCs w:val="32"/>
          <w:highlight w:val="none"/>
          <w:lang w:val="en-US" w:eastAsia="zh-CN" w:bidi="ar-SA"/>
        </w:rPr>
        <w:t>农业产业强镇项目建设。</w:t>
      </w:r>
      <w:r>
        <w:rPr>
          <w:rFonts w:hint="default" w:ascii="Times New Roman" w:hAnsi="Times New Roman" w:eastAsia="仿宋_GB2312" w:cs="Times New Roman"/>
          <w:color w:val="auto"/>
          <w:sz w:val="32"/>
          <w:szCs w:val="32"/>
          <w:highlight w:val="none"/>
          <w:lang w:eastAsia="zh-CN"/>
        </w:rPr>
        <w:t>实施长葛市蜂产业振兴项目，建设集蜂产品仓储、加工、电商、物流为一体的综合性园区。</w:t>
      </w:r>
      <w:r>
        <w:rPr>
          <w:rFonts w:ascii="Times New Roman" w:hAnsi="Times New Roman" w:eastAsia="仿宋_GB2312" w:cs="Times New Roman"/>
          <w:color w:val="auto"/>
          <w:sz w:val="32"/>
          <w:szCs w:val="32"/>
          <w:highlight w:val="none"/>
        </w:rPr>
        <w:t>强化规划引领，推动镇与开发区、农业园区建立紧密的产业链协作关系，布局标准化生产基地、冷链物流和精深加工园区，形成“产地初加工+园区精加工+镇域集散”的产业格局。培育一批特色产业村，推动标准化生产、规模化经营和市场化运营，支持村级组织与龙头企业、合作社共建标准化原料基地。积极发展农村电商，</w:t>
      </w:r>
      <w:r>
        <w:rPr>
          <w:rFonts w:hint="eastAsia" w:ascii="Times New Roman" w:hAnsi="Times New Roman" w:eastAsia="仿宋_GB2312" w:cs="Times New Roman"/>
          <w:color w:val="auto"/>
          <w:sz w:val="32"/>
          <w:szCs w:val="32"/>
          <w:highlight w:val="none"/>
          <w:lang w:eastAsia="zh-CN"/>
        </w:rPr>
        <w:t>推动</w:t>
      </w:r>
      <w:r>
        <w:rPr>
          <w:rFonts w:ascii="Times New Roman" w:hAnsi="Times New Roman" w:eastAsia="仿宋_GB2312" w:cs="Times New Roman"/>
          <w:color w:val="auto"/>
          <w:sz w:val="32"/>
          <w:szCs w:val="32"/>
          <w:highlight w:val="none"/>
        </w:rPr>
        <w:t>“互联网+”农产品出村进城，拓宽特色产品网络销售渠道。</w:t>
      </w:r>
    </w:p>
    <w:p w14:paraId="6EBC1D5B">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强化农产品区域公用品牌建设。</w:t>
      </w:r>
      <w:r>
        <w:rPr>
          <w:rFonts w:ascii="Times New Roman" w:hAnsi="Times New Roman" w:eastAsia="仿宋_GB2312" w:cs="Times New Roman"/>
          <w:color w:val="auto"/>
          <w:sz w:val="32"/>
          <w:szCs w:val="32"/>
          <w:highlight w:val="none"/>
        </w:rPr>
        <w:t>实施农业品牌精品培育计划，</w:t>
      </w:r>
      <w:r>
        <w:rPr>
          <w:rFonts w:hint="eastAsia" w:ascii="Times New Roman" w:hAnsi="Times New Roman" w:eastAsia="仿宋_GB2312" w:cs="Times New Roman"/>
          <w:color w:val="auto"/>
          <w:sz w:val="32"/>
          <w:szCs w:val="32"/>
          <w:highlight w:val="none"/>
        </w:rPr>
        <w:t>加快以“许农臻选”为统领的农业区域品牌建设</w:t>
      </w:r>
      <w:r>
        <w:rPr>
          <w:rFonts w:hint="eastAsia" w:ascii="Times New Roman" w:hAnsi="Times New Roman" w:eastAsia="仿宋_GB2312" w:cs="Times New Roman"/>
          <w:color w:val="auto"/>
          <w:sz w:val="32"/>
          <w:szCs w:val="32"/>
          <w:highlight w:val="none"/>
          <w:lang w:eastAsia="zh-CN"/>
        </w:rPr>
        <w:t>。</w:t>
      </w:r>
      <w:r>
        <w:rPr>
          <w:rFonts w:hint="eastAsia" w:ascii="仿宋_GB2312" w:hAnsi="仿宋_GB2312" w:eastAsia="仿宋_GB2312" w:cs="仿宋_GB2312"/>
          <w:color w:val="auto"/>
          <w:sz w:val="32"/>
          <w:szCs w:val="32"/>
          <w:lang w:eastAsia="zh-CN"/>
        </w:rPr>
        <w:t>大力</w:t>
      </w:r>
      <w:r>
        <w:rPr>
          <w:rFonts w:hint="eastAsia" w:ascii="仿宋_GB2312" w:hAnsi="仿宋_GB2312" w:eastAsia="仿宋_GB2312" w:cs="仿宋_GB2312"/>
          <w:color w:val="auto"/>
          <w:sz w:val="32"/>
          <w:szCs w:val="32"/>
        </w:rPr>
        <w:t>发展以“禹州中药材”“禹州粉条”“长葛蜂</w:t>
      </w:r>
      <w:r>
        <w:rPr>
          <w:rFonts w:hint="eastAsia" w:ascii="仿宋_GB2312" w:hAnsi="仿宋_GB2312" w:eastAsia="仿宋_GB2312" w:cs="仿宋_GB2312"/>
          <w:color w:val="auto"/>
          <w:sz w:val="32"/>
          <w:szCs w:val="32"/>
          <w:lang w:eastAsia="zh-CN"/>
        </w:rPr>
        <w:t>产品</w:t>
      </w:r>
      <w:r>
        <w:rPr>
          <w:rFonts w:hint="eastAsia" w:ascii="仿宋_GB2312" w:hAnsi="仿宋_GB2312" w:eastAsia="仿宋_GB2312" w:cs="仿宋_GB2312"/>
          <w:color w:val="auto"/>
          <w:sz w:val="32"/>
          <w:szCs w:val="32"/>
        </w:rPr>
        <w:t>”“襄</w:t>
      </w:r>
      <w:r>
        <w:rPr>
          <w:rFonts w:hint="eastAsia" w:ascii="仿宋_GB2312" w:hAnsi="仿宋_GB2312" w:eastAsia="仿宋_GB2312" w:cs="仿宋_GB2312"/>
          <w:color w:val="auto"/>
          <w:sz w:val="32"/>
          <w:szCs w:val="32"/>
          <w:lang w:eastAsia="zh-CN"/>
        </w:rPr>
        <w:t>城</w:t>
      </w:r>
      <w:r>
        <w:rPr>
          <w:rFonts w:hint="eastAsia" w:ascii="仿宋_GB2312" w:hAnsi="仿宋_GB2312" w:eastAsia="仿宋_GB2312" w:cs="仿宋_GB2312"/>
          <w:color w:val="auto"/>
          <w:sz w:val="32"/>
          <w:szCs w:val="32"/>
        </w:rPr>
        <w:t>红薯”“河街腐竹”</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为代表的优势特色地域农产品</w:t>
      </w:r>
      <w:r>
        <w:rPr>
          <w:rFonts w:hint="eastAsia" w:ascii="仿宋_GB2312" w:hAnsi="仿宋_GB2312" w:eastAsia="仿宋_GB2312" w:cs="仿宋_GB2312"/>
          <w:color w:val="auto"/>
          <w:sz w:val="32"/>
          <w:szCs w:val="32"/>
          <w:lang w:eastAsia="zh-CN"/>
        </w:rPr>
        <w:t>，提高特色农产品影响力。</w:t>
      </w:r>
      <w:r>
        <w:rPr>
          <w:rFonts w:hint="eastAsia" w:ascii="Times New Roman" w:hAnsi="Times New Roman" w:eastAsia="仿宋_GB2312" w:cs="仿宋_GB2312"/>
          <w:color w:val="auto"/>
          <w:sz w:val="32"/>
          <w:szCs w:val="32"/>
          <w:lang w:eastAsia="zh-CN" w:bidi="ar"/>
        </w:rPr>
        <w:t>鼓励开展绿色食品、</w:t>
      </w:r>
      <w:r>
        <w:rPr>
          <w:rFonts w:hint="eastAsia" w:ascii="Times New Roman" w:hAnsi="Times New Roman" w:eastAsia="仿宋_GB2312" w:cs="仿宋_GB2312"/>
          <w:color w:val="auto"/>
          <w:sz w:val="32"/>
          <w:szCs w:val="32"/>
          <w:lang w:bidi="ar"/>
        </w:rPr>
        <w:t>有机农产品、良好农业规范（GAP）</w:t>
      </w:r>
      <w:r>
        <w:rPr>
          <w:rFonts w:hint="eastAsia" w:ascii="Times New Roman" w:hAnsi="Times New Roman" w:eastAsia="仿宋_GB2312" w:cs="仿宋_GB2312"/>
          <w:color w:val="auto"/>
          <w:sz w:val="32"/>
          <w:szCs w:val="32"/>
          <w:lang w:eastAsia="zh-CN" w:bidi="ar"/>
        </w:rPr>
        <w:t>、国家农</w:t>
      </w:r>
      <w:r>
        <w:rPr>
          <w:rFonts w:hint="eastAsia" w:ascii="仿宋_GB2312" w:hAnsi="仿宋_GB2312" w:eastAsia="仿宋_GB2312" w:cs="仿宋_GB2312"/>
          <w:color w:val="auto"/>
          <w:sz w:val="32"/>
          <w:szCs w:val="32"/>
          <w:lang w:eastAsia="zh-CN"/>
        </w:rPr>
        <w:t>产品地理标志、国家名特优新农产品等认证，创建一批“优而特”“小而美”的特色产品</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highlight w:val="none"/>
          <w:lang w:eastAsia="zh-CN"/>
        </w:rPr>
        <w:t>借鉴胖东来品控体系和服务标准</w:t>
      </w:r>
      <w:r>
        <w:rPr>
          <w:rFonts w:ascii="Times New Roman" w:hAnsi="Times New Roman" w:eastAsia="仿宋_GB2312" w:cs="Times New Roman"/>
          <w:color w:val="auto"/>
          <w:sz w:val="32"/>
          <w:szCs w:val="32"/>
          <w:highlight w:val="none"/>
        </w:rPr>
        <w:t>，促进农业企业提质量、强品牌、拓销路、增效益。积极利用中国国际农产品交易会等平台，拓展新媒体营销渠道，提升许昌农产品的市场知名度与附加值。</w:t>
      </w:r>
    </w:p>
    <w:p w14:paraId="41BF0E5D">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17" w:name="_Toc215133887"/>
      <w:r>
        <w:rPr>
          <w:rFonts w:ascii="Times New Roman" w:hAnsi="Times New Roman" w:eastAsia="宋体" w:cs="Times New Roman"/>
          <w:b/>
          <w:bCs/>
          <w:color w:val="auto"/>
          <w:sz w:val="32"/>
          <w:szCs w:val="32"/>
          <w:highlight w:val="none"/>
        </w:rPr>
        <w:t>第三节  促进农村一二三产业深度融合发展</w:t>
      </w:r>
      <w:bookmarkEnd w:id="17"/>
    </w:p>
    <w:p w14:paraId="5996EB9D">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以延伸产业链、提升价值链、畅通供应链为重点，推动农业与工业、文旅、康养、电商等产业深度融合，完善联农带农富农机制，持续拓宽农民增收渠道。</w:t>
      </w:r>
    </w:p>
    <w:p w14:paraId="4E93E32E">
      <w:pPr>
        <w:overflowPunct w:val="0"/>
        <w:spacing w:line="60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b/>
          <w:bCs/>
          <w:color w:val="auto"/>
          <w:sz w:val="32"/>
          <w:szCs w:val="32"/>
          <w:highlight w:val="none"/>
        </w:rPr>
        <w:t>培育多元融合新业态。</w:t>
      </w:r>
      <w:r>
        <w:rPr>
          <w:rFonts w:ascii="Times New Roman" w:hAnsi="Times New Roman" w:eastAsia="仿宋_GB2312" w:cs="Times New Roman"/>
          <w:color w:val="auto"/>
          <w:sz w:val="32"/>
          <w:szCs w:val="32"/>
          <w:highlight w:val="none"/>
        </w:rPr>
        <w:t>做强农产品精深加工，围绕“粮头食尾”“农头工尾”，</w:t>
      </w:r>
      <w:r>
        <w:rPr>
          <w:rFonts w:hint="eastAsia" w:ascii="Times New Roman" w:hAnsi="Times New Roman" w:eastAsia="仿宋_GB2312" w:cs="仿宋_GB2312"/>
          <w:color w:val="auto"/>
          <w:sz w:val="32"/>
          <w:szCs w:val="40"/>
        </w:rPr>
        <w:t>引育一批精深加工企业</w:t>
      </w:r>
      <w:r>
        <w:rPr>
          <w:rFonts w:hint="eastAsia" w:ascii="Times New Roman" w:hAnsi="Times New Roman" w:eastAsia="仿宋_GB2312" w:cs="仿宋_GB2312"/>
          <w:color w:val="auto"/>
          <w:sz w:val="32"/>
          <w:szCs w:val="40"/>
          <w:lang w:eastAsia="zh-CN"/>
        </w:rPr>
        <w:t>，</w:t>
      </w:r>
      <w:r>
        <w:rPr>
          <w:rFonts w:hint="eastAsia" w:ascii="Times New Roman" w:hAnsi="Times New Roman" w:eastAsia="仿宋_GB2312" w:cs="仿宋_GB2312"/>
          <w:color w:val="auto"/>
          <w:sz w:val="32"/>
          <w:szCs w:val="40"/>
          <w:lang w:val="en-US" w:eastAsia="zh-CN"/>
        </w:rPr>
        <w:t>做优做强</w:t>
      </w:r>
      <w:r>
        <w:rPr>
          <w:rFonts w:ascii="Times New Roman" w:hAnsi="Times New Roman" w:eastAsia="仿宋_GB2312" w:cs="Times New Roman"/>
          <w:color w:val="auto"/>
          <w:sz w:val="32"/>
          <w:szCs w:val="32"/>
          <w:highlight w:val="none"/>
        </w:rPr>
        <w:t>中药材、蜂产品、畜产品、面制品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红薯制品</w:t>
      </w:r>
      <w:r>
        <w:rPr>
          <w:rFonts w:hint="eastAsia" w:ascii="Times New Roman" w:hAnsi="Times New Roman" w:eastAsia="仿宋_GB2312" w:cs="仿宋_GB2312"/>
          <w:color w:val="auto"/>
          <w:sz w:val="32"/>
          <w:szCs w:val="40"/>
          <w:lang w:val="en-US" w:eastAsia="zh-CN"/>
        </w:rPr>
        <w:t>、豆制品、食用菌等优势</w:t>
      </w:r>
      <w:r>
        <w:rPr>
          <w:rFonts w:ascii="Times New Roman" w:hAnsi="Times New Roman" w:eastAsia="仿宋_GB2312" w:cs="Times New Roman"/>
          <w:color w:val="auto"/>
          <w:sz w:val="32"/>
          <w:szCs w:val="32"/>
          <w:highlight w:val="none"/>
        </w:rPr>
        <w:t>农产品的精深加工和综合利用，提升农产品加工转化率。</w:t>
      </w:r>
      <w:r>
        <w:rPr>
          <w:rFonts w:hint="eastAsia" w:ascii="Times New Roman" w:hAnsi="Times New Roman" w:eastAsia="仿宋_GB2312" w:cs="Times New Roman"/>
          <w:b w:val="0"/>
          <w:bCs w:val="0"/>
          <w:color w:val="auto"/>
          <w:kern w:val="2"/>
          <w:sz w:val="32"/>
          <w:szCs w:val="32"/>
          <w:highlight w:val="none"/>
          <w:lang w:val="en-US" w:eastAsia="zh-CN" w:bidi="ar-SA"/>
        </w:rPr>
        <w:t>稳定烟叶种植面积，培育“上六片”“朱砂烟”等特色品牌，打造以襄城县为龙头的豫中经典浓香生态带。</w:t>
      </w:r>
      <w:r>
        <w:rPr>
          <w:rFonts w:ascii="Times New Roman" w:hAnsi="Times New Roman" w:eastAsia="仿宋_GB2312" w:cs="Times New Roman"/>
          <w:color w:val="auto"/>
          <w:sz w:val="32"/>
          <w:szCs w:val="32"/>
          <w:highlight w:val="none"/>
        </w:rPr>
        <w:t>做活“农业+”融合业态，</w:t>
      </w:r>
      <w:r>
        <w:rPr>
          <w:rFonts w:hint="default" w:ascii="Times New Roman" w:hAnsi="Times New Roman" w:eastAsia="仿宋_GB2312" w:cs="Times New Roman"/>
          <w:color w:val="auto"/>
          <w:sz w:val="32"/>
          <w:szCs w:val="32"/>
          <w:highlight w:val="none"/>
          <w:lang w:val="en-US" w:eastAsia="zh-CN"/>
        </w:rPr>
        <w:t>依托禹州市、鄢陵县、襄城县丰富的医疗资源和生态资源，发展高端医疗、康复与护理、健康信息、健康体检等健康养老服务。围绕禹州市钧瓷文化资源，持续开发钧瓷品牌体验路线，深入打造</w:t>
      </w:r>
      <w:r>
        <w:rPr>
          <w:rFonts w:hint="eastAsia" w:ascii="Times New Roman" w:hAnsi="Times New Roman" w:eastAsia="仿宋_GB2312" w:cs="Times New Roman"/>
          <w:color w:val="auto"/>
          <w:sz w:val="32"/>
          <w:szCs w:val="32"/>
          <w:highlight w:val="none"/>
          <w:lang w:val="en-US" w:eastAsia="zh-CN"/>
        </w:rPr>
        <w:t>研学</w:t>
      </w:r>
      <w:r>
        <w:rPr>
          <w:rFonts w:hint="default" w:ascii="Times New Roman" w:hAnsi="Times New Roman" w:eastAsia="仿宋_GB2312" w:cs="Times New Roman"/>
          <w:color w:val="auto"/>
          <w:sz w:val="32"/>
          <w:szCs w:val="32"/>
          <w:highlight w:val="none"/>
          <w:lang w:val="en-US" w:eastAsia="zh-CN"/>
        </w:rPr>
        <w:t>游，加快推进神垕古镇4A级景区提升改造等重大文旅项目建设，提升钧瓷的知名度和品牌价值。挖掘刺绣、社火道具等非物质文化遗产资源，推动社火等非遗工坊提档升级，培育地域特色突出、产品特色鲜明的社火地标产品，形成“一镇一业、一村一品”的发展格局。围绕腐竹、蜂产品、猪蹄等我市优势农产品资源，持续推进“特色产业+电子商务”发展模式，培育一批具有许昌地域文化元素、特色IP的电商品牌。</w:t>
      </w:r>
    </w:p>
    <w:p w14:paraId="2B11DE87">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创新农业经营体制机制。</w:t>
      </w:r>
      <w:r>
        <w:rPr>
          <w:rFonts w:hint="eastAsia" w:ascii="Times New Roman" w:hAnsi="Times New Roman" w:eastAsia="仿宋_GB2312" w:cs="Times New Roman"/>
          <w:color w:val="auto"/>
          <w:sz w:val="32"/>
          <w:szCs w:val="32"/>
          <w:highlight w:val="none"/>
        </w:rPr>
        <w:t>推进村企结对共建，引导共建企业到村设立分支机构、建立生产基地、开设帮扶车间、兴办合作社，通过产业结对、土地流转、入园务工等方式，促进农民就业增收、企业降本增效、村集体经济发展。</w:t>
      </w:r>
      <w:r>
        <w:rPr>
          <w:rFonts w:ascii="Times New Roman" w:hAnsi="Times New Roman" w:eastAsia="仿宋_GB2312" w:cs="Times New Roman"/>
          <w:color w:val="auto"/>
          <w:sz w:val="32"/>
          <w:szCs w:val="32"/>
          <w:highlight w:val="none"/>
        </w:rPr>
        <w:t>培育壮大农业市场主体，构建龙头企业“顶天立地”、中小微企业和新型经营主体“铺天盖地”的发展格局。强化对龙头企业的动态管理与精准扶持，分级培育“链主”企业，支持龙头企业做大做强。发展农业产业化联合体，推广紧密型组织模式，组建一批产业化联合体，实现产加销一体化经营。</w:t>
      </w:r>
    </w:p>
    <w:p w14:paraId="32F12ADE">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健全联农带农富农机制。</w:t>
      </w:r>
      <w:r>
        <w:rPr>
          <w:rFonts w:ascii="Times New Roman" w:hAnsi="Times New Roman" w:eastAsia="仿宋_GB2312" w:cs="Times New Roman"/>
          <w:color w:val="auto"/>
          <w:sz w:val="32"/>
          <w:szCs w:val="32"/>
          <w:highlight w:val="none"/>
        </w:rPr>
        <w:t>鼓励农业龙头企业、农民合作社通过订单收购、保底分红、股份合作、利润返还等多种形式，与农户建立紧密的利益联结关系。强化就业与技能带动，引导企业优先吸纳当地农民就近就业，开展针对性职业技能培训。盘活资源增加财产收入，引导农民以土地、劳动力、资金等要素入股经营主体，</w:t>
      </w:r>
      <w:r>
        <w:rPr>
          <w:rFonts w:hint="eastAsia" w:ascii="Times New Roman" w:hAnsi="Times New Roman" w:eastAsia="仿宋_GB2312" w:cs="Times New Roman"/>
          <w:color w:val="auto"/>
          <w:sz w:val="32"/>
          <w:szCs w:val="32"/>
          <w:highlight w:val="none"/>
        </w:rPr>
        <w:t>发展适合家庭经营的产业项目，因地制宜发展庭院经济、林下经济、民宿经济</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拓宽收入来源。</w:t>
      </w:r>
      <w:r>
        <w:rPr>
          <w:rFonts w:hint="eastAsia" w:ascii="Times New Roman" w:hAnsi="Times New Roman" w:eastAsia="仿宋_GB2312" w:cs="Times New Roman"/>
          <w:color w:val="auto"/>
          <w:sz w:val="32"/>
          <w:szCs w:val="32"/>
          <w:highlight w:val="none"/>
          <w:lang w:val="en-US" w:eastAsia="zh-CN"/>
        </w:rPr>
        <w:t>加大</w:t>
      </w:r>
      <w:r>
        <w:rPr>
          <w:rFonts w:hint="eastAsia" w:ascii="Times New Roman" w:hAnsi="Times New Roman" w:eastAsia="仿宋_GB2312" w:cs="Times New Roman"/>
          <w:color w:val="auto"/>
          <w:sz w:val="32"/>
          <w:szCs w:val="32"/>
          <w:highlight w:val="none"/>
        </w:rPr>
        <w:t>农产品初加工、纺织服装、手工艺等劳动密集型产业</w:t>
      </w:r>
      <w:r>
        <w:rPr>
          <w:rFonts w:hint="eastAsia" w:ascii="Times New Roman" w:hAnsi="Times New Roman" w:eastAsia="仿宋_GB2312" w:cs="Times New Roman"/>
          <w:color w:val="auto"/>
          <w:sz w:val="32"/>
          <w:szCs w:val="32"/>
          <w:highlight w:val="none"/>
          <w:lang w:val="en-US" w:eastAsia="zh-CN"/>
        </w:rPr>
        <w:t>布局力度</w:t>
      </w:r>
      <w:r>
        <w:rPr>
          <w:rFonts w:hint="eastAsia" w:ascii="Times New Roman" w:hAnsi="Times New Roman" w:eastAsia="仿宋_GB2312" w:cs="Times New Roman"/>
          <w:color w:val="auto"/>
          <w:sz w:val="32"/>
          <w:szCs w:val="32"/>
          <w:highlight w:val="none"/>
        </w:rPr>
        <w:t>，针对用工需求开展订单式培训，吸纳农村剩余劳动力，实现“家门口就业”。</w:t>
      </w:r>
    </w:p>
    <w:p w14:paraId="6100DB5C">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lang w:val="en-US" w:eastAsia="zh-CN"/>
        </w:rPr>
        <w:t>提升农村集体经营性收入。</w:t>
      </w:r>
      <w:r>
        <w:rPr>
          <w:rFonts w:hint="eastAsia" w:ascii="仿宋_GB2312" w:hAnsi="仿宋_GB2312" w:eastAsia="仿宋_GB2312" w:cs="仿宋_GB2312"/>
          <w:color w:val="auto"/>
          <w:sz w:val="32"/>
          <w:szCs w:val="32"/>
          <w:lang w:val="en-US" w:eastAsia="zh-CN"/>
        </w:rPr>
        <w:t>聚焦农村集体经营性收入持续增长，健全动态监测，对收入异常村“一村一策”精准帮扶。全面完成“三资”数据上图入库，推动网报支付全运行，提高产权交易平台成交额，力争2030年达到5亿元。推广“金融协理员”制度，用好衔接资金培育产业项目，规范党组织领办合作社。落实激励政策，允许各村从当年度集体经营收益增量中提取不超过15%的资金，用于奖励有突出贡献的经营管理人员和村“两委”班子成员，激发干事创业内生动力。</w:t>
      </w:r>
      <w:bookmarkStart w:id="18" w:name="OLE_LINK80"/>
    </w:p>
    <w:bookmarkEnd w:id="16"/>
    <w:bookmarkEnd w:id="18"/>
    <w:p w14:paraId="78EC4D28">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19" w:name="_Toc215133888"/>
      <w:r>
        <w:rPr>
          <w:rFonts w:ascii="Times New Roman" w:hAnsi="Times New Roman" w:eastAsia="宋体" w:cs="Times New Roman"/>
          <w:b/>
          <w:bCs/>
          <w:color w:val="auto"/>
          <w:sz w:val="32"/>
          <w:szCs w:val="32"/>
          <w:highlight w:val="none"/>
        </w:rPr>
        <w:t>第四节  构建城乡产业协同平台载体</w:t>
      </w:r>
      <w:bookmarkEnd w:id="19"/>
    </w:p>
    <w:p w14:paraId="1C58F796">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优化各类开发区、农业园区和特色平台功能，推动城乡要素双向流动、产业互动共生，打造层次分明、功能互补、有机衔接的城乡产业协同发展平台体系。</w:t>
      </w:r>
    </w:p>
    <w:p w14:paraId="1C1EF94E">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推动开发区提质增效</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创新开发区规划、管理、建设、运营机制，</w:t>
      </w:r>
      <w:r>
        <w:rPr>
          <w:rFonts w:hint="eastAsia" w:ascii="Times New Roman" w:hAnsi="Times New Roman" w:eastAsia="仿宋_GB2312" w:cs="Times New Roman"/>
          <w:color w:val="auto"/>
          <w:sz w:val="32"/>
          <w:szCs w:val="32"/>
          <w:highlight w:val="none"/>
          <w:lang w:val="en-US" w:eastAsia="zh-CN"/>
        </w:rPr>
        <w:t>强化产业园区资源整合、产业联动、创新协同，提升运营公司市场化水平，壮大主导产业发展规模和能级，推进数字化转型促进中心建设，打造一批地标性产业集群，强化</w:t>
      </w:r>
      <w:r>
        <w:rPr>
          <w:rFonts w:ascii="Times New Roman" w:hAnsi="Times New Roman" w:eastAsia="仿宋_GB2312" w:cs="Times New Roman"/>
          <w:color w:val="auto"/>
          <w:sz w:val="32"/>
          <w:szCs w:val="32"/>
          <w:highlight w:val="none"/>
        </w:rPr>
        <w:t>开发区产业集聚功能，</w:t>
      </w:r>
      <w:r>
        <w:rPr>
          <w:rFonts w:hint="default" w:ascii="Times New Roman" w:hAnsi="Times New Roman" w:eastAsia="仿宋_GB2312" w:cs="Times New Roman"/>
          <w:strike w:val="0"/>
          <w:dstrike w:val="0"/>
          <w:color w:val="auto"/>
          <w:sz w:val="32"/>
          <w:szCs w:val="32"/>
          <w:highlight w:val="none"/>
          <w:lang w:val="en-US" w:eastAsia="zh-CN"/>
        </w:rPr>
        <w:t>加强低效闲置用地盘活，</w:t>
      </w:r>
      <w:r>
        <w:rPr>
          <w:rFonts w:ascii="Times New Roman" w:hAnsi="Times New Roman" w:eastAsia="仿宋_GB2312" w:cs="Times New Roman"/>
          <w:color w:val="auto"/>
          <w:sz w:val="32"/>
          <w:szCs w:val="32"/>
          <w:highlight w:val="none"/>
        </w:rPr>
        <w:t>提高投资强度和亩均效益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统筹产城园规划布局，推动开发区和城市基础设施、公共服务设施一体化布局，</w:t>
      </w:r>
      <w:r>
        <w:rPr>
          <w:rFonts w:hint="eastAsia" w:ascii="Times New Roman" w:hAnsi="Times New Roman" w:eastAsia="仿宋_GB2312" w:cs="Times New Roman"/>
          <w:strike w:val="0"/>
          <w:dstrike w:val="0"/>
          <w:color w:val="auto"/>
          <w:sz w:val="32"/>
          <w:szCs w:val="32"/>
          <w:highlight w:val="none"/>
          <w:lang w:val="en-US" w:eastAsia="zh-CN"/>
        </w:rPr>
        <w:t>推动产城园高效联动、融合发展、循环赋能。</w:t>
      </w:r>
    </w:p>
    <w:p w14:paraId="33F9FB0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高标准建设现代农业产业园区。</w:t>
      </w:r>
      <w:r>
        <w:rPr>
          <w:rFonts w:hint="eastAsia" w:ascii="Times New Roman" w:hAnsi="Times New Roman" w:eastAsia="仿宋_GB2312" w:cs="Times New Roman"/>
          <w:color w:val="auto"/>
          <w:sz w:val="32"/>
          <w:szCs w:val="32"/>
          <w:highlight w:val="none"/>
        </w:rPr>
        <w:t>推进现代农业产业园建设提质增效，按照“主导产业突出，现代要素集聚，设施装备先进，生产方式绿色，辐射带动有力”要求，推动“生产</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加工+科技+品牌”一体化发展。积极申报国家现代农业产业园。依托许昌市大豆绿色科技产业园和建安区绿色豆制品产业园两大核心载体，强化战略布局，推动两大园区形成“错位发展、优势互补”的协同关系，塑造“南北双星、集群共兴”的产业发展新优势，建成区域领先的现代化豆制品精深加工与集散流通基地。</w:t>
      </w:r>
    </w:p>
    <w:p w14:paraId="0613513C">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搭建城乡产业协同功能平台。</w:t>
      </w:r>
      <w:r>
        <w:rPr>
          <w:rFonts w:hint="eastAsia" w:ascii="Times New Roman" w:hAnsi="Times New Roman" w:eastAsia="仿宋_GB2312" w:cs="Times New Roman"/>
          <w:color w:val="auto"/>
          <w:sz w:val="32"/>
          <w:szCs w:val="32"/>
          <w:highlight w:val="none"/>
        </w:rPr>
        <w:t>聚焦城乡要素高效配置与产业深度融合，统筹构建市级核心引领、县域集群支撑、乡镇节点联动、乡村配套承接的四级功能平台。依托中心城区创新资源集聚优势，做强研发设计、品牌营销、金融服务等高端功能平台；各县（市）立足特色产业，建强专业化产业园区，推动县域产业错位协同、集群发展。激活中心镇产业承载能力，布局小微产业园、乡村车间，打造城乡产业联动中转站。以产业链为纽带，推广</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城市研发+县域制造+乡村配套</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模式，推动城乡产业链式互补、三产融合。健全利益联结机制，促进城乡要素双向自由流动，加快形成空间一体、产业协同、优势互补、共建共享的城乡产业协同发展新格局。</w:t>
      </w:r>
    </w:p>
    <w:p w14:paraId="646BE5CC">
      <w:pPr>
        <w:pStyle w:val="4"/>
        <w:keepNext w:val="0"/>
        <w:overflowPunct w:val="0"/>
        <w:spacing w:before="300" w:after="300" w:line="600" w:lineRule="exact"/>
        <w:ind w:firstLine="0" w:firstLineChars="0"/>
        <w:jc w:val="center"/>
        <w:rPr>
          <w:rFonts w:ascii="Times New Roman" w:hAnsi="Times New Roman" w:eastAsia="方正小标宋简体" w:cs="Times New Roman"/>
          <w:b w:val="0"/>
          <w:bCs w:val="0"/>
          <w:color w:val="auto"/>
          <w:sz w:val="32"/>
          <w:szCs w:val="32"/>
          <w:highlight w:val="none"/>
        </w:rPr>
      </w:pPr>
      <w:bookmarkStart w:id="20" w:name="_Toc215133889"/>
      <w:r>
        <w:rPr>
          <w:rFonts w:ascii="Times New Roman" w:hAnsi="Times New Roman" w:eastAsia="方正小标宋简体" w:cs="Times New Roman"/>
          <w:b w:val="0"/>
          <w:bCs w:val="0"/>
          <w:color w:val="auto"/>
          <w:sz w:val="32"/>
          <w:szCs w:val="32"/>
          <w:highlight w:val="none"/>
        </w:rPr>
        <w:t xml:space="preserve">第五章  </w:t>
      </w:r>
      <w:bookmarkStart w:id="21" w:name="OLE_LINK1"/>
      <w:r>
        <w:rPr>
          <w:rFonts w:ascii="Times New Roman" w:hAnsi="Times New Roman" w:eastAsia="方正小标宋简体" w:cs="Times New Roman"/>
          <w:b w:val="0"/>
          <w:bCs w:val="0"/>
          <w:color w:val="auto"/>
          <w:sz w:val="32"/>
          <w:szCs w:val="32"/>
          <w:highlight w:val="none"/>
        </w:rPr>
        <w:t>深化农业农村改革</w:t>
      </w:r>
      <w:bookmarkEnd w:id="21"/>
      <w:r>
        <w:rPr>
          <w:rFonts w:ascii="Times New Roman" w:hAnsi="Times New Roman" w:eastAsia="方正小标宋简体" w:cs="Times New Roman"/>
          <w:b w:val="0"/>
          <w:bCs w:val="0"/>
          <w:color w:val="auto"/>
          <w:sz w:val="32"/>
          <w:szCs w:val="32"/>
          <w:highlight w:val="none"/>
        </w:rPr>
        <w:t>，促进城乡要素自由流动</w:t>
      </w:r>
      <w:bookmarkEnd w:id="20"/>
    </w:p>
    <w:p w14:paraId="1A5BBFF1">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建立健全城乡融合发展体制机制和政策体系，巩固和完善农村基本经营制度，积极推进农村产权流转交易规范化试点，通过有效市场和有为政府协同联动，推动人才、土地、资本、数据等要素在城乡间双向自由流动，激发农业农村发展活力。</w:t>
      </w:r>
    </w:p>
    <w:p w14:paraId="4CDF4B8E">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22" w:name="_Toc215133890"/>
      <w:r>
        <w:rPr>
          <w:rFonts w:ascii="Times New Roman" w:hAnsi="Times New Roman" w:eastAsia="宋体" w:cs="Times New Roman"/>
          <w:b/>
          <w:bCs/>
          <w:color w:val="auto"/>
          <w:sz w:val="32"/>
          <w:szCs w:val="32"/>
          <w:highlight w:val="none"/>
        </w:rPr>
        <w:t>第一节  统筹推进农业转移人口市民化和乡村人才振兴</w:t>
      </w:r>
      <w:bookmarkEnd w:id="22"/>
    </w:p>
    <w:p w14:paraId="2D62599C">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持续实施新一轮农业转移人口市民化行动，加快推动城市公共服务向常住人口覆盖，健全乡村人才工作体制机制，吸引各类人才在乡村振兴中建功立业。</w:t>
      </w:r>
    </w:p>
    <w:p w14:paraId="3114730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进一步深化户籍制度改革。</w:t>
      </w:r>
      <w:r>
        <w:rPr>
          <w:rFonts w:hint="eastAsia" w:ascii="Times New Roman" w:hAnsi="Times New Roman" w:eastAsia="仿宋_GB2312" w:cs="Times New Roman"/>
          <w:b w:val="0"/>
          <w:bCs/>
          <w:color w:val="auto"/>
          <w:sz w:val="32"/>
          <w:szCs w:val="32"/>
          <w:highlight w:val="none"/>
        </w:rPr>
        <w:t>全面落实进城落户“零门槛”</w:t>
      </w:r>
      <w:r>
        <w:rPr>
          <w:rFonts w:hint="eastAsia" w:ascii="Times New Roman" w:hAnsi="Times New Roman" w:eastAsia="仿宋_GB2312" w:cs="Times New Roman"/>
          <w:b w:val="0"/>
          <w:bCs/>
          <w:color w:val="auto"/>
          <w:sz w:val="32"/>
          <w:szCs w:val="32"/>
          <w:highlight w:val="none"/>
          <w:lang w:val="en-US" w:eastAsia="zh-CN"/>
        </w:rPr>
        <w:t>政策</w:t>
      </w:r>
      <w:r>
        <w:rPr>
          <w:rFonts w:hint="eastAsia" w:ascii="Times New Roman" w:hAnsi="Times New Roman" w:eastAsia="仿宋_GB2312" w:cs="Times New Roman"/>
          <w:b w:val="0"/>
          <w:bCs/>
          <w:color w:val="auto"/>
          <w:sz w:val="32"/>
          <w:szCs w:val="32"/>
          <w:highlight w:val="none"/>
          <w:lang w:eastAsia="zh-CN"/>
        </w:rPr>
        <w:t>，</w:t>
      </w:r>
      <w:r>
        <w:rPr>
          <w:rFonts w:ascii="Times New Roman" w:hAnsi="Times New Roman" w:eastAsia="仿宋_GB2312" w:cs="Times New Roman"/>
          <w:color w:val="auto"/>
          <w:sz w:val="32"/>
          <w:szCs w:val="32"/>
          <w:highlight w:val="none"/>
        </w:rPr>
        <w:t>以进城农民工及其随迁家属为重点，拓宽城镇落户渠道，简化户籍迁移手续，强化落户政策宣传解读，提高户籍登记、迁移便利度。推进居住证与身份证功能衔接，健全与居住年限相挂钩的非户籍人口基本公共服务提供机制，稳步推进城镇基本公共服务常住人口全覆盖。保障进城落户农民在城乡两地的合法权益，依法维护进城落户农民的土地承包权、宅基地使用权、集体收益分配权，不以退出上述权益作为农民进城落户的条件，探索建立自愿有偿退出的办法。</w:t>
      </w:r>
    </w:p>
    <w:p w14:paraId="788E1767">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建立健全农业转移人口市民化激励保障机制。</w:t>
      </w:r>
      <w:r>
        <w:rPr>
          <w:rFonts w:ascii="Times New Roman" w:hAnsi="Times New Roman" w:eastAsia="仿宋_GB2312" w:cs="Times New Roman"/>
          <w:color w:val="auto"/>
          <w:sz w:val="32"/>
          <w:szCs w:val="32"/>
          <w:highlight w:val="none"/>
        </w:rPr>
        <w:t>建立健全由政府、企业、个人共同参与的农业转移人口市民化成本分担机制，根据农业转移人口市民化成本分类，明确成本承担主体和支出责任。推动转移支付、新增建设用地指标、基础设施建设投资等与农业转移人口市民化挂钩，对落户地视落户情况给予政策激励。引导企业等用人单位落实农村转移劳动力与城镇职工同工同酬制度，加大职工技能培训投入，依法为农业转移劳动力缴纳职工养老、医疗、工伤、失业、生育等社会保险费用。</w:t>
      </w:r>
      <w:r>
        <w:rPr>
          <w:rFonts w:ascii="Times New Roman" w:hAnsi="Times New Roman" w:eastAsia="仿宋_GB2312" w:cs="Times New Roman"/>
          <w:color w:val="auto"/>
          <w:sz w:val="32"/>
          <w:szCs w:val="32"/>
        </w:rPr>
        <w:t>鼓励农业转移劳动力积极参加职业教育和技能培训，支持有意愿、有缴费能力的农业转移人口参加城镇职工基本养老和医疗保险，</w:t>
      </w:r>
      <w:r>
        <w:rPr>
          <w:rFonts w:ascii="Times New Roman" w:hAnsi="Times New Roman" w:eastAsia="仿宋_GB2312" w:cs="Times New Roman"/>
          <w:color w:val="auto"/>
          <w:sz w:val="32"/>
          <w:szCs w:val="32"/>
          <w:highlight w:val="none"/>
        </w:rPr>
        <w:t>提升融入城市社会能力。</w:t>
      </w:r>
    </w:p>
    <w:p w14:paraId="7E24C346">
      <w:pPr>
        <w:overflowPunct w:val="0"/>
        <w:spacing w:line="600" w:lineRule="exact"/>
        <w:ind w:firstLine="643"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
          <w:color w:val="auto"/>
          <w:sz w:val="32"/>
          <w:szCs w:val="32"/>
          <w:highlight w:val="none"/>
        </w:rPr>
        <w:t>优化进城农民基本公共服务供给。</w:t>
      </w:r>
      <w:r>
        <w:rPr>
          <w:rFonts w:ascii="Times New Roman" w:hAnsi="Times New Roman" w:eastAsia="仿宋_GB2312" w:cs="Times New Roman"/>
          <w:bCs/>
          <w:color w:val="auto"/>
          <w:sz w:val="32"/>
          <w:szCs w:val="32"/>
          <w:highlight w:val="none"/>
        </w:rPr>
        <w:t>强化城乡就业创业服务，</w:t>
      </w:r>
      <w:r>
        <w:rPr>
          <w:rFonts w:hint="eastAsia" w:ascii="Times New Roman" w:hAnsi="Times New Roman" w:eastAsia="仿宋_GB2312" w:cs="Times New Roman"/>
          <w:bCs/>
          <w:color w:val="auto"/>
          <w:sz w:val="32"/>
          <w:szCs w:val="32"/>
          <w:highlight w:val="none"/>
        </w:rPr>
        <w:t>构建完善“创业培训、创业服务、创业孵化、创业活动”四创联动的支持体系</w:t>
      </w:r>
      <w:r>
        <w:rPr>
          <w:rFonts w:hint="eastAsia" w:ascii="Times New Roman" w:hAnsi="Times New Roman" w:eastAsia="仿宋_GB2312" w:cs="Times New Roman"/>
          <w:bCs/>
          <w:color w:val="auto"/>
          <w:sz w:val="32"/>
          <w:szCs w:val="32"/>
          <w:highlight w:val="none"/>
          <w:lang w:eastAsia="zh-CN"/>
        </w:rPr>
        <w:t>，</w:t>
      </w:r>
      <w:r>
        <w:rPr>
          <w:rFonts w:ascii="Times New Roman" w:hAnsi="Times New Roman" w:eastAsia="仿宋_GB2312" w:cs="Times New Roman"/>
          <w:bCs/>
          <w:color w:val="auto"/>
          <w:sz w:val="32"/>
          <w:szCs w:val="32"/>
          <w:highlight w:val="none"/>
        </w:rPr>
        <w:t>搭建“五岗联动”特色招聘平台，打造“15分钟”就业服务圈。加大</w:t>
      </w:r>
      <w:r>
        <w:rPr>
          <w:rFonts w:ascii="Times New Roman" w:hAnsi="Times New Roman" w:eastAsia="仿宋_GB2312" w:cs="Times New Roman"/>
          <w:color w:val="auto"/>
          <w:sz w:val="32"/>
          <w:szCs w:val="32"/>
          <w:highlight w:val="none"/>
        </w:rPr>
        <w:t>农民工职业技能培训力度，实施职业教育产教融合赋能提升行动，扩大农民工就业容量。完善职业技能等级认定机制，提高技能人才待遇。完善劳动关系协商协调机制，加强农民工劳动权益保障。逐步将稳定就业生活的农业转移人口纳入城市住房保障政策范围，积极培育发展住房租赁市场，支持采取多种措施通过市场化方式满足农业转移人口住房需求。</w:t>
      </w:r>
      <w:r>
        <w:rPr>
          <w:rFonts w:hint="eastAsia" w:ascii="Times New Roman" w:hAnsi="Times New Roman" w:eastAsia="仿宋_GB2312" w:cs="Times New Roman"/>
          <w:color w:val="auto"/>
          <w:sz w:val="32"/>
          <w:szCs w:val="32"/>
          <w:highlight w:val="none"/>
        </w:rPr>
        <w:t>全面落实义务教育免试就近入学和公办民办同步招生政策，</w:t>
      </w:r>
      <w:r>
        <w:rPr>
          <w:rFonts w:ascii="Times New Roman" w:hAnsi="Times New Roman" w:eastAsia="仿宋_GB2312" w:cs="Times New Roman"/>
          <w:color w:val="auto"/>
          <w:sz w:val="32"/>
          <w:szCs w:val="32"/>
          <w:highlight w:val="none"/>
        </w:rPr>
        <w:t>将随迁子女纳入流入地义务教育保障范围，加大公办学校学位供给力度，提高随迁子女在公办学校就读比例。加快将随迁子女纳入流入地中等职业教育、普惠性学前教育保障范围。</w:t>
      </w:r>
    </w:p>
    <w:p w14:paraId="6364542E">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加强乡村人才队伍建设。</w:t>
      </w:r>
      <w:r>
        <w:rPr>
          <w:rFonts w:ascii="Times New Roman" w:hAnsi="Times New Roman" w:eastAsia="仿宋_GB2312" w:cs="Times New Roman"/>
          <w:color w:val="auto"/>
          <w:sz w:val="32"/>
          <w:szCs w:val="32"/>
          <w:highlight w:val="none"/>
        </w:rPr>
        <w:t>实施乡村振兴人才支持计划，加强农民技术技能培训，支持从事乡村产业的能工巧匠、经营能人、生产能手，定期开展技艺传授、技能交流、带徒传技等活动，构建“政府主导+专门机构+多方资源+市场主体”的“新农人”教育培训体系。提升涉农职业教育水平，以产业需求为导向，调整优化涉农学科专业，鼓励职业学校与农业企业深入开展产教融合，建立校企协同的长效培养机制。扎实推进“三支一扶”计划、科技特派员、特岗计划、大学生志愿服务乡村振兴计划等基层服务项目，持续深入开展科技、医疗、教育干部人才“组团式”帮扶，引导、扶持、关心有意愿投身农村、回归农村的青年人才扎根基层。</w:t>
      </w:r>
    </w:p>
    <w:p w14:paraId="1AFE5D60">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健全完善乡村人才振兴体制机制。</w:t>
      </w:r>
      <w:r>
        <w:rPr>
          <w:rFonts w:ascii="Times New Roman" w:hAnsi="Times New Roman" w:eastAsia="仿宋_GB2312" w:cs="Times New Roman"/>
          <w:color w:val="auto"/>
          <w:sz w:val="32"/>
          <w:szCs w:val="32"/>
          <w:highlight w:val="none"/>
        </w:rPr>
        <w:t>加大涉农科技创新平台的引育力度，加快培育一批掌握核心技术的涉农科技创新型企业。支持装备制造、生物医药、新材料领域相关企业在农业领域建立应用场景。引导市属国有农业企业履行创新使命责任，发挥战略引领作用，</w:t>
      </w:r>
      <w:r>
        <w:rPr>
          <w:rFonts w:hint="eastAsia" w:ascii="Times New Roman" w:hAnsi="Times New Roman" w:eastAsia="仿宋_GB2312" w:cs="Times New Roman"/>
          <w:color w:val="auto"/>
          <w:sz w:val="32"/>
          <w:szCs w:val="32"/>
          <w:highlight w:val="none"/>
          <w:lang w:eastAsia="zh-CN"/>
        </w:rPr>
        <w:t>建设一批</w:t>
      </w:r>
      <w:r>
        <w:rPr>
          <w:rFonts w:ascii="Times New Roman" w:hAnsi="Times New Roman" w:eastAsia="仿宋_GB2312" w:cs="Times New Roman"/>
          <w:color w:val="auto"/>
          <w:sz w:val="32"/>
          <w:szCs w:val="32"/>
          <w:highlight w:val="none"/>
        </w:rPr>
        <w:t>集研发、生产、展示、体验、孵化等功能于一体的乡村创业园。鼓励高校及涉农科研团队到乡村开展成果转化、人才培育、技术技能培训等服务。建立乡村人才分类目录，完善认定标准，做好分类统计，加强信息化建设。创新评价机制，把各类人才参与乡村振兴战略的业绩成果作为评价考核的重要内容，并将评价结果与薪酬待遇、岗位聘用、项目支持等挂钩。持续推动科技人才松绑赋能，开辟农业科研人员创业的合规性通道，健全有利于加速成果转化、激发人才活力的体制机制。对长期服务基层的乡村人才，在绩效奖励、职务职级晋升等方面给予政策倾斜。</w:t>
      </w:r>
    </w:p>
    <w:p w14:paraId="2B50FE99">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23" w:name="_Toc215133891"/>
      <w:r>
        <w:rPr>
          <w:rFonts w:ascii="Times New Roman" w:hAnsi="Times New Roman" w:eastAsia="宋体" w:cs="Times New Roman"/>
          <w:b/>
          <w:bCs/>
          <w:color w:val="auto"/>
          <w:sz w:val="32"/>
          <w:szCs w:val="32"/>
          <w:highlight w:val="none"/>
        </w:rPr>
        <w:t>第二节  深化农村土地制度改革</w:t>
      </w:r>
      <w:bookmarkEnd w:id="23"/>
    </w:p>
    <w:p w14:paraId="5D43FB70">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以处理好农民和土地关系为主线，在守住耕地保护、生态安全、农民利益底线前提下，以制度创新打破要素流动壁垒，以市场化手段激活土地价值，不断增强农业农村发展活力。</w:t>
      </w:r>
    </w:p>
    <w:p w14:paraId="1411D8F3">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稳定和完善农村土地承包关系。</w:t>
      </w:r>
      <w:r>
        <w:rPr>
          <w:rFonts w:ascii="Times New Roman" w:hAnsi="Times New Roman" w:eastAsia="仿宋_GB2312" w:cs="Times New Roman"/>
          <w:color w:val="auto"/>
          <w:sz w:val="32"/>
          <w:szCs w:val="32"/>
          <w:highlight w:val="none"/>
        </w:rPr>
        <w:t>坚持“大稳定、小调整”，有序推进第二轮土地承包到期后再延长三十年工作，确保绝大多数农户承包地总体顺延、保持稳定。强化承包地经营权流转管理，健全农村土地流转市场和服务体系，完善承包地经营权流转价格形成机制，探索通过发布流转价格指数、实物计租等方式推动流转费用稳定在合理水平。加快培育新型农业经营主体，引导有条件有意愿的小农户发展家庭农场，促进农民合作经营，鼓励农民在保持承包权不动的基础上，通过经营权流转的方式实现按户连片经营。严格土地流转用途管制，鼓励耕地优先向从事粮食生产的经营主体流转。健全工商企业等社会资本租赁农地资格审查、项目审核和风险防范等制度，强化村集体对承包地使用监督，防止和纠正长期抛荒、损毁土地等行为。深化集体林权制度改革，调整优化林木采伐管理制度，赋予权利人更加充分的林木处置权和收益权。</w:t>
      </w:r>
    </w:p>
    <w:p w14:paraId="0BBC8CE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深化宅基地制度改革。</w:t>
      </w:r>
      <w:r>
        <w:rPr>
          <w:rFonts w:ascii="Times New Roman" w:hAnsi="Times New Roman" w:eastAsia="仿宋_GB2312" w:cs="Times New Roman"/>
          <w:color w:val="auto"/>
          <w:sz w:val="32"/>
          <w:szCs w:val="32"/>
          <w:highlight w:val="none"/>
        </w:rPr>
        <w:t>做好房地一体宅基地确权登记颁证工作。积极稳妥开展闲置</w:t>
      </w:r>
      <w:r>
        <w:rPr>
          <w:rFonts w:hint="eastAsia" w:ascii="Times New Roman" w:hAnsi="Times New Roman" w:eastAsia="仿宋_GB2312" w:cs="Times New Roman"/>
          <w:color w:val="auto"/>
          <w:sz w:val="32"/>
          <w:szCs w:val="32"/>
          <w:highlight w:val="none"/>
        </w:rPr>
        <w:t>农房</w:t>
      </w:r>
      <w:r>
        <w:rPr>
          <w:rFonts w:ascii="Times New Roman" w:hAnsi="Times New Roman" w:eastAsia="仿宋_GB2312" w:cs="Times New Roman"/>
          <w:color w:val="auto"/>
          <w:sz w:val="32"/>
          <w:szCs w:val="32"/>
          <w:highlight w:val="none"/>
        </w:rPr>
        <w:t>盘活利用，探索农户合法拥有的住房通过出租、入股、合作等方式盘活利用的有效实现形式。加强宅基地监督管理，构建县级主导、乡镇主责、村级主体的宅基地和村民自建住房管理机制，不允许城镇居民到农村购买农房、宅基地，不允许退休干部到农村占地建房。应用推广宅基地数字化服务管理平台，打通宅基地申请、审批、建设、流转、退出等全过程管理，实现“一网通办”。加强房屋图纸审查，推动实现设计、质量、进度、安全等全过程管控，依法查处未批先建、违规建房等违法违规行为。</w:t>
      </w:r>
    </w:p>
    <w:p w14:paraId="5B76AE0B">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完善农村集体经营性建设用地入市制度。</w:t>
      </w:r>
      <w:r>
        <w:rPr>
          <w:rFonts w:ascii="Times New Roman" w:hAnsi="Times New Roman" w:eastAsia="仿宋_GB2312" w:cs="Times New Roman"/>
          <w:color w:val="auto"/>
          <w:sz w:val="32"/>
          <w:szCs w:val="32"/>
          <w:highlight w:val="none"/>
        </w:rPr>
        <w:t>深化农村集体建设用地制度改革，进一步明晰农村集体建设用地产权，完善农村集体资产股份权能，明确农村集体建设用地所有权主体以及作为集体成员的农民的土地权利。有序推进农村集体经营性建设用地入市，</w:t>
      </w:r>
      <w:r>
        <w:rPr>
          <w:rFonts w:ascii="Times New Roman" w:hAnsi="Times New Roman" w:eastAsia="仿宋_GB2312" w:cs="Times New Roman"/>
          <w:color w:val="auto"/>
          <w:sz w:val="32"/>
          <w:szCs w:val="32"/>
        </w:rPr>
        <w:t>积极探索以入股联营方式盘活利用农村集体经营性建设用地，</w:t>
      </w:r>
      <w:r>
        <w:rPr>
          <w:rFonts w:ascii="Times New Roman" w:hAnsi="Times New Roman" w:eastAsia="仿宋_GB2312" w:cs="Times New Roman"/>
          <w:color w:val="auto"/>
          <w:sz w:val="32"/>
          <w:szCs w:val="32"/>
          <w:highlight w:val="none"/>
        </w:rPr>
        <w:t>实现土地资源价值市场化、利用高效化。加强农村集体经营性建设用地入市管理，建立涉农信贷风险补偿机制，建设农村集体土地数字化管理服务平台，推动集体土地资源高效利用与产业发展形成良性循环，有效保障</w:t>
      </w:r>
      <w:r>
        <w:rPr>
          <w:rFonts w:hint="eastAsia" w:ascii="Times New Roman" w:hAnsi="Times New Roman" w:eastAsia="仿宋_GB2312" w:cs="Times New Roman"/>
          <w:color w:val="auto"/>
          <w:sz w:val="32"/>
          <w:szCs w:val="32"/>
          <w:highlight w:val="none"/>
          <w:lang w:eastAsia="zh-CN"/>
        </w:rPr>
        <w:t>“一带一圈两谷”</w:t>
      </w:r>
      <w:r>
        <w:rPr>
          <w:rFonts w:ascii="Times New Roman" w:hAnsi="Times New Roman" w:eastAsia="仿宋_GB2312" w:cs="Times New Roman"/>
          <w:color w:val="auto"/>
          <w:sz w:val="32"/>
          <w:szCs w:val="32"/>
          <w:highlight w:val="none"/>
        </w:rPr>
        <w:t>重点项目用地。</w:t>
      </w:r>
    </w:p>
    <w:p w14:paraId="72FFCF4F">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做好农村产权流转交易规范化试点。</w:t>
      </w:r>
      <w:r>
        <w:rPr>
          <w:rFonts w:ascii="Times New Roman" w:hAnsi="Times New Roman" w:eastAsia="仿宋_GB2312" w:cs="Times New Roman"/>
          <w:color w:val="auto"/>
          <w:sz w:val="32"/>
          <w:szCs w:val="32"/>
          <w:highlight w:val="none"/>
        </w:rPr>
        <w:t>以加快推进全国农村产权流转交易规范化试点为抓手，规范农村资源、资产、资金管理，完善农村产权流转交易办法，拓展平台服务功能，创新农村资源要素盘活模式，推动构建适应畅通城乡要素流动要求的现代农村产权流转交易市场体系。全面开展农村集体资产清产核资，加强集体资产被侵占、合同管理不规范等问题处置，推进村民委员会和村集体经济组织事务分离、账务分设、资产分管、核算分立，不断增强集体经济发展活力。强化产权交易监督管理，市、县两级建立农村产权流转交易联席会议制度，对农村产权流转交易进行指导和监管。建设农村产权流转交易市场，推进农村“三资”、农村产权流转交易数字化管理，逐步建立纵向贯通、横向联动、高效共享的农村产权流转交易信息共享体系。完善交易规则和流程，拓展创新交易品种，试点开展农村集体建设用地收储、整理，</w:t>
      </w:r>
      <w:r>
        <w:rPr>
          <w:rFonts w:hint="eastAsia" w:ascii="Times New Roman" w:hAnsi="Times New Roman" w:eastAsia="仿宋_GB2312" w:cs="Times New Roman"/>
          <w:color w:val="auto"/>
          <w:sz w:val="32"/>
          <w:szCs w:val="32"/>
          <w:highlight w:val="none"/>
        </w:rPr>
        <w:t>探索集体经营性建设用地进场交易，推动利用农村集体股权、集体经营性建设用地使用权、农村土地承包经营权开展抵押贷款</w:t>
      </w:r>
      <w:r>
        <w:rPr>
          <w:rFonts w:ascii="Times New Roman" w:hAnsi="Times New Roman" w:eastAsia="仿宋_GB2312" w:cs="Times New Roman"/>
          <w:color w:val="auto"/>
          <w:sz w:val="32"/>
          <w:szCs w:val="32"/>
          <w:highlight w:val="none"/>
        </w:rPr>
        <w:t>，有效提升产权交易活跃度。</w:t>
      </w:r>
    </w:p>
    <w:p w14:paraId="5AC0F871">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24" w:name="_Toc215133892"/>
      <w:r>
        <w:rPr>
          <w:rFonts w:ascii="Times New Roman" w:hAnsi="Times New Roman" w:eastAsia="宋体" w:cs="Times New Roman"/>
          <w:b/>
          <w:bCs/>
          <w:color w:val="auto"/>
          <w:sz w:val="32"/>
          <w:szCs w:val="32"/>
          <w:highlight w:val="none"/>
        </w:rPr>
        <w:t>第三节  完善强农惠农富农</w:t>
      </w:r>
      <w:r>
        <w:rPr>
          <w:rFonts w:hint="eastAsia" w:ascii="Times New Roman" w:hAnsi="Times New Roman" w:eastAsia="宋体" w:cs="Times New Roman"/>
          <w:b/>
          <w:bCs/>
          <w:color w:val="auto"/>
          <w:sz w:val="32"/>
          <w:szCs w:val="32"/>
          <w:highlight w:val="none"/>
          <w:lang w:eastAsia="zh-CN"/>
        </w:rPr>
        <w:t>财政</w:t>
      </w:r>
      <w:r>
        <w:rPr>
          <w:rFonts w:ascii="Times New Roman" w:hAnsi="Times New Roman" w:eastAsia="宋体" w:cs="Times New Roman"/>
          <w:b/>
          <w:bCs/>
          <w:color w:val="auto"/>
          <w:sz w:val="32"/>
          <w:szCs w:val="32"/>
          <w:highlight w:val="none"/>
        </w:rPr>
        <w:t>金融支持体系</w:t>
      </w:r>
      <w:bookmarkEnd w:id="24"/>
    </w:p>
    <w:p w14:paraId="3807F2E0">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坚持做好金融“五篇大文章”，</w:t>
      </w:r>
      <w:r>
        <w:rPr>
          <w:rFonts w:ascii="Times New Roman" w:hAnsi="Times New Roman" w:eastAsia="仿宋_GB2312" w:cs="Times New Roman"/>
          <w:color w:val="auto"/>
          <w:sz w:val="32"/>
          <w:szCs w:val="32"/>
          <w:highlight w:val="none"/>
        </w:rPr>
        <w:t>创新乡村振兴投融资机制，引导更多金融资源投入农业农村发展重点领域和薄弱环节，加快构建财政优先保障、社会资本参与、金融重点倾斜的多元化强农惠农富农投入格局，切实提升金融服务乡村振兴质效。</w:t>
      </w:r>
    </w:p>
    <w:p w14:paraId="23FD3D77">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优先保障农业农村领域一般公共预算投入。</w:t>
      </w:r>
      <w:r>
        <w:rPr>
          <w:rFonts w:ascii="Times New Roman" w:hAnsi="Times New Roman" w:eastAsia="仿宋_GB2312" w:cs="Times New Roman"/>
          <w:color w:val="auto"/>
          <w:sz w:val="32"/>
          <w:szCs w:val="32"/>
          <w:highlight w:val="none"/>
        </w:rPr>
        <w:t>建立健全乡村振兴财政投入保障制度，完善财政支农投入稳定增长机制，</w:t>
      </w:r>
      <w:r>
        <w:rPr>
          <w:rFonts w:hint="eastAsia" w:ascii="Times New Roman" w:hAnsi="Times New Roman" w:eastAsia="仿宋_GB2312" w:cs="Times New Roman"/>
          <w:color w:val="auto"/>
          <w:sz w:val="32"/>
          <w:szCs w:val="32"/>
        </w:rPr>
        <w:t>持续加大</w:t>
      </w:r>
      <w:r>
        <w:rPr>
          <w:rFonts w:ascii="Times New Roman" w:hAnsi="Times New Roman" w:eastAsia="仿宋_GB2312" w:cs="Times New Roman"/>
          <w:color w:val="auto"/>
          <w:sz w:val="32"/>
          <w:szCs w:val="32"/>
        </w:rPr>
        <w:t>财政支农投入力度。</w:t>
      </w:r>
      <w:r>
        <w:rPr>
          <w:rFonts w:ascii="Times New Roman" w:hAnsi="Times New Roman" w:eastAsia="仿宋_GB2312" w:cs="Times New Roman"/>
          <w:color w:val="auto"/>
          <w:sz w:val="32"/>
          <w:szCs w:val="32"/>
          <w:highlight w:val="none"/>
        </w:rPr>
        <w:t>积极争取中央预算内投资、超长期特别国债和地方政府专项债券对农业农村的支持，加强存量资金优化，提高资金使用绩效。强化财政资源统筹，用好用活涉农资金统筹整合政策，促进功能互补、用途衔接的涉农资金集中投入。严格实施财政支持乡村振兴实绩考核，夯实财政支农投入责任，通过查问题、强整治、建制度、严监督的闭环机制，确保财政资金安全、规范、高效管理。</w:t>
      </w:r>
    </w:p>
    <w:p w14:paraId="452BB9A6">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强化涉农重点领域金融供给。</w:t>
      </w:r>
      <w:r>
        <w:rPr>
          <w:rFonts w:ascii="Times New Roman" w:hAnsi="Times New Roman" w:eastAsia="仿宋_GB2312" w:cs="Times New Roman"/>
          <w:color w:val="auto"/>
          <w:sz w:val="32"/>
          <w:szCs w:val="32"/>
          <w:highlight w:val="none"/>
        </w:rPr>
        <w:t>引导金融机构创新和丰富涉农金融产品和服务，根据农业生产经营特点合理设置贷款期限，增加中长期信贷供给和信用贷款投放。做好粮食和重要农产品稳产保供金融服务，聚焦土壤改良、农田排灌设施等重点领域，在承贷主体、还款方式、贷款期限上给予差异化政策倾斜，助力高标准农田新建和改造提升。鼓励金融机构持续加大力度，合理满足育种研发、种子（苗种）繁殖、精深加工、推广销售等环节差异化融资需求，助力“育繁推一体化”发展。树立大食物观，引导金融机构丰富生物性资产抵质押信贷产品种类，助力构建粮经饲统筹、农林牧渔结合、植物动物微生物并举的多元化食物供给体系。</w:t>
      </w:r>
    </w:p>
    <w:p w14:paraId="397DF0B8">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提升农村基础金融服务水平。</w:t>
      </w:r>
      <w:r>
        <w:rPr>
          <w:rFonts w:ascii="Times New Roman" w:hAnsi="Times New Roman" w:eastAsia="仿宋_GB2312" w:cs="Times New Roman"/>
          <w:color w:val="auto"/>
          <w:sz w:val="32"/>
          <w:szCs w:val="32"/>
          <w:highlight w:val="none"/>
        </w:rPr>
        <w:t>引导金融机构服务下沉，推动设立乡村振兴特色网点、农村金融服务站、</w:t>
      </w:r>
      <w:r>
        <w:rPr>
          <w:rFonts w:hint="eastAsia" w:ascii="Times New Roman" w:hAnsi="Times New Roman" w:eastAsia="仿宋_GB2312" w:cs="Times New Roman"/>
          <w:color w:val="auto"/>
          <w:sz w:val="32"/>
          <w:szCs w:val="32"/>
          <w:highlight w:val="none"/>
          <w:lang w:eastAsia="zh-CN"/>
        </w:rPr>
        <w:t>银行卡</w:t>
      </w:r>
      <w:r>
        <w:rPr>
          <w:rFonts w:ascii="Times New Roman" w:hAnsi="Times New Roman" w:eastAsia="仿宋_GB2312" w:cs="Times New Roman"/>
          <w:color w:val="auto"/>
          <w:sz w:val="32"/>
          <w:szCs w:val="32"/>
          <w:highlight w:val="none"/>
        </w:rPr>
        <w:t>助农取款服务点等，创建“金融助理”“金融顾问”“金融村官”等帮扶工作机制。持续推动开展“信用户”“信用村”“信用乡（镇）”创建，支持市场化征信机构参与涉农信息采集、加工和使用，推动征信产品在农村领域广泛应用。深化农村产权抵押担保权能，鼓励金融机构创新农村土地抵押贷款产品。依托金融科技赋能乡村振兴示范工程，鼓励金融机构因地制宜打造惠农利民金融产品与服务，推动金融与快递物流、电商销售、公共服务平台等合作共建，形成资金流、物流、商流、信息流“四流合一”农村数字普惠金融服务体系。</w:t>
      </w:r>
      <w:r>
        <w:rPr>
          <w:rFonts w:hint="eastAsia" w:ascii="Times New Roman" w:hAnsi="Times New Roman" w:eastAsia="仿宋_GB2312" w:cs="Times New Roman"/>
          <w:color w:val="auto"/>
          <w:sz w:val="32"/>
          <w:szCs w:val="32"/>
          <w:highlight w:val="none"/>
        </w:rPr>
        <w:t>持续完善农村地区移动支付服务，推动支付结算服务从服务农民生活向服务农业生产、农村生态有效延伸</w:t>
      </w:r>
      <w:r>
        <w:rPr>
          <w:rFonts w:ascii="Times New Roman" w:hAnsi="Times New Roman" w:eastAsia="仿宋_GB2312" w:cs="Times New Roman"/>
          <w:color w:val="auto"/>
          <w:sz w:val="32"/>
          <w:szCs w:val="32"/>
          <w:highlight w:val="none"/>
        </w:rPr>
        <w:t>。深入实施农民合作社规范提升等行动，推动农民合作社财务和运营管理规范化。向涉农主体提供专业化的金融问诊服务，对有信贷需求但暂未获得融资支持的新型农业经营主体进行重点辅导。多渠道、多层次、多形式开展金融知识普及教育，畅通农村地区金融消费纠纷解决渠道，切实维护金融消费者合法权益。</w:t>
      </w:r>
    </w:p>
    <w:p w14:paraId="21B86CC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提升金融服务农业强市建设水平。</w:t>
      </w:r>
      <w:r>
        <w:rPr>
          <w:rFonts w:hint="eastAsia" w:ascii="Times New Roman" w:hAnsi="Times New Roman" w:eastAsia="仿宋_GB2312" w:cs="Times New Roman"/>
          <w:color w:val="auto"/>
          <w:sz w:val="32"/>
          <w:szCs w:val="32"/>
          <w:highlight w:val="none"/>
          <w:lang w:val="en-US" w:eastAsia="zh-CN"/>
        </w:rPr>
        <w:t>学用“千万工程”经验，增强粮食安全金融保障，加大对产粮大县信贷支持，深化高标准农田和农田水利建设金融服务。持续巩固拓展金融帮扶成果，优化联农带农金融支持模式，提升定点帮扶质效。深化乡村富民产业金融服务，拓宽抵押担保方式，创新专属信贷产品，支持拓宽农民增收渠道。提升乡村建设金融服务水平，支持基础设施和公共服务向乡村延伸覆盖。增强“农文旅”深度融合金融服务供给，提升农村基础金融服务水平，强化金融赋能乡村治理质效。</w:t>
      </w:r>
    </w:p>
    <w:p w14:paraId="2F888D66">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25" w:name="_Toc215133893"/>
      <w:r>
        <w:rPr>
          <w:rFonts w:ascii="Times New Roman" w:hAnsi="Times New Roman" w:eastAsia="宋体" w:cs="Times New Roman"/>
          <w:b/>
          <w:bCs/>
          <w:color w:val="auto"/>
          <w:sz w:val="32"/>
          <w:szCs w:val="32"/>
          <w:highlight w:val="none"/>
        </w:rPr>
        <w:t>第四节  激活城乡数据要素活力</w:t>
      </w:r>
      <w:bookmarkEnd w:id="25"/>
    </w:p>
    <w:p w14:paraId="0DA16794">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准确把握数字化发展趋势，以数字技术创新为支撑，</w:t>
      </w:r>
      <w:r>
        <w:rPr>
          <w:rFonts w:hint="eastAsia" w:ascii="Times New Roman" w:hAnsi="Times New Roman" w:eastAsia="仿宋_GB2312" w:cs="Times New Roman"/>
          <w:color w:val="auto"/>
          <w:sz w:val="32"/>
          <w:szCs w:val="32"/>
          <w:highlight w:val="none"/>
          <w:lang w:eastAsia="zh-CN"/>
        </w:rPr>
        <w:t>锚定“数智赋能”，</w:t>
      </w:r>
      <w:r>
        <w:rPr>
          <w:rFonts w:ascii="Times New Roman" w:hAnsi="Times New Roman" w:eastAsia="仿宋_GB2312" w:cs="Times New Roman"/>
          <w:color w:val="auto"/>
          <w:sz w:val="32"/>
          <w:szCs w:val="32"/>
          <w:highlight w:val="none"/>
        </w:rPr>
        <w:t>打通城乡数据要素流动壁垒，</w:t>
      </w:r>
      <w:r>
        <w:rPr>
          <w:rFonts w:hint="eastAsia" w:ascii="Times New Roman" w:hAnsi="Times New Roman" w:eastAsia="仿宋_GB2312" w:cs="Times New Roman"/>
          <w:color w:val="auto"/>
          <w:sz w:val="32"/>
          <w:szCs w:val="32"/>
          <w:highlight w:val="none"/>
          <w:lang w:eastAsia="zh-CN"/>
        </w:rPr>
        <w:t>探索数据驱动的乡村振兴新模式，赋能城乡融合发展</w:t>
      </w:r>
      <w:r>
        <w:rPr>
          <w:rFonts w:ascii="Times New Roman" w:hAnsi="Times New Roman" w:eastAsia="仿宋_GB2312" w:cs="Times New Roman"/>
          <w:color w:val="auto"/>
          <w:sz w:val="32"/>
          <w:szCs w:val="32"/>
          <w:highlight w:val="none"/>
        </w:rPr>
        <w:t>。</w:t>
      </w:r>
    </w:p>
    <w:p w14:paraId="28C9A4C0">
      <w:pPr>
        <w:overflowPunct w:val="0"/>
        <w:spacing w:line="600" w:lineRule="exact"/>
        <w:ind w:firstLine="643"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color w:val="auto"/>
          <w:sz w:val="32"/>
          <w:szCs w:val="32"/>
          <w:highlight w:val="none"/>
          <w:lang w:eastAsia="zh-CN"/>
        </w:rPr>
        <w:t>完善</w:t>
      </w:r>
      <w:r>
        <w:rPr>
          <w:rFonts w:ascii="Times New Roman" w:hAnsi="Times New Roman" w:eastAsia="仿宋_GB2312" w:cs="Times New Roman"/>
          <w:b/>
          <w:color w:val="auto"/>
          <w:sz w:val="32"/>
          <w:szCs w:val="32"/>
          <w:highlight w:val="none"/>
        </w:rPr>
        <w:t>城乡数据要素流通机制。</w:t>
      </w:r>
      <w:r>
        <w:rPr>
          <w:rFonts w:hint="eastAsia" w:ascii="Times New Roman" w:hAnsi="Times New Roman" w:eastAsia="仿宋_GB2312" w:cs="Times New Roman"/>
          <w:color w:val="auto"/>
          <w:sz w:val="32"/>
          <w:szCs w:val="32"/>
          <w:highlight w:val="none"/>
          <w:lang w:eastAsia="zh-CN"/>
        </w:rPr>
        <w:t>推进数据分类分级管理，完善城乡公共数据资源目录，探索构建公共数据“一本账”，推动公共数据资源管理标准化、规范化。</w:t>
      </w:r>
      <w:r>
        <w:rPr>
          <w:rFonts w:ascii="Times New Roman" w:hAnsi="Times New Roman" w:eastAsia="仿宋_GB2312" w:cs="Times New Roman"/>
          <w:color w:val="auto"/>
          <w:sz w:val="32"/>
          <w:szCs w:val="32"/>
          <w:highlight w:val="none"/>
        </w:rPr>
        <w:t>加强数据安全技术支撑，</w:t>
      </w:r>
      <w:r>
        <w:rPr>
          <w:rFonts w:hint="eastAsia" w:ascii="Times New Roman" w:hAnsi="Times New Roman" w:eastAsia="仿宋_GB2312" w:cs="Times New Roman"/>
          <w:color w:val="auto"/>
          <w:sz w:val="32"/>
          <w:szCs w:val="32"/>
          <w:highlight w:val="none"/>
          <w:lang w:eastAsia="zh-CN"/>
        </w:rPr>
        <w:t>提升</w:t>
      </w:r>
      <w:r>
        <w:rPr>
          <w:rFonts w:ascii="Times New Roman" w:hAnsi="Times New Roman" w:eastAsia="仿宋_GB2312" w:cs="Times New Roman"/>
          <w:color w:val="auto"/>
          <w:sz w:val="32"/>
          <w:szCs w:val="32"/>
          <w:highlight w:val="none"/>
        </w:rPr>
        <w:t>安全管理</w:t>
      </w:r>
      <w:r>
        <w:rPr>
          <w:rFonts w:hint="eastAsia" w:ascii="Times New Roman" w:hAnsi="Times New Roman" w:eastAsia="仿宋_GB2312" w:cs="Times New Roman"/>
          <w:color w:val="auto"/>
          <w:sz w:val="32"/>
          <w:szCs w:val="32"/>
          <w:highlight w:val="none"/>
          <w:lang w:eastAsia="zh-CN"/>
        </w:rPr>
        <w:t>水平，完善部门数据共享标准规范，推进跨层级、跨地域、跨系统、跨业务数据安全有序高效共享利用。</w:t>
      </w:r>
      <w:r>
        <w:rPr>
          <w:rFonts w:ascii="Times New Roman" w:hAnsi="Times New Roman" w:eastAsia="仿宋_GB2312" w:cs="Times New Roman"/>
          <w:color w:val="auto"/>
          <w:sz w:val="32"/>
          <w:szCs w:val="32"/>
          <w:highlight w:val="none"/>
        </w:rPr>
        <w:t>探索建立城乡数据资产评估、定价等市场化机制，</w:t>
      </w:r>
      <w:r>
        <w:rPr>
          <w:rFonts w:hint="eastAsia" w:ascii="Times New Roman" w:hAnsi="Times New Roman" w:eastAsia="仿宋_GB2312" w:cs="Times New Roman"/>
          <w:color w:val="auto"/>
          <w:sz w:val="32"/>
          <w:szCs w:val="32"/>
          <w:highlight w:val="none"/>
          <w:lang w:eastAsia="zh-CN"/>
        </w:rPr>
        <w:t>鼓励各类市场主体加强数据治理，开展数据资产入表、质押融资等。</w:t>
      </w:r>
    </w:p>
    <w:p w14:paraId="0B757A25">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科学构建乡村数据</w:t>
      </w:r>
      <w:r>
        <w:rPr>
          <w:rFonts w:hint="eastAsia" w:ascii="Times New Roman" w:hAnsi="Times New Roman" w:eastAsia="仿宋_GB2312" w:cs="Times New Roman"/>
          <w:b/>
          <w:color w:val="auto"/>
          <w:sz w:val="32"/>
          <w:szCs w:val="32"/>
          <w:highlight w:val="none"/>
          <w:lang w:eastAsia="zh-CN"/>
        </w:rPr>
        <w:t>基础</w:t>
      </w:r>
      <w:r>
        <w:rPr>
          <w:rFonts w:ascii="Times New Roman" w:hAnsi="Times New Roman" w:eastAsia="仿宋_GB2312" w:cs="Times New Roman"/>
          <w:b/>
          <w:color w:val="auto"/>
          <w:sz w:val="32"/>
          <w:szCs w:val="32"/>
          <w:highlight w:val="none"/>
        </w:rPr>
        <w:t>体系。</w:t>
      </w:r>
      <w:r>
        <w:rPr>
          <w:rFonts w:hint="eastAsia" w:ascii="Times New Roman" w:hAnsi="Times New Roman" w:eastAsia="仿宋_GB2312" w:cs="Times New Roman"/>
          <w:b w:val="0"/>
          <w:bCs/>
          <w:color w:val="auto"/>
          <w:sz w:val="32"/>
          <w:szCs w:val="32"/>
          <w:highlight w:val="none"/>
          <w:lang w:eastAsia="zh-CN"/>
        </w:rPr>
        <w:t>提高</w:t>
      </w:r>
      <w:r>
        <w:rPr>
          <w:rFonts w:hint="eastAsia" w:ascii="Times New Roman" w:hAnsi="Times New Roman" w:eastAsia="仿宋_GB2312" w:cs="Times New Roman"/>
          <w:b w:val="0"/>
          <w:bCs/>
          <w:color w:val="auto"/>
          <w:sz w:val="32"/>
          <w:szCs w:val="32"/>
          <w:highlight w:val="none"/>
        </w:rPr>
        <w:t>农村地区互联网普及率，提升数据传输速度和质量。</w:t>
      </w:r>
      <w:r>
        <w:rPr>
          <w:rFonts w:hint="eastAsia" w:ascii="Times New Roman" w:hAnsi="Times New Roman" w:eastAsia="仿宋_GB2312" w:cs="Times New Roman"/>
          <w:b w:val="0"/>
          <w:bCs/>
          <w:color w:val="auto"/>
          <w:sz w:val="32"/>
          <w:szCs w:val="32"/>
          <w:highlight w:val="none"/>
          <w:lang w:eastAsia="zh-CN"/>
        </w:rPr>
        <w:t>支持</w:t>
      </w:r>
      <w:r>
        <w:rPr>
          <w:rFonts w:hint="eastAsia" w:ascii="Times New Roman" w:hAnsi="Times New Roman" w:eastAsia="仿宋_GB2312" w:cs="Times New Roman"/>
          <w:b w:val="0"/>
          <w:bCs/>
          <w:color w:val="auto"/>
          <w:sz w:val="32"/>
          <w:szCs w:val="32"/>
          <w:highlight w:val="none"/>
        </w:rPr>
        <w:t>建设面向农村地区的农业大数据平台，</w:t>
      </w:r>
      <w:r>
        <w:rPr>
          <w:rFonts w:hint="eastAsia" w:ascii="Times New Roman" w:hAnsi="Times New Roman" w:eastAsia="仿宋_GB2312" w:cs="Times New Roman"/>
          <w:color w:val="auto"/>
          <w:sz w:val="32"/>
          <w:szCs w:val="32"/>
          <w:highlight w:val="none"/>
          <w:lang w:eastAsia="zh-CN"/>
        </w:rPr>
        <w:t>汇聚</w:t>
      </w:r>
      <w:r>
        <w:rPr>
          <w:rFonts w:ascii="Times New Roman" w:hAnsi="Times New Roman" w:eastAsia="仿宋_GB2312" w:cs="Times New Roman"/>
          <w:color w:val="auto"/>
          <w:sz w:val="32"/>
          <w:szCs w:val="32"/>
          <w:highlight w:val="none"/>
        </w:rPr>
        <w:t>农田、气象、</w:t>
      </w:r>
      <w:r>
        <w:rPr>
          <w:rFonts w:hint="eastAsia" w:ascii="Times New Roman" w:hAnsi="Times New Roman" w:eastAsia="仿宋_GB2312" w:cs="Times New Roman"/>
          <w:color w:val="auto"/>
          <w:sz w:val="32"/>
          <w:szCs w:val="32"/>
          <w:highlight w:val="none"/>
          <w:lang w:eastAsia="zh-CN"/>
        </w:rPr>
        <w:t>农产品、市场</w:t>
      </w:r>
      <w:r>
        <w:rPr>
          <w:rFonts w:ascii="Times New Roman" w:hAnsi="Times New Roman" w:eastAsia="仿宋_GB2312" w:cs="Times New Roman"/>
          <w:color w:val="auto"/>
          <w:sz w:val="32"/>
          <w:szCs w:val="32"/>
          <w:highlight w:val="none"/>
        </w:rPr>
        <w:t>等数据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rPr>
        <w:t>推进农业数据资源的整合治理和交换共享</w:t>
      </w:r>
      <w:r>
        <w:rPr>
          <w:rFonts w:hint="eastAsia" w:ascii="Times New Roman" w:hAnsi="Times New Roman" w:eastAsia="仿宋_GB2312" w:cs="Times New Roman"/>
          <w:b w:val="0"/>
          <w:bCs/>
          <w:color w:val="auto"/>
          <w:sz w:val="32"/>
          <w:szCs w:val="32"/>
          <w:highlight w:val="none"/>
          <w:lang w:eastAsia="zh-CN"/>
        </w:rPr>
        <w:t>，推动智慧农业、农业电商和智慧供应链等高质量发展。加快数字乡村</w:t>
      </w:r>
      <w:r>
        <w:rPr>
          <w:rFonts w:hint="eastAsia" w:ascii="Times New Roman" w:hAnsi="Times New Roman" w:eastAsia="仿宋_GB2312" w:cs="Times New Roman"/>
          <w:b w:val="0"/>
          <w:bCs/>
          <w:color w:val="auto"/>
          <w:sz w:val="32"/>
          <w:szCs w:val="32"/>
          <w:highlight w:val="none"/>
        </w:rPr>
        <w:t>应用场景</w:t>
      </w:r>
      <w:r>
        <w:rPr>
          <w:rFonts w:hint="eastAsia" w:ascii="Times New Roman" w:hAnsi="Times New Roman" w:eastAsia="仿宋_GB2312" w:cs="Times New Roman"/>
          <w:b w:val="0"/>
          <w:bCs/>
          <w:color w:val="auto"/>
          <w:sz w:val="32"/>
          <w:szCs w:val="32"/>
          <w:highlight w:val="none"/>
          <w:lang w:eastAsia="zh-CN"/>
        </w:rPr>
        <w:t>建设，促进产业增值、农民增收、农业提质、城乡融合</w:t>
      </w:r>
      <w:r>
        <w:rPr>
          <w:rFonts w:hint="eastAsia" w:ascii="Times New Roman" w:hAnsi="Times New Roman" w:eastAsia="仿宋_GB2312" w:cs="Times New Roman"/>
          <w:b w:val="0"/>
          <w:bCs/>
          <w:color w:val="auto"/>
          <w:sz w:val="32"/>
          <w:szCs w:val="32"/>
          <w:highlight w:val="none"/>
        </w:rPr>
        <w:t>，释放数据要素价值。</w:t>
      </w:r>
    </w:p>
    <w:p w14:paraId="017F1811">
      <w:pPr>
        <w:overflowPunct w:val="0"/>
        <w:spacing w:line="600" w:lineRule="exact"/>
        <w:ind w:firstLine="643"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color w:val="auto"/>
          <w:sz w:val="32"/>
          <w:szCs w:val="32"/>
          <w:highlight w:val="none"/>
          <w:lang w:eastAsia="zh-CN"/>
        </w:rPr>
        <w:t>加速</w:t>
      </w:r>
      <w:r>
        <w:rPr>
          <w:rFonts w:ascii="Times New Roman" w:hAnsi="Times New Roman" w:eastAsia="仿宋_GB2312" w:cs="Times New Roman"/>
          <w:b/>
          <w:color w:val="auto"/>
          <w:sz w:val="32"/>
          <w:szCs w:val="32"/>
          <w:highlight w:val="none"/>
        </w:rPr>
        <w:t>数据要素价值</w:t>
      </w:r>
      <w:r>
        <w:rPr>
          <w:rFonts w:hint="eastAsia" w:ascii="Times New Roman" w:hAnsi="Times New Roman" w:eastAsia="仿宋_GB2312" w:cs="Times New Roman"/>
          <w:b/>
          <w:color w:val="auto"/>
          <w:sz w:val="32"/>
          <w:szCs w:val="32"/>
          <w:highlight w:val="none"/>
          <w:lang w:eastAsia="zh-CN"/>
        </w:rPr>
        <w:t>释放</w:t>
      </w:r>
      <w:r>
        <w:rPr>
          <w:rFonts w:ascii="Times New Roman" w:hAnsi="Times New Roman" w:eastAsia="仿宋_GB2312" w:cs="Times New Roman"/>
          <w:b/>
          <w:color w:val="auto"/>
          <w:sz w:val="32"/>
          <w:szCs w:val="32"/>
          <w:highlight w:val="none"/>
        </w:rPr>
        <w:t>。</w:t>
      </w:r>
      <w:r>
        <w:rPr>
          <w:rFonts w:ascii="Times New Roman" w:hAnsi="Times New Roman" w:eastAsia="仿宋_GB2312" w:cs="Times New Roman"/>
          <w:color w:val="auto"/>
          <w:sz w:val="32"/>
          <w:szCs w:val="32"/>
          <w:highlight w:val="none"/>
        </w:rPr>
        <w:t>以应用场景创新为突破口，推动城乡数据要素与产业发展深度融合，催生数字经济新业态，实现数据要素价值最大化。</w:t>
      </w:r>
      <w:r>
        <w:rPr>
          <w:rFonts w:hint="eastAsia" w:ascii="Times New Roman" w:hAnsi="Times New Roman" w:eastAsia="仿宋_GB2312" w:cs="Times New Roman"/>
          <w:color w:val="auto"/>
          <w:sz w:val="32"/>
          <w:szCs w:val="32"/>
          <w:highlight w:val="none"/>
          <w:lang w:eastAsia="zh-CN"/>
        </w:rPr>
        <w:t>加强土壤、气象等数据采集、分析，优化农业种植科学决策，</w:t>
      </w:r>
      <w:r>
        <w:rPr>
          <w:rFonts w:ascii="Times New Roman" w:hAnsi="Times New Roman" w:eastAsia="仿宋_GB2312" w:cs="Times New Roman"/>
          <w:color w:val="auto"/>
          <w:sz w:val="32"/>
          <w:szCs w:val="32"/>
          <w:highlight w:val="none"/>
        </w:rPr>
        <w:t>为农户提供精准化、个性化的科技服务，发展精准农业、</w:t>
      </w:r>
      <w:r>
        <w:rPr>
          <w:rFonts w:hint="eastAsia" w:ascii="Times New Roman" w:hAnsi="Times New Roman" w:eastAsia="仿宋_GB2312" w:cs="Times New Roman"/>
          <w:color w:val="auto"/>
          <w:sz w:val="32"/>
          <w:szCs w:val="32"/>
          <w:highlight w:val="none"/>
          <w:lang w:eastAsia="zh-CN"/>
        </w:rPr>
        <w:t>智慧</w:t>
      </w:r>
      <w:r>
        <w:rPr>
          <w:rFonts w:ascii="Times New Roman" w:hAnsi="Times New Roman" w:eastAsia="仿宋_GB2312" w:cs="Times New Roman"/>
          <w:color w:val="auto"/>
          <w:sz w:val="32"/>
          <w:szCs w:val="32"/>
          <w:highlight w:val="none"/>
        </w:rPr>
        <w:t>农业，实现农业生产的数字化、智能化转型。</w:t>
      </w:r>
      <w:r>
        <w:rPr>
          <w:rFonts w:hint="eastAsia" w:ascii="Times New Roman" w:hAnsi="Times New Roman" w:eastAsia="仿宋_GB2312" w:cs="Times New Roman"/>
          <w:color w:val="auto"/>
          <w:sz w:val="32"/>
          <w:szCs w:val="32"/>
          <w:highlight w:val="none"/>
        </w:rPr>
        <w:t>推进农业数据资源的整合治理和交换共享</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构建农产品质量安全追溯体系，</w:t>
      </w:r>
      <w:r>
        <w:rPr>
          <w:rFonts w:hint="eastAsia" w:ascii="Times New Roman" w:hAnsi="Times New Roman" w:eastAsia="仿宋_GB2312" w:cs="Times New Roman"/>
          <w:color w:val="auto"/>
          <w:sz w:val="32"/>
          <w:szCs w:val="32"/>
          <w:highlight w:val="none"/>
          <w:lang w:eastAsia="zh-CN"/>
        </w:rPr>
        <w:t>提升农产品信誉。</w:t>
      </w:r>
      <w:r>
        <w:rPr>
          <w:rFonts w:ascii="Times New Roman" w:hAnsi="Times New Roman" w:eastAsia="仿宋_GB2312" w:cs="Times New Roman"/>
          <w:color w:val="auto"/>
          <w:sz w:val="32"/>
          <w:szCs w:val="32"/>
          <w:highlight w:val="none"/>
        </w:rPr>
        <w:t>依托电商平台、直播平台等数字化渠道，大力发展乡村电商、直播带货等新业态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运用大数据分析优化农业产供销体系，提升农业全产业链的组织化、标准化水平。</w:t>
      </w:r>
      <w:r>
        <w:rPr>
          <w:rFonts w:hint="eastAsia" w:ascii="Times New Roman" w:hAnsi="Times New Roman" w:eastAsia="仿宋_GB2312" w:cs="Times New Roman"/>
          <w:color w:val="auto"/>
          <w:sz w:val="32"/>
          <w:szCs w:val="32"/>
          <w:highlight w:val="none"/>
        </w:rPr>
        <w:t>完善乡村物流网络，推进乡村商业网点基础设施的数字化与标准化建设，以数字化多网融合打造县域物流新格局。</w:t>
      </w:r>
      <w:r>
        <w:rPr>
          <w:rFonts w:ascii="Times New Roman" w:hAnsi="Times New Roman" w:eastAsia="仿宋_GB2312" w:cs="Times New Roman"/>
          <w:color w:val="auto"/>
          <w:sz w:val="32"/>
          <w:szCs w:val="32"/>
          <w:highlight w:val="none"/>
        </w:rPr>
        <w:t>鼓励传统农业企业数字化转型，推动一二三产业数字化融合发展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增强农业产业链韧性，提升农业的现代化水平，实现农业从生产向生活、生态功能方向拓展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形成</w:t>
      </w:r>
      <w:r>
        <w:rPr>
          <w:rFonts w:hint="eastAsia" w:ascii="Times New Roman" w:hAnsi="Times New Roman" w:eastAsia="仿宋_GB2312" w:cs="Times New Roman"/>
          <w:color w:val="auto"/>
          <w:sz w:val="32"/>
          <w:szCs w:val="32"/>
          <w:highlight w:val="none"/>
          <w:lang w:eastAsia="zh-CN"/>
        </w:rPr>
        <w:t>具有</w:t>
      </w:r>
      <w:r>
        <w:rPr>
          <w:rFonts w:hint="eastAsia" w:ascii="Times New Roman" w:hAnsi="Times New Roman" w:eastAsia="仿宋_GB2312" w:cs="Times New Roman"/>
          <w:color w:val="auto"/>
          <w:sz w:val="32"/>
          <w:szCs w:val="32"/>
          <w:highlight w:val="none"/>
        </w:rPr>
        <w:t>区域特色的</w:t>
      </w:r>
      <w:r>
        <w:rPr>
          <w:rFonts w:hint="eastAsia" w:ascii="Times New Roman" w:hAnsi="Times New Roman" w:eastAsia="仿宋_GB2312" w:cs="Times New Roman"/>
          <w:color w:val="auto"/>
          <w:sz w:val="32"/>
          <w:szCs w:val="32"/>
          <w:highlight w:val="none"/>
          <w:lang w:eastAsia="zh-CN"/>
        </w:rPr>
        <w:t>农业新格局</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推动乡村文旅资源数字化开发，</w:t>
      </w:r>
      <w:r>
        <w:rPr>
          <w:rFonts w:hint="eastAsia" w:ascii="Times New Roman" w:hAnsi="Times New Roman" w:eastAsia="仿宋_GB2312" w:cs="Times New Roman"/>
          <w:color w:val="auto"/>
          <w:sz w:val="32"/>
          <w:szCs w:val="32"/>
          <w:highlight w:val="none"/>
        </w:rPr>
        <w:t>激活乡村消费市场，扩大乡村旅游、文化及休闲等特色消费，创新消费场景模式，</w:t>
      </w:r>
      <w:r>
        <w:rPr>
          <w:rFonts w:ascii="Times New Roman" w:hAnsi="Times New Roman" w:eastAsia="仿宋_GB2312" w:cs="Times New Roman"/>
          <w:color w:val="auto"/>
          <w:sz w:val="32"/>
          <w:szCs w:val="32"/>
          <w:highlight w:val="none"/>
        </w:rPr>
        <w:t>发展智慧旅游、数字文创等新产业。</w:t>
      </w:r>
      <w:r>
        <w:rPr>
          <w:rFonts w:hint="eastAsia" w:ascii="Times New Roman" w:hAnsi="Times New Roman" w:eastAsia="仿宋_GB2312" w:cs="Times New Roman"/>
          <w:color w:val="auto"/>
          <w:sz w:val="32"/>
          <w:szCs w:val="32"/>
          <w:highlight w:val="none"/>
          <w:lang w:eastAsia="zh-CN"/>
        </w:rPr>
        <w:t>建强惠农</w:t>
      </w:r>
      <w:r>
        <w:rPr>
          <w:rFonts w:hint="eastAsia" w:ascii="Times New Roman" w:hAnsi="Times New Roman" w:eastAsia="仿宋_GB2312" w:cs="Times New Roman"/>
          <w:color w:val="auto"/>
          <w:sz w:val="32"/>
          <w:szCs w:val="32"/>
          <w:highlight w:val="none"/>
        </w:rPr>
        <w:t>服务支撑体系，利用多维数据画像，实现惠企</w:t>
      </w:r>
      <w:r>
        <w:rPr>
          <w:rFonts w:hint="eastAsia" w:ascii="Times New Roman" w:hAnsi="Times New Roman" w:eastAsia="仿宋_GB2312" w:cs="Times New Roman"/>
          <w:color w:val="auto"/>
          <w:sz w:val="32"/>
          <w:szCs w:val="32"/>
          <w:highlight w:val="none"/>
          <w:lang w:eastAsia="zh-CN"/>
        </w:rPr>
        <w:t>、惠农</w:t>
      </w:r>
      <w:r>
        <w:rPr>
          <w:rFonts w:hint="eastAsia" w:ascii="Times New Roman" w:hAnsi="Times New Roman" w:eastAsia="仿宋_GB2312" w:cs="Times New Roman"/>
          <w:color w:val="auto"/>
          <w:sz w:val="32"/>
          <w:szCs w:val="32"/>
          <w:highlight w:val="none"/>
        </w:rPr>
        <w:t>政策精准直达、产融高效对接。</w:t>
      </w:r>
      <w:r>
        <w:rPr>
          <w:rFonts w:hint="eastAsia" w:ascii="Times New Roman" w:hAnsi="Times New Roman" w:eastAsia="仿宋_GB2312" w:cs="Times New Roman"/>
          <w:color w:val="auto"/>
          <w:sz w:val="32"/>
          <w:szCs w:val="32"/>
          <w:highlight w:val="none"/>
          <w:lang w:eastAsia="zh-CN"/>
        </w:rPr>
        <w:t>深化乡村大数据开发利用，构建现代化乡村治理体系。构建县、乡、村三级联动机制，推动数据共享、业务协同，破解“信息孤岛”，加快推动政务数据开放共享、直达基层，更好支撑“高效办成一件事”。</w:t>
      </w:r>
    </w:p>
    <w:p w14:paraId="229701FE">
      <w:pPr>
        <w:pStyle w:val="4"/>
        <w:keepNext w:val="0"/>
        <w:overflowPunct w:val="0"/>
        <w:spacing w:before="300" w:after="300" w:line="600" w:lineRule="exact"/>
        <w:ind w:firstLine="640"/>
        <w:jc w:val="center"/>
        <w:rPr>
          <w:rFonts w:ascii="Times New Roman" w:hAnsi="Times New Roman" w:eastAsia="方正小标宋简体" w:cs="Times New Roman"/>
          <w:b w:val="0"/>
          <w:bCs w:val="0"/>
          <w:color w:val="auto"/>
          <w:sz w:val="32"/>
          <w:szCs w:val="32"/>
          <w:highlight w:val="none"/>
        </w:rPr>
      </w:pPr>
      <w:bookmarkStart w:id="26" w:name="_Toc215133894"/>
      <w:r>
        <w:rPr>
          <w:rFonts w:ascii="Times New Roman" w:hAnsi="Times New Roman" w:eastAsia="方正小标宋简体" w:cs="Times New Roman"/>
          <w:b w:val="0"/>
          <w:color w:val="auto"/>
          <w:sz w:val="32"/>
          <w:szCs w:val="32"/>
          <w:highlight w:val="none"/>
        </w:rPr>
        <w:t>第六章  补齐基础设施短板，促进城乡设施一体衔接</w:t>
      </w:r>
      <w:bookmarkEnd w:id="26"/>
    </w:p>
    <w:p w14:paraId="1634320F">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完整准确全面贯彻新发展理念，坚持城乡统筹，聚焦城乡道路、供水、燃气、污水处理、物流等基础设施规划建设，以促进城乡设施互联互通为目标，以补短板、提质量、促融合为重点，推动统一规划、建设、管护，构建安全畅通、绿色智能、融合发展的城乡基础设施体系。</w:t>
      </w:r>
    </w:p>
    <w:p w14:paraId="6B71398C">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27" w:name="_Toc215133895"/>
      <w:r>
        <w:rPr>
          <w:rFonts w:ascii="Times New Roman" w:hAnsi="Times New Roman" w:eastAsia="宋体" w:cs="Times New Roman"/>
          <w:b/>
          <w:bCs/>
          <w:color w:val="auto"/>
          <w:sz w:val="32"/>
          <w:szCs w:val="32"/>
          <w:highlight w:val="none"/>
        </w:rPr>
        <w:t xml:space="preserve">第一节  </w:t>
      </w:r>
      <w:bookmarkEnd w:id="27"/>
      <w:r>
        <w:rPr>
          <w:rFonts w:ascii="Times New Roman" w:hAnsi="Times New Roman" w:eastAsia="宋体" w:cs="Times New Roman"/>
          <w:b/>
          <w:bCs/>
          <w:color w:val="auto"/>
          <w:sz w:val="32"/>
          <w:szCs w:val="32"/>
        </w:rPr>
        <w:t>构建一体化城乡交通网络</w:t>
      </w:r>
    </w:p>
    <w:p w14:paraId="71B9905D">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贯彻落实习近平总书记关于“四好农村路”建设和“补齐农村基础设施短板”的重要指示精神，以县域乡村为重点，加快推进城乡交通基础设施一体化高质量发展。</w:t>
      </w:r>
    </w:p>
    <w:p w14:paraId="2C9D1A94">
      <w:pPr>
        <w:overflowPunct w:val="0"/>
        <w:spacing w:line="60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b/>
          <w:color w:val="auto"/>
          <w:sz w:val="32"/>
          <w:szCs w:val="32"/>
          <w:highlight w:val="none"/>
        </w:rPr>
        <w:t>加快交通基础设施提档升级。</w:t>
      </w:r>
      <w:r>
        <w:rPr>
          <w:rFonts w:hint="eastAsia" w:ascii="Times New Roman" w:hAnsi="Times New Roman" w:eastAsia="仿宋_GB2312" w:cs="Times New Roman"/>
          <w:color w:val="auto"/>
          <w:sz w:val="32"/>
          <w:szCs w:val="32"/>
          <w:highlight w:val="none"/>
          <w:lang w:eastAsia="zh-CN"/>
        </w:rPr>
        <w:t>加快郑南高速、焦平高速、周平高速等项目建设，开展尉临高速、永灵高速等项目前期研究，扎实推进国道107、国道234、省道227、省道320、省道324等新改建项目，加强高速公路、国省干线公路与农村公路顺畅衔接，构建以高速公路、干线公路网络为支撑的外畅内联大通道。实施新一轮农村公路提</w:t>
      </w:r>
      <w:r>
        <w:rPr>
          <w:rFonts w:hint="eastAsia" w:ascii="Times New Roman" w:hAnsi="Times New Roman" w:eastAsia="仿宋_GB2312" w:cs="Times New Roman"/>
          <w:color w:val="auto"/>
          <w:sz w:val="32"/>
          <w:szCs w:val="32"/>
          <w:highlight w:val="none"/>
        </w:rPr>
        <w:t>升行动，</w:t>
      </w:r>
      <w:r>
        <w:rPr>
          <w:rFonts w:hint="default" w:ascii="Times New Roman" w:hAnsi="Times New Roman" w:eastAsia="仿宋_GB2312" w:cs="Times New Roman"/>
          <w:color w:val="auto"/>
          <w:sz w:val="32"/>
          <w:szCs w:val="32"/>
          <w:highlight w:val="none"/>
          <w:lang w:val="en-US" w:eastAsia="zh-CN"/>
        </w:rPr>
        <w:t>加强骨干路网改造、窄路基路面加宽、行政村通双车道工程建设，</w:t>
      </w:r>
      <w:r>
        <w:rPr>
          <w:rFonts w:hint="eastAsia" w:ascii="Times New Roman" w:hAnsi="Times New Roman" w:eastAsia="仿宋_GB2312" w:cs="Times New Roman"/>
          <w:color w:val="auto"/>
          <w:sz w:val="32"/>
          <w:szCs w:val="32"/>
          <w:highlight w:val="none"/>
          <w:lang w:eastAsia="zh-CN"/>
        </w:rPr>
        <w:t>按照三级及以上公路标准，加快推进联通乡镇等主要节点的快速通道建设。加快乡村产业路、旅游路、资源路建设，推动农村公路与沿线配套设施、现代农业、产业园区、旅游景区、农村客运、现代物流、邮政快递等一体化建设，服务乡村产业发展。到</w:t>
      </w:r>
      <w:r>
        <w:rPr>
          <w:rFonts w:hint="eastAsia" w:ascii="Times New Roman" w:hAnsi="Times New Roman" w:eastAsia="仿宋_GB2312" w:cs="Times New Roman"/>
          <w:color w:val="auto"/>
          <w:sz w:val="32"/>
          <w:szCs w:val="32"/>
          <w:highlight w:val="none"/>
          <w:lang w:val="en-US" w:eastAsia="zh-CN"/>
        </w:rPr>
        <w:t>2030年，全市</w:t>
      </w:r>
      <w:r>
        <w:rPr>
          <w:rFonts w:hint="eastAsia" w:ascii="Times New Roman" w:hAnsi="Times New Roman" w:eastAsia="仿宋_GB2312" w:cs="Times New Roman"/>
          <w:color w:val="auto"/>
          <w:sz w:val="32"/>
          <w:szCs w:val="32"/>
          <w:highlight w:val="none"/>
          <w:lang w:eastAsia="zh-CN"/>
        </w:rPr>
        <w:t>新建和改造提升农村公路</w:t>
      </w:r>
      <w:r>
        <w:rPr>
          <w:rFonts w:hint="eastAsia" w:ascii="Times New Roman" w:hAnsi="Times New Roman" w:eastAsia="仿宋_GB2312" w:cs="Times New Roman"/>
          <w:color w:val="auto"/>
          <w:sz w:val="32"/>
          <w:szCs w:val="32"/>
          <w:highlight w:val="none"/>
          <w:lang w:val="en-US" w:eastAsia="zh-CN"/>
        </w:rPr>
        <w:t>1000公里。</w:t>
      </w:r>
    </w:p>
    <w:p w14:paraId="2658C76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提升交通运输服务水平。</w:t>
      </w:r>
      <w:r>
        <w:rPr>
          <w:rFonts w:hint="eastAsia" w:ascii="Times New Roman" w:hAnsi="Times New Roman" w:eastAsia="仿宋_GB2312" w:cs="Times New Roman"/>
          <w:color w:val="auto"/>
          <w:sz w:val="32"/>
          <w:szCs w:val="32"/>
          <w:highlight w:val="none"/>
        </w:rPr>
        <w:t>持续优化</w:t>
      </w:r>
      <w:r>
        <w:rPr>
          <w:rFonts w:hint="eastAsia" w:ascii="Times New Roman" w:hAnsi="Times New Roman" w:eastAsia="仿宋_GB2312" w:cs="Times New Roman"/>
          <w:color w:val="auto"/>
          <w:sz w:val="32"/>
          <w:szCs w:val="32"/>
          <w:highlight w:val="none"/>
          <w:lang w:eastAsia="zh-CN"/>
        </w:rPr>
        <w:t>农村</w:t>
      </w:r>
      <w:r>
        <w:rPr>
          <w:rFonts w:hint="eastAsia" w:ascii="Times New Roman" w:hAnsi="Times New Roman" w:eastAsia="仿宋_GB2312" w:cs="Times New Roman"/>
          <w:color w:val="auto"/>
          <w:sz w:val="32"/>
          <w:szCs w:val="32"/>
          <w:highlight w:val="none"/>
        </w:rPr>
        <w:t>客运线路，支持农村客运经营主体在群众居住分散、出行需求不足的偏远地区提供区域经营、预约响应式农村客运服务。充分利用农村客货场站、养护道班和沿线闲置土地资源等，完善农村交通驿站、客运停靠站点、停车区</w:t>
      </w:r>
      <w:r>
        <w:rPr>
          <w:rFonts w:hint="eastAsia" w:ascii="Times New Roman" w:hAnsi="Times New Roman" w:eastAsia="仿宋_GB2312" w:cs="Times New Roman"/>
          <w:color w:val="auto"/>
          <w:sz w:val="32"/>
          <w:szCs w:val="32"/>
          <w:highlight w:val="none"/>
          <w:lang w:eastAsia="zh-CN"/>
        </w:rPr>
        <w:t>、充换电</w:t>
      </w:r>
      <w:r>
        <w:rPr>
          <w:rFonts w:hint="eastAsia" w:ascii="Times New Roman" w:hAnsi="Times New Roman" w:eastAsia="仿宋_GB2312" w:cs="Times New Roman"/>
          <w:color w:val="auto"/>
          <w:sz w:val="32"/>
          <w:szCs w:val="32"/>
          <w:highlight w:val="none"/>
        </w:rPr>
        <w:t>等服务设施。引导县域内城乡客运、货运物流、邮政快递、电子商务等企业加强合作，实现设施、运力、线路、信息等资源共建、共享、共用，推广农村客货邮适配车型，推动统仓共配，提升农村客货邮融合发展服务能力。</w:t>
      </w:r>
    </w:p>
    <w:p w14:paraId="38FBD03C">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提高交通</w:t>
      </w:r>
      <w:r>
        <w:rPr>
          <w:rFonts w:hint="eastAsia" w:ascii="Times New Roman" w:hAnsi="Times New Roman" w:eastAsia="仿宋_GB2312" w:cs="Times New Roman"/>
          <w:b/>
          <w:color w:val="auto"/>
          <w:sz w:val="32"/>
          <w:szCs w:val="32"/>
          <w:highlight w:val="none"/>
          <w:lang w:eastAsia="zh-CN"/>
        </w:rPr>
        <w:t>运输治理能力</w:t>
      </w:r>
      <w:r>
        <w:rPr>
          <w:rFonts w:ascii="Times New Roman" w:hAnsi="Times New Roman" w:eastAsia="仿宋_GB2312" w:cs="Times New Roman"/>
          <w:b/>
          <w:color w:val="auto"/>
          <w:sz w:val="32"/>
          <w:szCs w:val="32"/>
          <w:highlight w:val="none"/>
        </w:rPr>
        <w:t>。</w:t>
      </w:r>
      <w:r>
        <w:rPr>
          <w:rFonts w:hint="eastAsia" w:ascii="Times New Roman" w:hAnsi="Times New Roman" w:eastAsia="仿宋_GB2312" w:cs="Times New Roman"/>
          <w:color w:val="auto"/>
          <w:sz w:val="32"/>
          <w:szCs w:val="32"/>
          <w:highlight w:val="none"/>
        </w:rPr>
        <w:t>深化农村公路管理养护体制改革，落实政府责任，加快形成“政府主导、部门协同、上下联动、共治共享”的工作格局。</w:t>
      </w:r>
      <w:r>
        <w:rPr>
          <w:rFonts w:hint="eastAsia" w:ascii="Times New Roman" w:hAnsi="Times New Roman" w:eastAsia="仿宋_GB2312" w:cs="Times New Roman"/>
          <w:color w:val="auto"/>
          <w:sz w:val="32"/>
          <w:szCs w:val="32"/>
          <w:highlight w:val="none"/>
          <w:lang w:eastAsia="zh-CN"/>
        </w:rPr>
        <w:t>健全</w:t>
      </w:r>
      <w:r>
        <w:rPr>
          <w:rFonts w:hint="eastAsia" w:ascii="Times New Roman" w:hAnsi="Times New Roman" w:eastAsia="仿宋_GB2312" w:cs="Times New Roman"/>
          <w:color w:val="auto"/>
          <w:sz w:val="32"/>
          <w:szCs w:val="32"/>
          <w:highlight w:val="none"/>
        </w:rPr>
        <w:t>“路长制”运行长效机制</w:t>
      </w:r>
      <w:r>
        <w:rPr>
          <w:rFonts w:hint="eastAsia" w:ascii="Times New Roman" w:hAnsi="Times New Roman" w:eastAsia="仿宋_GB2312" w:cs="Times New Roman"/>
          <w:color w:val="auto"/>
          <w:sz w:val="32"/>
          <w:szCs w:val="32"/>
          <w:highlight w:val="none"/>
          <w:lang w:eastAsia="zh-CN"/>
        </w:rPr>
        <w:t>，引导将爱路护路纳入乡规民约、村规民约。推进农村公路养护专业化、机械化、规模化发展，加强路面保洁、路肩维护、边沟整治等，推动农村公路日常养护全覆盖。推动农村公路数字化转型，开展“一路一档”信息化建设，全面推进路况自动化检测。</w:t>
      </w:r>
    </w:p>
    <w:p w14:paraId="3348E870">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28" w:name="_Toc215133896"/>
      <w:r>
        <w:rPr>
          <w:rFonts w:ascii="Times New Roman" w:hAnsi="Times New Roman" w:eastAsia="宋体" w:cs="Times New Roman"/>
          <w:b/>
          <w:bCs/>
          <w:color w:val="auto"/>
          <w:sz w:val="32"/>
          <w:szCs w:val="32"/>
          <w:highlight w:val="none"/>
        </w:rPr>
        <w:t xml:space="preserve">第二节  </w:t>
      </w:r>
      <w:bookmarkEnd w:id="28"/>
      <w:r>
        <w:rPr>
          <w:rFonts w:ascii="Times New Roman" w:hAnsi="Times New Roman" w:eastAsia="宋体" w:cs="Times New Roman"/>
          <w:b/>
          <w:bCs/>
          <w:color w:val="auto"/>
          <w:sz w:val="32"/>
          <w:szCs w:val="32"/>
        </w:rPr>
        <w:t>强化能源水利和网络基础设施支撑</w:t>
      </w:r>
    </w:p>
    <w:p w14:paraId="0F09E07D">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聚焦农业水利、能源、信息</w:t>
      </w:r>
      <w:r>
        <w:rPr>
          <w:rFonts w:hint="eastAsia" w:ascii="Times New Roman" w:hAnsi="Times New Roman" w:eastAsia="仿宋_GB2312" w:cs="Times New Roman"/>
          <w:color w:val="auto"/>
          <w:sz w:val="32"/>
          <w:szCs w:val="32"/>
          <w:highlight w:val="none"/>
          <w:lang w:eastAsia="zh-CN"/>
        </w:rPr>
        <w:t>等</w:t>
      </w:r>
      <w:r>
        <w:rPr>
          <w:rFonts w:hint="eastAsia" w:ascii="Times New Roman" w:hAnsi="Times New Roman" w:eastAsia="仿宋_GB2312" w:cs="Times New Roman"/>
          <w:color w:val="auto"/>
          <w:sz w:val="32"/>
          <w:szCs w:val="32"/>
          <w:highlight w:val="none"/>
        </w:rPr>
        <w:t>基础设施</w:t>
      </w:r>
      <w:r>
        <w:rPr>
          <w:rFonts w:ascii="Times New Roman" w:hAnsi="Times New Roman" w:eastAsia="仿宋_GB2312" w:cs="Times New Roman"/>
          <w:color w:val="auto"/>
          <w:sz w:val="32"/>
          <w:szCs w:val="32"/>
          <w:highlight w:val="none"/>
        </w:rPr>
        <w:t>建设，强化投入，弥补短板，完善农业重大基础设施体系。</w:t>
      </w:r>
    </w:p>
    <w:p w14:paraId="374C58A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打造覆盖城乡的能源网络。</w:t>
      </w:r>
      <w:r>
        <w:rPr>
          <w:rFonts w:ascii="Times New Roman" w:hAnsi="Times New Roman" w:eastAsia="仿宋_GB2312" w:cs="Times New Roman"/>
          <w:color w:val="auto"/>
          <w:sz w:val="32"/>
          <w:szCs w:val="32"/>
          <w:highlight w:val="none"/>
        </w:rPr>
        <w:t>积极推动可再生能源开发利用，发展农村生物质能源，因地制宜开发风能资源，多元化开发利用太阳能资源，鼓励就地就近发展分布式光伏、分散式风电，谋划推进氢能全产业链发展。推进农网升级改造，打造各电压等级灵活调配、多元化负荷安全接入的坚强智能电网。加大乡镇充电基础设施建设力度，将充电基础设施用地纳入乡镇公用设施营业网点用地范围，支持现有加油（气）站通过改建、扩建等方式建设公共充电站。</w:t>
      </w:r>
    </w:p>
    <w:p w14:paraId="08F5E00C">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完善农业重大水利设施。</w:t>
      </w:r>
      <w:r>
        <w:rPr>
          <w:rFonts w:hint="eastAsia" w:ascii="Times New Roman" w:hAnsi="Times New Roman" w:eastAsia="仿宋_GB2312" w:cs="Times New Roman"/>
          <w:color w:val="auto"/>
          <w:sz w:val="32"/>
          <w:szCs w:val="32"/>
          <w:highlight w:val="none"/>
        </w:rPr>
        <w:t>推动农业水利高质量发展，统筹推进城乡供水、灌区现代化改造等水资源调配工程建设，提高水资源开发利用效率和配置水平。实施水源工程，推动实施禹州市沙陀湖调蓄工程。推动农业灌区升级改造，聚焦大中型灌区建设与现代化改造，谋划颍汝灌区现代化改造项目，实施赵口灌区、禹州市纸坊灌区现代化改造项目，进一步提升粮食生产安全保障能力。</w:t>
      </w:r>
    </w:p>
    <w:p w14:paraId="47EB4D11">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推进城乡信息网络一体化建设。</w:t>
      </w:r>
      <w:r>
        <w:rPr>
          <w:rFonts w:ascii="Times New Roman" w:hAnsi="Times New Roman" w:eastAsia="仿宋_GB2312" w:cs="Times New Roman"/>
          <w:color w:val="auto"/>
          <w:sz w:val="32"/>
          <w:szCs w:val="32"/>
          <w:highlight w:val="none"/>
        </w:rPr>
        <w:t>持续加大农村网络建设投入，持续完善农村“新基建”布局，加快推进农村5G网络建设，提升网络运行维护和宽带服务水平，扩大光纤宽带覆盖范围。统筹推进城乡千兆光网建设升级，逐步扩大农村千兆光网覆盖范围，持续开展固定宽带用户免费提速，提升农村地区高速率宽带用户占比。实施“5G+现代农业”行动，加快推进新一代信息技术在种植业、畜牧业、渔业、农产品加工业等农业领域深度融合，全面提高农业绿色化、智能化水平。</w:t>
      </w:r>
    </w:p>
    <w:p w14:paraId="28F85C78">
      <w:pPr>
        <w:keepLines/>
        <w:overflowPunct w:val="0"/>
        <w:spacing w:before="120" w:after="120" w:line="600" w:lineRule="exact"/>
        <w:jc w:val="center"/>
        <w:outlineLvl w:val="1"/>
        <w:rPr>
          <w:rFonts w:hint="eastAsia" w:ascii="Times New Roman" w:hAnsi="Times New Roman" w:eastAsia="宋体" w:cs="Times New Roman"/>
          <w:b/>
          <w:bCs/>
          <w:color w:val="auto"/>
          <w:sz w:val="32"/>
          <w:szCs w:val="32"/>
          <w:highlight w:val="none"/>
          <w:lang w:eastAsia="zh-CN"/>
        </w:rPr>
      </w:pPr>
      <w:bookmarkStart w:id="29" w:name="_Toc215133897"/>
      <w:r>
        <w:rPr>
          <w:rFonts w:ascii="Times New Roman" w:hAnsi="Times New Roman" w:eastAsia="宋体" w:cs="Times New Roman"/>
          <w:b/>
          <w:bCs/>
          <w:color w:val="auto"/>
          <w:sz w:val="32"/>
          <w:szCs w:val="32"/>
          <w:highlight w:val="none"/>
        </w:rPr>
        <w:t>第三节  健全城乡公共</w:t>
      </w:r>
      <w:r>
        <w:rPr>
          <w:rFonts w:hint="eastAsia" w:ascii="Times New Roman" w:hAnsi="Times New Roman" w:eastAsia="宋体" w:cs="Times New Roman"/>
          <w:b/>
          <w:bCs/>
          <w:color w:val="auto"/>
          <w:sz w:val="32"/>
          <w:szCs w:val="32"/>
          <w:highlight w:val="none"/>
          <w:lang w:eastAsia="zh-CN"/>
        </w:rPr>
        <w:t>基础</w:t>
      </w:r>
      <w:r>
        <w:rPr>
          <w:rFonts w:ascii="Times New Roman" w:hAnsi="Times New Roman" w:eastAsia="宋体" w:cs="Times New Roman"/>
          <w:b/>
          <w:bCs/>
          <w:color w:val="auto"/>
          <w:sz w:val="32"/>
          <w:szCs w:val="32"/>
          <w:highlight w:val="none"/>
        </w:rPr>
        <w:t>设施</w:t>
      </w:r>
      <w:bookmarkEnd w:id="29"/>
      <w:r>
        <w:rPr>
          <w:rFonts w:hint="eastAsia" w:ascii="Times New Roman" w:hAnsi="Times New Roman" w:eastAsia="宋体" w:cs="Times New Roman"/>
          <w:b/>
          <w:bCs/>
          <w:color w:val="auto"/>
          <w:sz w:val="32"/>
          <w:szCs w:val="32"/>
          <w:highlight w:val="none"/>
          <w:lang w:val="en-US" w:eastAsia="zh-CN"/>
        </w:rPr>
        <w:t>体系</w:t>
      </w:r>
    </w:p>
    <w:p w14:paraId="5B003285">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以农村为重点，推动城乡基础设施一体化规划建设，重点推动城乡供水供气、垃圾处理等设施建设，健全城乡公共服务设施网络体系。</w:t>
      </w:r>
    </w:p>
    <w:p w14:paraId="5C7CB4EF">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推进城乡供水一体化建设。</w:t>
      </w:r>
      <w:r>
        <w:rPr>
          <w:rFonts w:ascii="Times New Roman" w:hAnsi="Times New Roman" w:eastAsia="仿宋_GB2312" w:cs="Times New Roman"/>
          <w:color w:val="auto"/>
          <w:sz w:val="32"/>
          <w:szCs w:val="32"/>
          <w:highlight w:val="none"/>
        </w:rPr>
        <w:t>打破城乡供水二元化格局，建立从源头到龙头的城乡饮水安全保障体系，推进农村供水规模化、市场化、水源地表化、城乡一体化，构建同网、同质、同服务的供水新格局。以县（市、区）为单元，推广“建管一体化”模式，引入专业化企业、社会资本投资、建设和管护供水设施，实现城乡供水建设与管理全覆盖。</w:t>
      </w:r>
      <w:r>
        <w:rPr>
          <w:rFonts w:hint="eastAsia" w:ascii="Times New Roman" w:hAnsi="Times New Roman" w:eastAsia="仿宋_GB2312" w:cs="Times New Roman"/>
          <w:color w:val="auto"/>
          <w:sz w:val="32"/>
          <w:szCs w:val="32"/>
          <w:highlight w:val="none"/>
        </w:rPr>
        <w:t>以丹江水全域覆盖为核心，加快长葛市剩余管网和襄城县城乡供水一体化二期建设进度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充分利用南水北调、当地地表水源，推进地下水型饮用水水源置换，推进饮用水源地表化。</w:t>
      </w:r>
      <w:r>
        <w:rPr>
          <w:rFonts w:hint="eastAsia" w:ascii="Times New Roman" w:hAnsi="Times New Roman" w:eastAsia="仿宋_GB2312" w:cs="Times New Roman"/>
          <w:color w:val="auto"/>
          <w:sz w:val="32"/>
          <w:szCs w:val="32"/>
          <w:highlight w:val="none"/>
        </w:rPr>
        <w:t>统筹推进城市备用水源建设，推进沙陀湖等项目建设，提升生产生活、生态用水保障能力。</w:t>
      </w:r>
      <w:r>
        <w:rPr>
          <w:rFonts w:ascii="Times New Roman" w:hAnsi="Times New Roman" w:eastAsia="仿宋_GB2312" w:cs="Times New Roman"/>
          <w:color w:val="auto"/>
          <w:sz w:val="32"/>
          <w:szCs w:val="32"/>
          <w:highlight w:val="none"/>
        </w:rPr>
        <w:t>创新公共服务供给模式，推进供水企业化、专业化、物业化管理。</w:t>
      </w:r>
      <w:r>
        <w:rPr>
          <w:rFonts w:hint="eastAsia" w:ascii="Times New Roman" w:hAnsi="Times New Roman" w:eastAsia="仿宋_GB2312" w:cs="Times New Roman"/>
          <w:color w:val="auto"/>
          <w:sz w:val="32"/>
          <w:szCs w:val="32"/>
          <w:highlight w:val="none"/>
        </w:rPr>
        <w:t>实施农村供水工程维修养护和管网提升改造，加快建设县域智慧管理服务平台，扩大专业化管护覆盖范围，基本实现县域统管</w:t>
      </w:r>
      <w:r>
        <w:rPr>
          <w:rFonts w:hint="eastAsia" w:ascii="Times New Roman" w:hAnsi="Times New Roman" w:eastAsia="仿宋_GB2312" w:cs="Times New Roman"/>
          <w:color w:val="auto"/>
          <w:sz w:val="32"/>
          <w:szCs w:val="32"/>
          <w:highlight w:val="none"/>
          <w:lang w:eastAsia="zh-CN"/>
        </w:rPr>
        <w:t>。</w:t>
      </w:r>
    </w:p>
    <w:p w14:paraId="3D6B8FC9">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推动城乡燃气一体化</w:t>
      </w:r>
      <w:r>
        <w:rPr>
          <w:rFonts w:hint="eastAsia" w:ascii="Times New Roman" w:hAnsi="Times New Roman" w:eastAsia="仿宋_GB2312" w:cs="Times New Roman"/>
          <w:b/>
          <w:color w:val="auto"/>
          <w:sz w:val="32"/>
          <w:szCs w:val="32"/>
          <w:highlight w:val="none"/>
          <w:lang w:eastAsia="zh-CN"/>
        </w:rPr>
        <w:t>规划</w:t>
      </w:r>
      <w:r>
        <w:rPr>
          <w:rFonts w:ascii="Times New Roman" w:hAnsi="Times New Roman" w:eastAsia="仿宋_GB2312" w:cs="Times New Roman"/>
          <w:b/>
          <w:color w:val="auto"/>
          <w:sz w:val="32"/>
          <w:szCs w:val="32"/>
          <w:highlight w:val="none"/>
        </w:rPr>
        <w:t>建设。</w:t>
      </w:r>
      <w:r>
        <w:rPr>
          <w:rFonts w:hint="eastAsia" w:ascii="Times New Roman" w:hAnsi="Times New Roman" w:eastAsia="仿宋_GB2312" w:cs="Times New Roman"/>
          <w:color w:val="auto"/>
          <w:sz w:val="32"/>
          <w:szCs w:val="32"/>
          <w:highlight w:val="none"/>
          <w:lang w:eastAsia="zh-CN"/>
        </w:rPr>
        <w:t>加快</w:t>
      </w:r>
      <w:r>
        <w:rPr>
          <w:rFonts w:ascii="Times New Roman" w:hAnsi="Times New Roman" w:eastAsia="仿宋_GB2312" w:cs="Times New Roman"/>
          <w:color w:val="auto"/>
          <w:sz w:val="32"/>
          <w:szCs w:val="32"/>
          <w:highlight w:val="none"/>
        </w:rPr>
        <w:t>中压燃气管道新建</w:t>
      </w:r>
      <w:r>
        <w:rPr>
          <w:rFonts w:hint="eastAsia" w:ascii="Times New Roman" w:hAnsi="Times New Roman" w:eastAsia="仿宋_GB2312" w:cs="Times New Roman"/>
          <w:color w:val="auto"/>
          <w:sz w:val="32"/>
          <w:szCs w:val="32"/>
          <w:highlight w:val="none"/>
          <w:lang w:eastAsia="zh-CN"/>
        </w:rPr>
        <w:t>工作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推动燃气管道</w:t>
      </w:r>
      <w:r>
        <w:rPr>
          <w:rFonts w:ascii="Times New Roman" w:hAnsi="Times New Roman" w:eastAsia="仿宋_GB2312" w:cs="Times New Roman"/>
          <w:color w:val="auto"/>
          <w:sz w:val="32"/>
          <w:szCs w:val="32"/>
          <w:highlight w:val="none"/>
        </w:rPr>
        <w:t>持续向乡镇和农村延伸。实施“气化乡村”工程，按照“上游引气源、中游建管网、下游拓市场”的发展思路，持续推进天然气基础设施建设，加快乡镇天然气场站、燃气管网、调压设施等建设，实现天然气“镇镇通、村村通”。强化对农村“煤改气”工程的监督管理力度，加强对违规建设燃气设施的治理，关停或拆除未经审批的供应站、加气站、液化石油气站等设施。</w:t>
      </w:r>
    </w:p>
    <w:p w14:paraId="6277E26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推进城乡生活垃圾处理设施建</w:t>
      </w:r>
      <w:r>
        <w:rPr>
          <w:rFonts w:hint="eastAsia" w:ascii="Times New Roman" w:hAnsi="Times New Roman" w:eastAsia="仿宋_GB2312" w:cs="Times New Roman"/>
          <w:b/>
          <w:color w:val="auto"/>
          <w:sz w:val="32"/>
          <w:szCs w:val="32"/>
          <w:highlight w:val="none"/>
        </w:rPr>
        <w:t>设。</w:t>
      </w:r>
      <w:r>
        <w:rPr>
          <w:rFonts w:hint="eastAsia" w:ascii="Times New Roman" w:hAnsi="Times New Roman" w:eastAsia="仿宋_GB2312" w:cs="Times New Roman"/>
          <w:color w:val="auto"/>
          <w:sz w:val="32"/>
          <w:szCs w:val="32"/>
          <w:highlight w:val="none"/>
        </w:rPr>
        <w:t>建</w:t>
      </w:r>
      <w:r>
        <w:rPr>
          <w:rFonts w:ascii="Times New Roman" w:hAnsi="Times New Roman" w:eastAsia="仿宋_GB2312" w:cs="Times New Roman"/>
          <w:color w:val="auto"/>
          <w:sz w:val="32"/>
          <w:szCs w:val="32"/>
          <w:highlight w:val="none"/>
        </w:rPr>
        <w:t>立城乡生活垃圾源头减量和分类管理机制，促进城乡生活垃圾减量化、资源化、无害化。</w:t>
      </w:r>
      <w:r>
        <w:rPr>
          <w:rFonts w:hint="eastAsia" w:ascii="仿宋_GB2312" w:hAnsi="仿宋_GB2312" w:eastAsia="仿宋_GB2312" w:cs="仿宋_GB2312"/>
          <w:b w:val="0"/>
          <w:bCs w:val="0"/>
          <w:color w:val="auto"/>
          <w:sz w:val="32"/>
          <w:szCs w:val="32"/>
          <w:u w:val="none"/>
          <w:lang w:val="en" w:eastAsia="zh-CN"/>
        </w:rPr>
        <w:t>开展城镇生活垃圾“撤桶并点”试点，</w:t>
      </w:r>
      <w:r>
        <w:rPr>
          <w:rFonts w:hint="eastAsia" w:ascii="仿宋_GB2312" w:hAnsi="仿宋_GB2312" w:eastAsia="仿宋_GB2312" w:cs="仿宋_GB2312"/>
          <w:color w:val="auto"/>
          <w:sz w:val="32"/>
          <w:szCs w:val="32"/>
        </w:rPr>
        <w:t>逐步推</w:t>
      </w:r>
      <w:r>
        <w:rPr>
          <w:rFonts w:hint="eastAsia" w:ascii="仿宋_GB2312" w:hAnsi="仿宋_GB2312" w:eastAsia="仿宋_GB2312" w:cs="仿宋_GB2312"/>
          <w:color w:val="auto"/>
          <w:sz w:val="32"/>
          <w:szCs w:val="32"/>
          <w:lang w:eastAsia="zh-CN"/>
        </w:rPr>
        <w:t>行</w:t>
      </w:r>
      <w:r>
        <w:rPr>
          <w:rFonts w:hint="eastAsia" w:ascii="仿宋_GB2312" w:hAnsi="仿宋_GB2312" w:eastAsia="仿宋_GB2312" w:cs="仿宋_GB2312"/>
          <w:color w:val="auto"/>
          <w:sz w:val="32"/>
          <w:szCs w:val="32"/>
        </w:rPr>
        <w:t>居民小区“撤桶并点、定时定点投放”</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鼓励</w:t>
      </w:r>
      <w:r>
        <w:rPr>
          <w:rFonts w:hint="eastAsia" w:ascii="仿宋_GB2312" w:hAnsi="仿宋_GB2312" w:eastAsia="仿宋_GB2312" w:cs="仿宋_GB2312"/>
          <w:color w:val="auto"/>
          <w:sz w:val="32"/>
          <w:szCs w:val="32"/>
        </w:rPr>
        <w:t>厨余垃圾“车载桶装、换桶直运”试点，</w:t>
      </w:r>
      <w:r>
        <w:rPr>
          <w:rFonts w:hint="eastAsia" w:ascii="仿宋_GB2312" w:hAnsi="仿宋_GB2312" w:eastAsia="仿宋_GB2312" w:cs="仿宋_GB2312"/>
          <w:color w:val="auto"/>
          <w:sz w:val="32"/>
          <w:szCs w:val="32"/>
          <w:lang w:eastAsia="zh-CN"/>
        </w:rPr>
        <w:t>持续提升</w:t>
      </w:r>
      <w:r>
        <w:rPr>
          <w:rFonts w:hint="eastAsia" w:ascii="仿宋_GB2312" w:hAnsi="仿宋_GB2312" w:eastAsia="仿宋_GB2312" w:cs="仿宋_GB2312"/>
          <w:color w:val="auto"/>
          <w:sz w:val="32"/>
          <w:szCs w:val="32"/>
        </w:rPr>
        <w:t>垃圾分类工作</w:t>
      </w:r>
      <w:r>
        <w:rPr>
          <w:rFonts w:hint="eastAsia" w:ascii="仿宋_GB2312" w:hAnsi="仿宋_GB2312" w:eastAsia="仿宋_GB2312" w:cs="仿宋_GB2312"/>
          <w:color w:val="auto"/>
          <w:sz w:val="32"/>
          <w:szCs w:val="32"/>
          <w:lang w:eastAsia="zh-CN"/>
        </w:rPr>
        <w:t>成效</w:t>
      </w:r>
      <w:r>
        <w:rPr>
          <w:rFonts w:ascii="Times New Roman" w:hAnsi="Times New Roman" w:eastAsia="仿宋_GB2312" w:cs="Times New Roman"/>
          <w:color w:val="auto"/>
          <w:sz w:val="32"/>
          <w:szCs w:val="32"/>
          <w:highlight w:val="none"/>
        </w:rPr>
        <w:t>。实施农村生活垃圾分类处理工程，按照“五有标准”，逐步建立健全“扫干净、转运走、处理好、保持住”的农村生活垃圾收运体系。</w:t>
      </w:r>
      <w:r>
        <w:rPr>
          <w:rFonts w:hint="eastAsia" w:ascii="Times New Roman" w:hAnsi="Times New Roman" w:eastAsia="仿宋_GB2312" w:cs="Times New Roman"/>
          <w:color w:val="auto"/>
          <w:sz w:val="32"/>
          <w:szCs w:val="32"/>
          <w:highlight w:val="none"/>
        </w:rPr>
        <w:t>因地制宜对其他垃圾和厨余垃圾进行就近就地资源化处理</w:t>
      </w:r>
      <w:r>
        <w:rPr>
          <w:rFonts w:ascii="Times New Roman" w:hAnsi="Times New Roman" w:eastAsia="仿宋_GB2312" w:cs="Times New Roman"/>
          <w:color w:val="auto"/>
          <w:sz w:val="32"/>
          <w:szCs w:val="32"/>
          <w:highlight w:val="none"/>
        </w:rPr>
        <w:t>，将有害垃圾按照规定运至指定储存点或企业进行处置。</w:t>
      </w:r>
    </w:p>
    <w:p w14:paraId="2C35F8E4">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30" w:name="_Toc215133898"/>
      <w:r>
        <w:rPr>
          <w:rFonts w:ascii="Times New Roman" w:hAnsi="Times New Roman" w:eastAsia="宋体" w:cs="Times New Roman"/>
          <w:b/>
          <w:bCs/>
          <w:color w:val="auto"/>
          <w:sz w:val="32"/>
          <w:szCs w:val="32"/>
          <w:highlight w:val="none"/>
        </w:rPr>
        <w:t xml:space="preserve">第四节  </w:t>
      </w:r>
      <w:bookmarkEnd w:id="30"/>
      <w:r>
        <w:rPr>
          <w:rFonts w:ascii="Times New Roman" w:hAnsi="Times New Roman" w:eastAsia="宋体" w:cs="Times New Roman"/>
          <w:b/>
          <w:bCs/>
          <w:color w:val="auto"/>
          <w:sz w:val="32"/>
          <w:szCs w:val="32"/>
        </w:rPr>
        <w:t>完善基础设施建管护一体化机制</w:t>
      </w:r>
    </w:p>
    <w:p w14:paraId="2D9A0A63">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聚焦城乡基础设施规划建设、管理、维护，破除壁垒，创新机制，建立健全“建管护”一体化的体制机制。</w:t>
      </w:r>
    </w:p>
    <w:p w14:paraId="098D3D5A">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建立城乡基础设施一体化规划机制。</w:t>
      </w:r>
      <w:r>
        <w:rPr>
          <w:rFonts w:hint="eastAsia" w:ascii="Times New Roman" w:hAnsi="Times New Roman" w:eastAsia="仿宋_GB2312" w:cs="Times New Roman"/>
          <w:color w:val="auto"/>
          <w:sz w:val="32"/>
          <w:szCs w:val="32"/>
        </w:rPr>
        <w:t>坚持</w:t>
      </w:r>
      <w:r>
        <w:rPr>
          <w:rFonts w:ascii="Times New Roman" w:hAnsi="Times New Roman" w:eastAsia="仿宋_GB2312" w:cs="Times New Roman"/>
          <w:color w:val="auto"/>
          <w:sz w:val="32"/>
          <w:szCs w:val="32"/>
        </w:rPr>
        <w:t>基础设施建设与地方经济社会发展战略相结合，紧密结合自然条件、人口分布、产业发展和社会治理等特点，</w:t>
      </w:r>
      <w:r>
        <w:rPr>
          <w:rFonts w:hint="eastAsia" w:ascii="Times New Roman" w:hAnsi="Times New Roman" w:eastAsia="仿宋_GB2312" w:cs="Times New Roman"/>
          <w:color w:val="auto"/>
          <w:sz w:val="32"/>
          <w:szCs w:val="32"/>
        </w:rPr>
        <w:t>优化</w:t>
      </w:r>
      <w:r>
        <w:rPr>
          <w:rFonts w:ascii="Times New Roman" w:hAnsi="Times New Roman" w:eastAsia="仿宋_GB2312" w:cs="Times New Roman"/>
          <w:color w:val="auto"/>
          <w:sz w:val="32"/>
          <w:szCs w:val="32"/>
        </w:rPr>
        <w:t>涵盖交通物流、供水供电、垃圾处置、信息通讯等多领域城乡基础设施一体化的规划</w:t>
      </w:r>
      <w:r>
        <w:rPr>
          <w:rFonts w:hint="eastAsia" w:ascii="Times New Roman" w:hAnsi="Times New Roman" w:eastAsia="仿宋_GB2312" w:cs="Times New Roman"/>
          <w:color w:val="auto"/>
          <w:sz w:val="32"/>
          <w:szCs w:val="32"/>
        </w:rPr>
        <w:t>布局</w:t>
      </w:r>
      <w:r>
        <w:rPr>
          <w:rFonts w:ascii="Times New Roman" w:hAnsi="Times New Roman" w:eastAsia="仿宋_GB2312" w:cs="Times New Roman"/>
          <w:color w:val="auto"/>
          <w:sz w:val="32"/>
          <w:szCs w:val="32"/>
        </w:rPr>
        <w:t>，科学</w:t>
      </w:r>
      <w:r>
        <w:rPr>
          <w:rFonts w:hint="eastAsia" w:ascii="Times New Roman" w:hAnsi="Times New Roman" w:eastAsia="仿宋_GB2312" w:cs="Times New Roman"/>
          <w:color w:val="auto"/>
          <w:sz w:val="32"/>
          <w:szCs w:val="32"/>
        </w:rPr>
        <w:t>确定</w:t>
      </w:r>
      <w:r>
        <w:rPr>
          <w:rFonts w:ascii="Times New Roman" w:hAnsi="Times New Roman" w:eastAsia="仿宋_GB2312" w:cs="Times New Roman"/>
          <w:color w:val="auto"/>
          <w:sz w:val="32"/>
          <w:szCs w:val="32"/>
        </w:rPr>
        <w:t>基础设施规模，</w:t>
      </w:r>
      <w:r>
        <w:rPr>
          <w:rFonts w:ascii="Times New Roman" w:hAnsi="Times New Roman" w:eastAsia="仿宋_GB2312" w:cs="Times New Roman"/>
          <w:color w:val="auto"/>
          <w:sz w:val="32"/>
          <w:szCs w:val="32"/>
          <w:highlight w:val="none"/>
        </w:rPr>
        <w:t>避免重复建设和资源浪费，实现城乡资源优化配置。</w:t>
      </w:r>
    </w:p>
    <w:p w14:paraId="0A7760D1">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推动城乡基础设施一体化建设机制。</w:t>
      </w:r>
      <w:r>
        <w:rPr>
          <w:rFonts w:ascii="Times New Roman" w:hAnsi="Times New Roman" w:eastAsia="仿宋_GB2312" w:cs="Times New Roman"/>
          <w:color w:val="auto"/>
          <w:sz w:val="32"/>
          <w:szCs w:val="32"/>
          <w:highlight w:val="none"/>
        </w:rPr>
        <w:t>建立多元资金筹措机制，引入市场机制，鼓励社会资本参与城乡基础设施建设，提高资金使用效率，确保项目建设的经济效益与社会效益并重。充分考虑农村地区的特殊性和实际需求，研究制定一套适用于城乡一体化的基础设施建设技术标准，有效破解技术断层和质量参差不齐难题，促进城乡基础设施深度融合。推动城乡基础设施重点领域一体化建设，实施城乡道路畅通工程，推进城乡客运一体化，加快建成城乡一体化供水网络，推动农村生活垃圾分类和资源化利用全覆盖。</w:t>
      </w:r>
    </w:p>
    <w:p w14:paraId="3C7A7BD5">
      <w:pPr>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构建城乡基础设施长期管护机制。</w:t>
      </w:r>
      <w:r>
        <w:rPr>
          <w:rFonts w:ascii="Times New Roman" w:hAnsi="Times New Roman" w:eastAsia="仿宋_GB2312" w:cs="Times New Roman"/>
          <w:color w:val="auto"/>
          <w:sz w:val="32"/>
          <w:szCs w:val="32"/>
          <w:highlight w:val="none"/>
        </w:rPr>
        <w:t>构建长效管护机制，明确地方政府</w:t>
      </w:r>
      <w:r>
        <w:rPr>
          <w:rFonts w:hint="eastAsia" w:ascii="Times New Roman" w:hAnsi="Times New Roman" w:eastAsia="仿宋_GB2312" w:cs="Times New Roman"/>
          <w:color w:val="auto"/>
          <w:sz w:val="32"/>
          <w:szCs w:val="32"/>
          <w:highlight w:val="none"/>
          <w:lang w:eastAsia="zh-CN"/>
        </w:rPr>
        <w:t>（政府部门）</w:t>
      </w:r>
      <w:r>
        <w:rPr>
          <w:rFonts w:ascii="Times New Roman" w:hAnsi="Times New Roman" w:eastAsia="仿宋_GB2312" w:cs="Times New Roman"/>
          <w:color w:val="auto"/>
          <w:sz w:val="32"/>
          <w:szCs w:val="32"/>
          <w:highlight w:val="none"/>
        </w:rPr>
        <w:t>、专业服务机构、村委会等在农村基础设施管护中的具体职责，构建多元化管护体系。创新管护模式，引入专业公司负责运营维护，探索建立设施使用付费机制。倡导设立“农村基础设施维护与发展基金”，集聚财政预算、社会资本投入、企业捐赠及适度的设施使用者付费，稳定维护资金来源。强化社区参与，增强村民自我管理意识，鼓励成立基础设施管理自治小组，负责日常巡查、小修小补等工作。提高设施管护的智能化水平，建立设施运行监控平台，实现远程监控、故障预警，降低维护成本，延长设施使用寿命。</w:t>
      </w:r>
    </w:p>
    <w:p w14:paraId="7AC76836">
      <w:pPr>
        <w:pStyle w:val="4"/>
        <w:keepNext w:val="0"/>
        <w:overflowPunct w:val="0"/>
        <w:spacing w:before="300" w:after="300" w:line="600" w:lineRule="exact"/>
        <w:ind w:firstLine="0" w:firstLineChars="0"/>
        <w:jc w:val="center"/>
        <w:rPr>
          <w:rFonts w:ascii="Times New Roman" w:hAnsi="Times New Roman" w:eastAsia="方正小标宋简体" w:cs="Times New Roman"/>
          <w:b w:val="0"/>
          <w:bCs w:val="0"/>
          <w:color w:val="auto"/>
          <w:sz w:val="32"/>
          <w:szCs w:val="32"/>
          <w:highlight w:val="none"/>
        </w:rPr>
      </w:pPr>
      <w:bookmarkStart w:id="31" w:name="_Toc215133904"/>
      <w:r>
        <w:rPr>
          <w:rFonts w:ascii="Times New Roman" w:hAnsi="Times New Roman" w:eastAsia="方正小标宋简体" w:cs="Times New Roman"/>
          <w:b w:val="0"/>
          <w:bCs w:val="0"/>
          <w:color w:val="auto"/>
          <w:sz w:val="32"/>
          <w:szCs w:val="32"/>
          <w:highlight w:val="none"/>
        </w:rPr>
        <w:t>第</w:t>
      </w:r>
      <w:r>
        <w:rPr>
          <w:rFonts w:hint="eastAsia" w:ascii="Times New Roman" w:hAnsi="Times New Roman" w:eastAsia="方正小标宋简体" w:cs="Times New Roman"/>
          <w:b w:val="0"/>
          <w:bCs w:val="0"/>
          <w:color w:val="auto"/>
          <w:sz w:val="32"/>
          <w:szCs w:val="32"/>
          <w:highlight w:val="none"/>
          <w:lang w:eastAsia="zh-CN"/>
        </w:rPr>
        <w:t>七</w:t>
      </w:r>
      <w:r>
        <w:rPr>
          <w:rFonts w:ascii="Times New Roman" w:hAnsi="Times New Roman" w:eastAsia="方正小标宋简体" w:cs="Times New Roman"/>
          <w:b w:val="0"/>
          <w:bCs w:val="0"/>
          <w:color w:val="auto"/>
          <w:sz w:val="32"/>
          <w:szCs w:val="32"/>
          <w:highlight w:val="none"/>
        </w:rPr>
        <w:t>章  优化公共服务供给，促进城乡福祉均衡共享</w:t>
      </w:r>
      <w:bookmarkEnd w:id="31"/>
    </w:p>
    <w:p w14:paraId="4A844A2E">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坚持以人民为中心，创新供给机制与服务模式，强化资源统筹与优化配置，推动优质公共服务向农村延伸拓展，持续提升服务质量与覆盖水平，切实增强人民群众的获得感幸福感安全感。</w:t>
      </w:r>
    </w:p>
    <w:p w14:paraId="501EB5FB">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32" w:name="_Toc215133905"/>
      <w:r>
        <w:rPr>
          <w:rFonts w:ascii="Times New Roman" w:hAnsi="Times New Roman" w:eastAsia="宋体" w:cs="Times New Roman"/>
          <w:b/>
          <w:bCs/>
          <w:color w:val="auto"/>
          <w:sz w:val="32"/>
          <w:szCs w:val="32"/>
          <w:highlight w:val="none"/>
        </w:rPr>
        <w:t>第一节  推进城乡教育优质均衡发展</w:t>
      </w:r>
      <w:bookmarkEnd w:id="32"/>
    </w:p>
    <w:p w14:paraId="0F0A913A">
      <w:pPr>
        <w:overflowPunct w:val="0"/>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以办好人民满意的教育为目标，以公益普惠和优质均衡为基本方向，以缩小城乡、区域、校际教育差距为重点，以基础教育“六大提质行动”及“双创”工作为抓手，持续优化教育资源布局，提升农村教育质量，构建高质量教育体系，为城乡融合发展提供坚实的人才和智力支撑。</w:t>
      </w:r>
    </w:p>
    <w:p w14:paraId="592A5788">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优化城乡教育资源配置。</w:t>
      </w:r>
      <w:r>
        <w:rPr>
          <w:rFonts w:hint="eastAsia" w:ascii="Times New Roman" w:hAnsi="Times New Roman" w:eastAsia="仿宋_GB2312" w:cs="Times New Roman"/>
          <w:color w:val="auto"/>
          <w:sz w:val="32"/>
          <w:szCs w:val="32"/>
          <w:highlight w:val="none"/>
        </w:rPr>
        <w:t>优化学校布局，根据人口变化新形势，科学</w:t>
      </w:r>
      <w:r>
        <w:rPr>
          <w:rFonts w:hint="eastAsia" w:ascii="Times New Roman" w:hAnsi="Times New Roman" w:eastAsia="仿宋_GB2312" w:cs="Times New Roman"/>
          <w:color w:val="auto"/>
          <w:sz w:val="32"/>
          <w:szCs w:val="32"/>
          <w:highlight w:val="none"/>
          <w:lang w:eastAsia="zh-CN"/>
        </w:rPr>
        <w:t>推进</w:t>
      </w:r>
      <w:r>
        <w:rPr>
          <w:rFonts w:hint="eastAsia" w:ascii="Times New Roman" w:hAnsi="Times New Roman" w:eastAsia="仿宋_GB2312" w:cs="Times New Roman"/>
          <w:color w:val="auto"/>
          <w:sz w:val="32"/>
          <w:szCs w:val="32"/>
          <w:highlight w:val="none"/>
        </w:rPr>
        <w:t>农村中小学布局调整，实施义务教育学校标准化建设工程，增加中心城区学位供给。优先保障农村教育投入，确保义务教育经费投入持续增长。实施科学化、集约化的财政投入机制，集中使用上级专项补助资金，加强“两集中”、乡镇寄宿制学校和确需长期保留的乡村小规模学校建设。</w:t>
      </w:r>
      <w:r>
        <w:rPr>
          <w:rFonts w:hint="eastAsia" w:ascii="Times New Roman" w:hAnsi="Times New Roman" w:eastAsia="仿宋_GB2312" w:cs="Times New Roman"/>
          <w:color w:val="auto"/>
          <w:sz w:val="32"/>
          <w:szCs w:val="32"/>
        </w:rPr>
        <w:t>有序推进小学（含教学点）、初中撤并及义务教育学校新建、改扩建。</w:t>
      </w:r>
      <w:r>
        <w:rPr>
          <w:rFonts w:hint="eastAsia" w:ascii="Times New Roman" w:hAnsi="Times New Roman" w:eastAsia="仿宋_GB2312" w:cs="Times New Roman"/>
          <w:color w:val="auto"/>
          <w:sz w:val="32"/>
          <w:szCs w:val="32"/>
          <w:highlight w:val="none"/>
        </w:rPr>
        <w:t>推进教师“县管校聘”改革，结合县域内中小学布局调整，统筹教师队伍结构，促进教师合理流动，优化师资配置，规范聘用管理，提高服务水平，维护教师合法权益，推动区域内城乡教育均衡发展。提升教师队伍核心素养，</w:t>
      </w:r>
      <w:r>
        <w:rPr>
          <w:rFonts w:hint="eastAsia" w:ascii="Times New Roman" w:hAnsi="Times New Roman" w:eastAsia="仿宋_GB2312" w:cs="Times New Roman"/>
          <w:color w:val="auto"/>
          <w:sz w:val="32"/>
          <w:szCs w:val="32"/>
        </w:rPr>
        <w:t>积极推选一批国家级教学名师、中原教学名师、中原名师（含中原教研名家）、省级名师、省级骨干教师，培育壮大市级名师、市级骨干教师队伍。</w:t>
      </w:r>
      <w:r>
        <w:rPr>
          <w:rFonts w:hint="eastAsia" w:ascii="Times New Roman" w:hAnsi="Times New Roman" w:eastAsia="仿宋_GB2312" w:cs="Times New Roman"/>
          <w:color w:val="auto"/>
          <w:sz w:val="32"/>
          <w:szCs w:val="32"/>
          <w:highlight w:val="none"/>
        </w:rPr>
        <w:t>持续推进集团化办学改革和城乡学校共同体建设，鼓励通过组建城乡教育共同体、联盟式办学、对口帮扶等方式，建立城区优质学校与农村学校结对发展机制，推广集团化办学模式。持续扩大优质教育资源覆盖面。</w:t>
      </w:r>
    </w:p>
    <w:p w14:paraId="3FDEFEB7">
      <w:pPr>
        <w:overflowPunct w:val="0"/>
        <w:spacing w:line="600"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提升农村教育质量和水平。</w:t>
      </w:r>
      <w:r>
        <w:rPr>
          <w:rFonts w:hint="eastAsia" w:ascii="Times New Roman" w:hAnsi="Times New Roman" w:eastAsia="仿宋_GB2312" w:cs="Times New Roman"/>
          <w:color w:val="auto"/>
          <w:sz w:val="32"/>
          <w:szCs w:val="32"/>
          <w:highlight w:val="none"/>
        </w:rPr>
        <w:t>全面提高农村义务教育质量，深化课程教学改革，推进“大思政课”建设，推动“五育并举”向农村学校延伸。加强农村教师队伍建设，落实“乡村首席教师”计划和乡村教师待遇保障政策，确保乡村教师招得到、留得住、用得好。建立城乡结对帮扶机制，整合本地名师资源，名师送教全覆盖，优秀工作室定点帮扶乡村首席教师工作室。扩大名师工作室乡村工作站覆盖面，构建教研员与乡村教师一对一帮扶机制，让教研力量扎根一线。推进农村义务教育学校专任教师学历提升，建立教师学历提升台账，积极与河南开放大学、许昌学院等高校合作，稳步提高义务教育阶段专任教师本科及以上学历占比，力争到2030年我市农村义务教育学校专任教师本科占比提高到95%。推动优质数字教育资源城乡共享，大力开展“AI+教研”培训，全面提升教师的数字化教学能力，实现教研资源的数字化共享和智能化管理，通过技术赋能缩小城乡差距，促进城乡优质教育资源共建共享。促进校内外科学教育资源有效衔接，充分利用科技馆、科普教育基地等科普场所广泛开展学习实践活动，推动城乡教育资源普惠公平。</w:t>
      </w:r>
    </w:p>
    <w:p w14:paraId="03C94BDB">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完善城乡一体教育服务体系。</w:t>
      </w:r>
      <w:r>
        <w:rPr>
          <w:rFonts w:hint="eastAsia" w:ascii="Times New Roman" w:hAnsi="Times New Roman" w:eastAsia="仿宋_GB2312" w:cs="Times New Roman"/>
          <w:color w:val="auto"/>
          <w:sz w:val="32"/>
          <w:szCs w:val="32"/>
          <w:highlight w:val="none"/>
        </w:rPr>
        <w:t>推进学前教育普及普惠发展，多渠道提升城区学前教育公办园学位供给能力，全市公办幼儿园在园幼儿占比达到60%以上，每个县城区至少举办3所标准化公办园，每个乡镇原则上至少有1所乡镇公办中心幼儿园。提升全市中小学校办学品质，推进我市基础教育提档升级，构建高质量基础教育体系，分级、分学段培育一批发挥明显价值引领作用和办学示范效应的优质学校。2030年前小学阶段和初中阶段分别培育50所、30所优质校，高中阶段培育10所左右优质特色校。推动高中阶段教育多样化发展，加强县域普通高中建设，实施县中标准化建设和托管帮扶工程。发展适应农村需求的职业教育，支持职业院校面向农村开展职业技能培训。健全特殊教育和终身教育体系，构建城乡继续教育学习网络，服务全民终身学习。</w:t>
      </w:r>
      <w:r>
        <w:rPr>
          <w:rFonts w:hint="eastAsia" w:ascii="Times New Roman" w:hAnsi="Times New Roman" w:eastAsia="仿宋_GB2312" w:cs="Times New Roman"/>
          <w:color w:val="auto"/>
          <w:sz w:val="32"/>
          <w:szCs w:val="32"/>
        </w:rPr>
        <w:t>建立常态化推进机制，全面推进全国县域义务教育优质均衡和学前教育普及普惠创建工作。</w:t>
      </w:r>
    </w:p>
    <w:p w14:paraId="56B2E2DB">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33" w:name="_Toc215133906"/>
      <w:r>
        <w:rPr>
          <w:rFonts w:ascii="Times New Roman" w:hAnsi="Times New Roman" w:eastAsia="宋体" w:cs="Times New Roman"/>
          <w:b/>
          <w:bCs/>
          <w:color w:val="auto"/>
          <w:sz w:val="32"/>
          <w:szCs w:val="32"/>
          <w:highlight w:val="none"/>
        </w:rPr>
        <w:t>第二节  优化城乡医疗卫生服务体系</w:t>
      </w:r>
      <w:bookmarkEnd w:id="33"/>
    </w:p>
    <w:p w14:paraId="27B5D210">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以提升基层医疗卫生服务能力为重点，推动医疗卫生工作重心下移、资源下沉，加快构建体系完整、分工明确、功能互补、密切协作的整合型城乡医疗卫生服务体系。</w:t>
      </w:r>
    </w:p>
    <w:p w14:paraId="054875E0">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健全城乡医疗卫生服务网络。</w:t>
      </w:r>
      <w:r>
        <w:rPr>
          <w:rFonts w:ascii="Times New Roman" w:hAnsi="Times New Roman" w:eastAsia="仿宋_GB2312" w:cs="Times New Roman"/>
          <w:color w:val="auto"/>
          <w:sz w:val="32"/>
          <w:szCs w:val="32"/>
          <w:highlight w:val="none"/>
        </w:rPr>
        <w:t>深化紧密型县域医共体建设，推广医共体“总额付费、结余留用、合理超支分担”支付方式改革。</w:t>
      </w:r>
      <w:r>
        <w:rPr>
          <w:rFonts w:hint="default" w:ascii="Times New Roman" w:hAnsi="Times New Roman" w:eastAsia="仿宋_GB2312" w:cs="Times New Roman"/>
          <w:color w:val="auto"/>
          <w:sz w:val="32"/>
          <w:szCs w:val="32"/>
          <w:highlight w:val="none"/>
        </w:rPr>
        <w:t>加强县级医院能力建设，提升肿瘤、心脑血管、感染性疾病等专科能力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充分发挥乡镇卫生院枢纽功能，持续推进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优质服务基层行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和社区医院创建，建成</w:t>
      </w:r>
      <w:r>
        <w:rPr>
          <w:rFonts w:ascii="Times New Roman" w:hAnsi="Times New Roman" w:eastAsia="仿宋_GB2312" w:cs="Times New Roman"/>
          <w:color w:val="auto"/>
          <w:sz w:val="32"/>
          <w:szCs w:val="32"/>
          <w:highlight w:val="none"/>
        </w:rPr>
        <w:t>6-10</w:t>
      </w:r>
      <w:r>
        <w:rPr>
          <w:rFonts w:hint="eastAsia" w:ascii="Times New Roman" w:hAnsi="Times New Roman" w:eastAsia="仿宋_GB2312" w:cs="Times New Roman"/>
          <w:color w:val="auto"/>
          <w:sz w:val="32"/>
          <w:szCs w:val="32"/>
          <w:highlight w:val="none"/>
        </w:rPr>
        <w:t>所县域医疗卫生次中心。</w:t>
      </w:r>
      <w:r>
        <w:rPr>
          <w:rFonts w:ascii="Times New Roman" w:hAnsi="Times New Roman" w:eastAsia="仿宋_GB2312" w:cs="Times New Roman"/>
          <w:color w:val="auto"/>
          <w:sz w:val="32"/>
          <w:szCs w:val="32"/>
          <w:highlight w:val="none"/>
        </w:rPr>
        <w:t>合理设置村卫生室，全面推进</w:t>
      </w:r>
      <w:r>
        <w:rPr>
          <w:rFonts w:hint="eastAsia" w:ascii="Times New Roman" w:hAnsi="Times New Roman" w:eastAsia="仿宋_GB2312" w:cs="Times New Roman"/>
          <w:color w:val="auto"/>
          <w:sz w:val="32"/>
          <w:szCs w:val="32"/>
          <w:highlight w:val="none"/>
        </w:rPr>
        <w:t>行政村卫生室公有化标准化建设</w:t>
      </w:r>
      <w:r>
        <w:rPr>
          <w:rFonts w:ascii="Times New Roman" w:hAnsi="Times New Roman" w:eastAsia="仿宋_GB2312" w:cs="Times New Roman"/>
          <w:color w:val="auto"/>
          <w:sz w:val="32"/>
          <w:szCs w:val="32"/>
          <w:highlight w:val="none"/>
        </w:rPr>
        <w:t xml:space="preserve">。 </w:t>
      </w:r>
    </w:p>
    <w:p w14:paraId="7F0C76F2">
      <w:pPr>
        <w:overflowPunct w:val="0"/>
        <w:spacing w:line="600" w:lineRule="exact"/>
        <w:ind w:firstLine="643"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b/>
          <w:bCs/>
          <w:color w:val="auto"/>
          <w:sz w:val="32"/>
          <w:szCs w:val="32"/>
          <w:highlight w:val="none"/>
        </w:rPr>
        <w:t>提升城乡医疗卫生服务能力。</w:t>
      </w:r>
      <w:r>
        <w:rPr>
          <w:rFonts w:ascii="Times New Roman" w:hAnsi="Times New Roman" w:eastAsia="仿宋_GB2312" w:cs="Times New Roman"/>
          <w:color w:val="auto"/>
          <w:sz w:val="32"/>
          <w:szCs w:val="32"/>
          <w:highlight w:val="none"/>
        </w:rPr>
        <w:t>实施农村订单定向医学生免费培养和助理全科医生培训计划。落实城市医师基层服务制度，完善“县招乡用、乡聘村用”机制，扩大乡村医生“乡聘村用”政策覆盖面，</w:t>
      </w:r>
      <w:r>
        <w:rPr>
          <w:rFonts w:hint="eastAsia" w:ascii="Times New Roman" w:hAnsi="Times New Roman" w:eastAsia="仿宋_GB2312" w:cs="Times New Roman"/>
          <w:color w:val="auto"/>
          <w:sz w:val="32"/>
          <w:szCs w:val="32"/>
          <w:highlight w:val="none"/>
        </w:rPr>
        <w:t>完善基层医务人员薪酬制度</w:t>
      </w:r>
      <w:r>
        <w:rPr>
          <w:rFonts w:ascii="Times New Roman" w:hAnsi="Times New Roman" w:eastAsia="仿宋_GB2312" w:cs="Times New Roman"/>
          <w:color w:val="auto"/>
          <w:sz w:val="32"/>
          <w:szCs w:val="32"/>
          <w:highlight w:val="none"/>
        </w:rPr>
        <w:t>。深化城乡医院对口支援，建立城市二级及以上医院对口支援乡镇卫生院长效机制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推动人员、技术、服务、管理持续下沉。</w:t>
      </w:r>
      <w:r>
        <w:rPr>
          <w:rFonts w:ascii="Times New Roman" w:hAnsi="Times New Roman" w:eastAsia="仿宋_GB2312" w:cs="Times New Roman"/>
          <w:color w:val="auto"/>
          <w:sz w:val="32"/>
          <w:szCs w:val="32"/>
          <w:highlight w:val="none"/>
        </w:rPr>
        <w:t>实施“医防协同</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医防融合</w:t>
      </w:r>
      <w:r>
        <w:rPr>
          <w:rFonts w:ascii="Times New Roman" w:hAnsi="Times New Roman" w:eastAsia="仿宋_GB2312" w:cs="Times New Roman"/>
          <w:color w:val="auto"/>
          <w:sz w:val="32"/>
          <w:szCs w:val="32"/>
          <w:highlight w:val="none"/>
        </w:rPr>
        <w:t>”，加强慢性病防控</w:t>
      </w:r>
      <w:r>
        <w:rPr>
          <w:rFonts w:hint="eastAsia" w:ascii="Times New Roman" w:hAnsi="Times New Roman" w:eastAsia="仿宋_GB2312" w:cs="Times New Roman"/>
          <w:color w:val="auto"/>
          <w:sz w:val="32"/>
          <w:szCs w:val="32"/>
          <w:highlight w:val="none"/>
          <w:lang w:eastAsia="zh-CN"/>
        </w:rPr>
        <w:t>。</w:t>
      </w:r>
    </w:p>
    <w:p w14:paraId="6E97AC94">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创新医疗卫生服务模式。</w:t>
      </w:r>
      <w:r>
        <w:rPr>
          <w:rFonts w:hint="eastAsia" w:ascii="Times New Roman" w:hAnsi="Times New Roman" w:eastAsia="仿宋_GB2312" w:cs="Times New Roman"/>
          <w:b w:val="0"/>
          <w:bCs w:val="0"/>
          <w:color w:val="auto"/>
          <w:sz w:val="32"/>
          <w:szCs w:val="32"/>
          <w:highlight w:val="none"/>
          <w:lang w:eastAsia="zh-CN"/>
        </w:rPr>
        <w:t>建设数字化县域医共体平台</w:t>
      </w:r>
      <w:r>
        <w:rPr>
          <w:rFonts w:ascii="Times New Roman" w:hAnsi="Times New Roman" w:eastAsia="仿宋_GB2312" w:cs="Times New Roman"/>
          <w:color w:val="auto"/>
          <w:sz w:val="32"/>
          <w:szCs w:val="32"/>
          <w:highlight w:val="none"/>
        </w:rPr>
        <w:t>，加快推进二、三级医院和基层医疗卫生机构接入区域全民健康信息平台，推动远程医疗覆盖所有乡镇卫生院，并向村卫生室延伸。完善分级诊疗制度，健全双向转诊机制。推广中医药适宜技术，加强乡镇卫生院中医馆建设，</w:t>
      </w:r>
      <w:r>
        <w:rPr>
          <w:rFonts w:hint="eastAsia" w:ascii="Times New Roman" w:hAnsi="Times New Roman" w:eastAsia="仿宋_GB2312" w:cs="Times New Roman"/>
          <w:color w:val="auto"/>
          <w:sz w:val="32"/>
          <w:szCs w:val="32"/>
          <w:highlight w:val="none"/>
        </w:rPr>
        <w:t>推动三级中医院对口支援基层中医药服务</w:t>
      </w:r>
      <w:r>
        <w:rPr>
          <w:rFonts w:ascii="Times New Roman" w:hAnsi="Times New Roman" w:eastAsia="仿宋_GB2312" w:cs="Times New Roman"/>
          <w:color w:val="auto"/>
          <w:sz w:val="32"/>
          <w:szCs w:val="32"/>
          <w:highlight w:val="none"/>
        </w:rPr>
        <w:t>。支持医疗资源丰富地区将部分二级医院转型为老年医院、康复医院或护理院，增加医养结合床位供给。</w:t>
      </w:r>
    </w:p>
    <w:p w14:paraId="7E14AE54">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34" w:name="_Toc215133907"/>
      <w:r>
        <w:rPr>
          <w:rFonts w:ascii="Times New Roman" w:hAnsi="Times New Roman" w:eastAsia="宋体" w:cs="Times New Roman"/>
          <w:b/>
          <w:bCs/>
          <w:color w:val="auto"/>
          <w:sz w:val="32"/>
          <w:szCs w:val="32"/>
          <w:highlight w:val="none"/>
        </w:rPr>
        <w:t>第三节  统筹城乡文化体育服务供给</w:t>
      </w:r>
      <w:bookmarkEnd w:id="34"/>
    </w:p>
    <w:p w14:paraId="7A70C79F">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坚持城乡一体、供需匹配、质效并重，推动公共文化体育服务从“有”向“好”转变，促进优秀文化传承创新，构建覆盖城乡、便捷高效、保基本、促公平的现代公共文化体育服务体系。</w:t>
      </w:r>
    </w:p>
    <w:p w14:paraId="53A70962">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完善城乡公共文化体育设施网络。</w:t>
      </w:r>
      <w:r>
        <w:rPr>
          <w:rFonts w:ascii="Times New Roman" w:hAnsi="Times New Roman" w:eastAsia="仿宋_GB2312" w:cs="Times New Roman"/>
          <w:color w:val="auto"/>
          <w:sz w:val="32"/>
          <w:szCs w:val="32"/>
          <w:highlight w:val="none"/>
        </w:rPr>
        <w:t>持续推进市、县、乡、村四级公共文化设施提档升级，推动县级图书馆、文化馆全面达到国家二级馆以上标准，优化乡镇（街道）综合文化站功能，巩固提升村（社区）综合性文化服务中心建设。鼓励利用旧厂房、闲置公共空间等改造建设一批“城市书房”“文化驿站”“乡村戏台”等新型公共文化空间。结合村史馆、民俗馆建设，打造主题功能空间，保留乡愁记忆。</w:t>
      </w:r>
    </w:p>
    <w:p w14:paraId="4A1FE0B9">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提升城乡公共文化体育服务供给品质。</w:t>
      </w:r>
      <w:r>
        <w:rPr>
          <w:rFonts w:ascii="Times New Roman" w:hAnsi="Times New Roman" w:eastAsia="仿宋_GB2312" w:cs="Times New Roman"/>
          <w:color w:val="auto"/>
          <w:sz w:val="32"/>
          <w:szCs w:val="32"/>
          <w:highlight w:val="none"/>
        </w:rPr>
        <w:t>推动公共文化服务下沉，加快公共文化数字资源库建设。创新实施文化惠民工程，持续开展“舞台艺术送基层”等品牌活动。健全全民健身组织网络，组织开展丰富多彩、贴近群众的全民健身赛事活动。推广“运动是良医”理念，推动体卫融合服务模式向基层延伸。</w:t>
      </w:r>
    </w:p>
    <w:p w14:paraId="30A701F6">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促进城乡文化传承与创新发展。</w:t>
      </w:r>
      <w:r>
        <w:rPr>
          <w:rFonts w:ascii="Times New Roman" w:hAnsi="Times New Roman" w:eastAsia="仿宋_GB2312" w:cs="Times New Roman"/>
          <w:color w:val="auto"/>
          <w:sz w:val="32"/>
          <w:szCs w:val="32"/>
          <w:highlight w:val="none"/>
        </w:rPr>
        <w:t>加强文化遗产系统性保护和活态化利用，推进汉魏许都故城、瓦店遗址、灵井“许昌人”遗址等重要文化遗产保护展示。完善传统村落、历史文化名镇名村基础设施，建设数字博物馆。培育非遗旅游景区、非遗村镇（社区），开发非遗文创产品和体验项目。鼓励创作具有许昌特色的优秀文艺作品，推动</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文旅+</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融合发展。</w:t>
      </w:r>
    </w:p>
    <w:p w14:paraId="0B9424B7">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35" w:name="_Toc215133908"/>
      <w:r>
        <w:rPr>
          <w:rFonts w:ascii="Times New Roman" w:hAnsi="Times New Roman" w:eastAsia="宋体" w:cs="Times New Roman"/>
          <w:b/>
          <w:bCs/>
          <w:color w:val="auto"/>
          <w:sz w:val="32"/>
          <w:szCs w:val="32"/>
          <w:highlight w:val="none"/>
        </w:rPr>
        <w:t>第四节  完善城乡养老服务网络</w:t>
      </w:r>
      <w:bookmarkEnd w:id="35"/>
    </w:p>
    <w:p w14:paraId="4D5127BE">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坚持人民至上，统筹政府、市场、社会、家庭各方面资源，立足于保基本，着眼于广覆盖，加快构建城乡一体的养老服务网络。</w:t>
      </w:r>
    </w:p>
    <w:p w14:paraId="1DAC64CB">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完善城乡养老服务设施体系。</w:t>
      </w:r>
      <w:r>
        <w:rPr>
          <w:rFonts w:ascii="Times New Roman" w:hAnsi="Times New Roman" w:eastAsia="仿宋_GB2312" w:cs="Times New Roman"/>
          <w:color w:val="auto"/>
          <w:sz w:val="32"/>
          <w:szCs w:val="32"/>
          <w:highlight w:val="none"/>
        </w:rPr>
        <w:t>优先保障养老服务设施建设用地，严格按照人均用地不少于0.2平方米的标准，支持农村集体建设用地建设养老服务设施。落实养老服务设施与新建住宅小区规划、建设、验收、交付“四同步”机制。依托政府回购、租赁、改造、置换等方式，实现居家养老服务用房达标。</w:t>
      </w:r>
      <w:r>
        <w:rPr>
          <w:rFonts w:hint="eastAsia" w:ascii="Times New Roman" w:hAnsi="Times New Roman" w:eastAsia="仿宋_GB2312" w:cs="Times New Roman"/>
          <w:color w:val="auto"/>
          <w:sz w:val="32"/>
          <w:szCs w:val="32"/>
          <w:highlight w:val="none"/>
        </w:rPr>
        <w:t>推动乡镇敬老院转型为区域养老服务中心，建设村级标准化养老服务站点，鼓励开展村级互助性养老服务。</w:t>
      </w:r>
      <w:r>
        <w:rPr>
          <w:rFonts w:ascii="Times New Roman" w:hAnsi="Times New Roman" w:eastAsia="仿宋_GB2312" w:cs="Times New Roman"/>
          <w:color w:val="auto"/>
          <w:sz w:val="32"/>
          <w:szCs w:val="32"/>
          <w:highlight w:val="none"/>
        </w:rPr>
        <w:t>建设县</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村三级衔接的农村养老服务设施网络，巩固提升县乡特困人员供养服务设施。支持农村集体经济组织、村民委员会、社会力量建设农村幸福院、邻里互助点等村级养老服务设施。增强家庭照护能力，强化家庭照护培训，将失能老年人家庭成员照护培训纳入政府购买养老服务名录。加快老年服务设施、公共设施的“适老化”改造和无障碍建设。</w:t>
      </w:r>
    </w:p>
    <w:p w14:paraId="7EB29655">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构建城乡一体的运营监督体系。</w:t>
      </w:r>
      <w:r>
        <w:rPr>
          <w:rFonts w:ascii="Times New Roman" w:hAnsi="Times New Roman" w:eastAsia="仿宋_GB2312" w:cs="Times New Roman"/>
          <w:color w:val="auto"/>
          <w:sz w:val="32"/>
          <w:szCs w:val="32"/>
          <w:highlight w:val="none"/>
        </w:rPr>
        <w:t>推广</w:t>
      </w:r>
      <w:r>
        <w:rPr>
          <w:rFonts w:hint="eastAsia" w:ascii="Times New Roman" w:hAnsi="Times New Roman" w:eastAsia="仿宋_GB2312" w:cs="Times New Roman"/>
          <w:color w:val="auto"/>
          <w:sz w:val="32"/>
          <w:szCs w:val="32"/>
          <w:highlight w:val="none"/>
        </w:rPr>
        <w:t>公建国营、公建民营</w:t>
      </w:r>
      <w:r>
        <w:rPr>
          <w:rFonts w:ascii="Times New Roman" w:hAnsi="Times New Roman" w:eastAsia="仿宋_GB2312" w:cs="Times New Roman"/>
          <w:color w:val="auto"/>
          <w:sz w:val="32"/>
          <w:szCs w:val="32"/>
          <w:highlight w:val="none"/>
        </w:rPr>
        <w:t>、以大带小模式，创新村（社区）养老服务设施运营模式。支持乡镇综合养老服务中心运营村（社区）养老服务设施，推进养老服务机构、医养结合机构规模化、品牌化、连锁化、标准化发展。引导市场主体提供日间照料、集中托养、居家上门服务。推广“</w:t>
      </w:r>
      <w:r>
        <w:rPr>
          <w:rFonts w:hint="eastAsia" w:ascii="Times New Roman" w:hAnsi="Times New Roman" w:eastAsia="仿宋_GB2312" w:cs="Times New Roman"/>
          <w:color w:val="auto"/>
          <w:sz w:val="32"/>
          <w:szCs w:val="32"/>
          <w:highlight w:val="none"/>
          <w:lang w:eastAsia="zh-CN"/>
        </w:rPr>
        <w:t>全链式</w:t>
      </w:r>
      <w:r>
        <w:rPr>
          <w:rFonts w:ascii="Times New Roman" w:hAnsi="Times New Roman" w:eastAsia="仿宋_GB2312" w:cs="Times New Roman"/>
          <w:color w:val="auto"/>
          <w:sz w:val="32"/>
          <w:szCs w:val="32"/>
          <w:highlight w:val="none"/>
        </w:rPr>
        <w:t>”医养结合服务、中医理疗“治未病”健康服务等，满足老年人多层次养老服务需求。强化“互联网+人工智能+监管”推广应用，提升监管的数智化水平。</w:t>
      </w:r>
    </w:p>
    <w:p w14:paraId="243E2B93">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36" w:name="_Toc215133909"/>
      <w:r>
        <w:rPr>
          <w:rFonts w:ascii="Times New Roman" w:hAnsi="Times New Roman" w:eastAsia="宋体" w:cs="Times New Roman"/>
          <w:b/>
          <w:bCs/>
          <w:color w:val="auto"/>
          <w:sz w:val="32"/>
          <w:szCs w:val="32"/>
          <w:highlight w:val="none"/>
        </w:rPr>
        <w:t>第五节  健全城乡统筹社会保障体系</w:t>
      </w:r>
      <w:bookmarkEnd w:id="36"/>
    </w:p>
    <w:p w14:paraId="001A6113">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强化“补短板、兜底线、织密网、建机制”，建立健全城乡基本社会保障和就业均等化的制度保障体系。</w:t>
      </w:r>
    </w:p>
    <w:p w14:paraId="0F0AD200">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完善城乡均等的养老保险体系。</w:t>
      </w:r>
      <w:r>
        <w:rPr>
          <w:rFonts w:ascii="Times New Roman" w:hAnsi="Times New Roman" w:eastAsia="仿宋_GB2312" w:cs="Times New Roman"/>
          <w:color w:val="auto"/>
          <w:sz w:val="32"/>
          <w:szCs w:val="32"/>
          <w:highlight w:val="none"/>
        </w:rPr>
        <w:t>持续推进城乡居民基本养老保险参保提质扩面，推动符合条件的适龄人口应保尽保，提高缴费档次，确保实现城乡居民基本养老保险法定人群全覆盖。建立基本养老保险待遇确定机制、基础养老金正常调整机制、个人缴费档次标准调整机制。落实困难群众各项参保帮扶政策。做好城乡养老保险制度衔接工作，促进劳动力合理流动，健全和完善城乡统筹的社会保障体系。加强县域基本养老保险范围平台建设，将服务网络延伸至乡村，拓宽“不见面”服务范围，推动实现城乡居民养老保险服务“五个不出村”办理。</w:t>
      </w:r>
    </w:p>
    <w:p w14:paraId="49F9E6D4">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大力支持农民工就业创业。</w:t>
      </w:r>
      <w:r>
        <w:rPr>
          <w:rFonts w:ascii="Times New Roman" w:hAnsi="Times New Roman" w:eastAsia="仿宋_GB2312" w:cs="Times New Roman"/>
          <w:color w:val="auto"/>
          <w:sz w:val="32"/>
          <w:szCs w:val="32"/>
          <w:highlight w:val="none"/>
        </w:rPr>
        <w:t>强化稳岗扶持政策，开发就地就近就业岗位，鼓励开办环境友好型和劳动密集型企业，发展乡村特色产业、休闲农业、农村电商等新产业新业态，组建农业产业化联合体，开发农村基层服务管理岗位，开发“以工代赈”就业岗位。健全稳岗服务机制，强化对农民工用工企业的用工指导。</w:t>
      </w:r>
      <w:r>
        <w:rPr>
          <w:rFonts w:hint="eastAsia" w:ascii="Times New Roman" w:hAnsi="Times New Roman" w:eastAsia="仿宋_GB2312" w:cs="Times New Roman"/>
          <w:color w:val="auto"/>
          <w:sz w:val="32"/>
          <w:szCs w:val="32"/>
          <w:highlight w:val="none"/>
        </w:rPr>
        <w:t>深入实施“春风行动”等就业服务专项活动，深化开展外出务工人员输出地和输入地协作，加强农村劳动力就业服务体系建设，多渠道巩固和扩大农村劳动力就业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大力支持“豫字号”特色人力资源品牌发展壮大，提升品牌效应。</w:t>
      </w:r>
      <w:r>
        <w:rPr>
          <w:rFonts w:ascii="Times New Roman" w:hAnsi="Times New Roman" w:eastAsia="仿宋_GB2312" w:cs="Times New Roman"/>
          <w:color w:val="auto"/>
          <w:sz w:val="32"/>
          <w:szCs w:val="32"/>
          <w:highlight w:val="none"/>
        </w:rPr>
        <w:t>支持各类人才返乡创业，优化返乡创业政策扶持体系，</w:t>
      </w:r>
      <w:r>
        <w:rPr>
          <w:rFonts w:hint="eastAsia" w:ascii="Times New Roman" w:hAnsi="Times New Roman" w:eastAsia="仿宋_GB2312" w:cs="Times New Roman"/>
          <w:color w:val="auto"/>
          <w:sz w:val="32"/>
          <w:szCs w:val="32"/>
          <w:highlight w:val="none"/>
        </w:rPr>
        <w:t>加大农民工返乡创业支持力度，加强县域返乡创业载体建设。“十五五”时期，新增农村劳动力转移就业9万人以上，新增返乡创业1.8万人以上</w:t>
      </w:r>
      <w:r>
        <w:rPr>
          <w:rFonts w:ascii="Times New Roman" w:hAnsi="Times New Roman" w:eastAsia="仿宋_GB2312" w:cs="Times New Roman"/>
          <w:color w:val="auto"/>
          <w:sz w:val="32"/>
          <w:szCs w:val="32"/>
          <w:highlight w:val="none"/>
        </w:rPr>
        <w:t>。</w:t>
      </w:r>
    </w:p>
    <w:p w14:paraId="4BB498E8">
      <w:pPr>
        <w:pStyle w:val="4"/>
        <w:keepNext w:val="0"/>
        <w:overflowPunct w:val="0"/>
        <w:spacing w:before="300" w:after="300" w:line="600" w:lineRule="exact"/>
        <w:ind w:firstLine="0" w:firstLineChars="0"/>
        <w:jc w:val="center"/>
        <w:rPr>
          <w:rFonts w:ascii="Times New Roman" w:hAnsi="Times New Roman" w:eastAsia="方正小标宋简体" w:cs="Times New Roman"/>
          <w:b w:val="0"/>
          <w:bCs w:val="0"/>
          <w:color w:val="auto"/>
          <w:sz w:val="32"/>
          <w:szCs w:val="32"/>
          <w:highlight w:val="none"/>
        </w:rPr>
      </w:pPr>
      <w:bookmarkStart w:id="37" w:name="_Toc215133899"/>
      <w:r>
        <w:rPr>
          <w:rFonts w:ascii="Times New Roman" w:hAnsi="Times New Roman" w:eastAsia="方正小标宋简体" w:cs="Times New Roman"/>
          <w:b w:val="0"/>
          <w:bCs w:val="0"/>
          <w:color w:val="auto"/>
          <w:sz w:val="32"/>
          <w:szCs w:val="32"/>
          <w:highlight w:val="none"/>
        </w:rPr>
        <w:t>第</w:t>
      </w:r>
      <w:r>
        <w:rPr>
          <w:rFonts w:hint="eastAsia" w:ascii="Times New Roman" w:hAnsi="Times New Roman" w:eastAsia="方正小标宋简体" w:cs="Times New Roman"/>
          <w:b w:val="0"/>
          <w:bCs w:val="0"/>
          <w:color w:val="auto"/>
          <w:sz w:val="32"/>
          <w:szCs w:val="32"/>
          <w:highlight w:val="none"/>
          <w:lang w:eastAsia="zh-CN"/>
        </w:rPr>
        <w:t>八</w:t>
      </w:r>
      <w:r>
        <w:rPr>
          <w:rFonts w:ascii="Times New Roman" w:hAnsi="Times New Roman" w:eastAsia="方正小标宋简体" w:cs="Times New Roman"/>
          <w:b w:val="0"/>
          <w:bCs w:val="0"/>
          <w:color w:val="auto"/>
          <w:sz w:val="32"/>
          <w:szCs w:val="32"/>
          <w:highlight w:val="none"/>
        </w:rPr>
        <w:t>章  加强城乡生态共治，促进城乡环境宜居共生</w:t>
      </w:r>
      <w:bookmarkEnd w:id="37"/>
    </w:p>
    <w:p w14:paraId="0D17C86A">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深入践行绿水青山就是金山银山生态文明理念，坚持“全域统筹、城乡联动”的原则，统筹实施城乡生态保护和修复，加快农业</w:t>
      </w:r>
      <w:r>
        <w:rPr>
          <w:rFonts w:hint="eastAsia" w:ascii="Times New Roman" w:hAnsi="Times New Roman" w:eastAsia="仿宋_GB2312" w:cs="Times New Roman"/>
          <w:color w:val="auto"/>
          <w:sz w:val="32"/>
          <w:szCs w:val="32"/>
          <w:highlight w:val="none"/>
        </w:rPr>
        <w:t>发展方式绿色转型</w:t>
      </w:r>
      <w:r>
        <w:rPr>
          <w:rFonts w:ascii="Times New Roman" w:hAnsi="Times New Roman" w:eastAsia="仿宋_GB2312" w:cs="Times New Roman"/>
          <w:color w:val="auto"/>
          <w:sz w:val="32"/>
          <w:szCs w:val="32"/>
          <w:highlight w:val="none"/>
        </w:rPr>
        <w:t>，深化农村人居环境整治，打造“城护乡、乡润城”的城乡共生全域生态安全格局。</w:t>
      </w:r>
    </w:p>
    <w:p w14:paraId="3E281680">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38" w:name="_Toc215133900"/>
      <w:r>
        <w:rPr>
          <w:rFonts w:ascii="Times New Roman" w:hAnsi="Times New Roman" w:eastAsia="宋体" w:cs="Times New Roman"/>
          <w:b/>
          <w:bCs/>
          <w:color w:val="auto"/>
          <w:sz w:val="32"/>
          <w:szCs w:val="32"/>
          <w:highlight w:val="none"/>
        </w:rPr>
        <w:t>第一节  统筹实施城乡生态保护和修复</w:t>
      </w:r>
      <w:bookmarkEnd w:id="38"/>
    </w:p>
    <w:p w14:paraId="01BBEFBE">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坚持城乡共建共治共享理念，聚焦河湖生态保护重点区域，紧盯农业面源污染防治关键环节，持续完善城乡生态廊道布局，打造人与自然和谐共生的城乡生态发展新格局。</w:t>
      </w:r>
    </w:p>
    <w:p w14:paraId="0DA67F92">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加强河湖生态系统综合治理。</w:t>
      </w:r>
      <w:r>
        <w:rPr>
          <w:rFonts w:ascii="Times New Roman" w:hAnsi="Times New Roman" w:eastAsia="仿宋_GB2312" w:cs="Times New Roman"/>
          <w:color w:val="auto"/>
          <w:sz w:val="32"/>
          <w:szCs w:val="32"/>
          <w:highlight w:val="none"/>
        </w:rPr>
        <w:t>健全市、县、乡、村四级联动机制，实现河湖管护城乡全域覆盖。深化“河湖长+检察长”“河湖长+警长”协作机制，严格落实 “三单制” 督办制度，纵深推进河湖库“清四乱”，确保河道行洪畅通与生态安全。加强沙河、颍河、清</w:t>
      </w:r>
      <w:r>
        <w:rPr>
          <w:rFonts w:hint="eastAsia" w:ascii="Times New Roman" w:hAnsi="Times New Roman" w:eastAsia="仿宋_GB2312" w:cs="Times New Roman"/>
          <w:color w:val="auto"/>
          <w:sz w:val="32"/>
          <w:szCs w:val="32"/>
          <w:highlight w:val="none"/>
        </w:rPr>
        <w:t>潩河、</w:t>
      </w:r>
      <w:r>
        <w:rPr>
          <w:rFonts w:hint="eastAsia" w:ascii="仿宋_GB2312" w:hAnsi="仿宋_GB2312" w:eastAsia="仿宋_GB2312" w:cs="仿宋_GB2312"/>
          <w:color w:val="auto"/>
          <w:sz w:val="32"/>
          <w:szCs w:val="32"/>
          <w:highlight w:val="none"/>
        </w:rPr>
        <w:t>双洎河等骨干河道治理，实施河道清淤疏浚、岸线生态化改造，修复自然驳岸，构建</w:t>
      </w:r>
      <w:r>
        <w:rPr>
          <w:rFonts w:ascii="Times New Roman" w:hAnsi="Times New Roman" w:eastAsia="仿宋_GB2312" w:cs="Times New Roman"/>
          <w:color w:val="auto"/>
          <w:sz w:val="32"/>
          <w:szCs w:val="32"/>
          <w:highlight w:val="none"/>
        </w:rPr>
        <w:t>“河通渠畅、水清岸绿”的生态体系。推进</w:t>
      </w:r>
      <w:r>
        <w:rPr>
          <w:rFonts w:hint="eastAsia" w:ascii="Times New Roman" w:hAnsi="Times New Roman" w:eastAsia="仿宋_GB2312" w:cs="Times New Roman"/>
          <w:color w:val="auto"/>
          <w:sz w:val="32"/>
          <w:szCs w:val="32"/>
          <w:highlight w:val="none"/>
        </w:rPr>
        <w:t>鹤鸣湖、佛耳岗</w:t>
      </w:r>
      <w:r>
        <w:rPr>
          <w:rFonts w:ascii="Times New Roman" w:hAnsi="Times New Roman" w:eastAsia="仿宋_GB2312" w:cs="Times New Roman"/>
          <w:color w:val="auto"/>
          <w:sz w:val="32"/>
          <w:szCs w:val="32"/>
          <w:highlight w:val="none"/>
        </w:rPr>
        <w:t>水库生态系统修复，开展水生态保育和修复，划定“三湖”蓝线以及预控蓝线范围并加强管控。强化南水北调中线工程许昌段沿线保护，保障“一泓清水永续北送”。加强水质实时监测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确保城乡饮水安全。</w:t>
      </w:r>
    </w:p>
    <w:p w14:paraId="39060472">
      <w:pPr>
        <w:overflowPunct w:val="0"/>
        <w:spacing w:line="600" w:lineRule="exact"/>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强化农业面源污染全链条综合防治。</w:t>
      </w:r>
      <w:r>
        <w:rPr>
          <w:rFonts w:ascii="Times New Roman" w:hAnsi="Times New Roman" w:eastAsia="仿宋_GB2312" w:cs="Times New Roman"/>
          <w:color w:val="auto"/>
          <w:sz w:val="32"/>
          <w:szCs w:val="32"/>
          <w:highlight w:val="none"/>
        </w:rPr>
        <w:t>建立健全主要农作物氮肥施用定额管理制度，推动农业面源污染源头减量。加快畜禽养殖、节水清粪等设施装备改造提升，推广粪污资源化利用技术，减少畜禽粪污产生量。构建农业废弃物循环利用体系，推动农业废弃物全量利用。强化农业面源污染监测预警，加强重点区域监测网络建设，精准识别污染来源与扩散路径，实施差异化防控措施，推动农业生产与生态保护良性循环。</w:t>
      </w:r>
    </w:p>
    <w:p w14:paraId="01468DC6">
      <w:pPr>
        <w:overflowPunct w:val="0"/>
        <w:spacing w:line="600" w:lineRule="exact"/>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加快城乡生态廊道建设与国土绿化。</w:t>
      </w:r>
      <w:r>
        <w:rPr>
          <w:rFonts w:ascii="Times New Roman" w:hAnsi="Times New Roman" w:eastAsia="仿宋_GB2312" w:cs="Times New Roman"/>
          <w:color w:val="auto"/>
          <w:sz w:val="32"/>
          <w:szCs w:val="32"/>
          <w:highlight w:val="none"/>
        </w:rPr>
        <w:t>以骨干河道、交通干线为脉络，打造连接城市、乡镇、村庄的生态纽带。重点推进高速公路、国省干线公路两侧绿化廊道，完善提升河道两岸、水库周边防护林建设，形成“路绿相伴、河绿相依”的生态格局。开展乡村增绿行动，推进乡镇驻地、村庄庭院绿化美化，营造“田水相依、村绿相融”的和美乡村场景。</w:t>
      </w:r>
    </w:p>
    <w:p w14:paraId="58320865">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39" w:name="_Toc215133901"/>
      <w:r>
        <w:rPr>
          <w:rFonts w:ascii="Times New Roman" w:hAnsi="Times New Roman" w:eastAsia="宋体" w:cs="Times New Roman"/>
          <w:b/>
          <w:bCs/>
          <w:color w:val="auto"/>
          <w:sz w:val="32"/>
          <w:szCs w:val="32"/>
          <w:highlight w:val="none"/>
        </w:rPr>
        <w:t xml:space="preserve">第二节  </w:t>
      </w:r>
      <w:bookmarkEnd w:id="39"/>
      <w:r>
        <w:rPr>
          <w:rFonts w:hint="eastAsia" w:ascii="Times New Roman" w:hAnsi="Times New Roman" w:eastAsia="宋体" w:cs="Times New Roman"/>
          <w:b/>
          <w:bCs/>
          <w:color w:val="auto"/>
          <w:sz w:val="32"/>
          <w:szCs w:val="32"/>
          <w:highlight w:val="none"/>
        </w:rPr>
        <w:t>全面提升农村人居环境质量</w:t>
      </w:r>
    </w:p>
    <w:p w14:paraId="322F7261">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以钉钉子精神解决好农村改厕、垃圾围村、污水、白色污染等问题。分类推进村庄环境整治，提升</w:t>
      </w:r>
      <w:r>
        <w:rPr>
          <w:rFonts w:hint="eastAsia" w:ascii="Times New Roman" w:hAnsi="Times New Roman" w:eastAsia="仿宋_GB2312" w:cs="Times New Roman"/>
          <w:color w:val="auto"/>
          <w:sz w:val="32"/>
          <w:szCs w:val="32"/>
          <w:highlight w:val="none"/>
        </w:rPr>
        <w:t>和美村、富美村、洁美村建设水平</w:t>
      </w:r>
      <w:r>
        <w:rPr>
          <w:rFonts w:ascii="Times New Roman" w:hAnsi="Times New Roman" w:eastAsia="仿宋_GB2312" w:cs="Times New Roman"/>
          <w:color w:val="auto"/>
          <w:sz w:val="32"/>
          <w:szCs w:val="32"/>
          <w:highlight w:val="none"/>
        </w:rPr>
        <w:t>。</w:t>
      </w:r>
    </w:p>
    <w:p w14:paraId="5C8F98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加强乡村人居环境治理。</w:t>
      </w:r>
      <w:r>
        <w:rPr>
          <w:rFonts w:hint="eastAsia" w:ascii="Times New Roman" w:hAnsi="Times New Roman" w:eastAsia="仿宋_GB2312" w:cs="Times New Roman"/>
          <w:color w:val="auto"/>
          <w:sz w:val="32"/>
          <w:szCs w:val="32"/>
          <w:highlight w:val="none"/>
        </w:rPr>
        <w:t>持续整治提升农村人居环境，</w:t>
      </w:r>
      <w:r>
        <w:rPr>
          <w:rFonts w:hint="eastAsia" w:ascii="Times New Roman" w:hAnsi="Times New Roman" w:eastAsia="仿宋_GB2312" w:cs="Times New Roman"/>
          <w:color w:val="auto"/>
          <w:sz w:val="32"/>
          <w:szCs w:val="32"/>
          <w:highlight w:val="none"/>
          <w:lang w:eastAsia="zh-CN"/>
        </w:rPr>
        <w:t>加强</w:t>
      </w:r>
      <w:r>
        <w:rPr>
          <w:rFonts w:hint="eastAsia" w:ascii="Times New Roman" w:hAnsi="Times New Roman" w:eastAsia="仿宋_GB2312" w:cs="Times New Roman"/>
          <w:color w:val="auto"/>
          <w:sz w:val="32"/>
          <w:szCs w:val="32"/>
          <w:highlight w:val="none"/>
        </w:rPr>
        <w:t>农村生活垃圾、污水和白色污染治理。审慎建设集中式农村生活污水处理设施</w:t>
      </w:r>
      <w:r>
        <w:rPr>
          <w:rFonts w:ascii="Times New Roman" w:hAnsi="Times New Roman" w:eastAsia="仿宋_GB2312" w:cs="Times New Roman"/>
          <w:color w:val="auto"/>
          <w:sz w:val="32"/>
          <w:szCs w:val="32"/>
          <w:highlight w:val="none"/>
        </w:rPr>
        <w:t>，鼓励居住分散地区建设生态处理设施，探索推进生活污水与畜禽粪污、厕污、农产品加工废水等协同治理。</w:t>
      </w:r>
      <w:r>
        <w:rPr>
          <w:rFonts w:hint="eastAsia" w:ascii="Times New Roman" w:hAnsi="Times New Roman" w:eastAsia="仿宋_GB2312" w:cs="Times New Roman"/>
          <w:color w:val="auto"/>
          <w:sz w:val="32"/>
          <w:szCs w:val="32"/>
          <w:highlight w:val="none"/>
        </w:rPr>
        <w:t>开展农村黑臭水体整治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清仓见底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行动</w:t>
      </w:r>
      <w:r>
        <w:rPr>
          <w:rFonts w:ascii="Times New Roman" w:hAnsi="Times New Roman" w:eastAsia="仿宋_GB2312" w:cs="Times New Roman"/>
          <w:color w:val="auto"/>
          <w:sz w:val="32"/>
          <w:szCs w:val="32"/>
          <w:highlight w:val="none"/>
        </w:rPr>
        <w:t>，根据黑臭水体污染程度和成因，分区分类标本兼治，综合实施控源截污、清淤疏浚、生态修复、水系连通等工程，逐步消除黑臭水体</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推广“农户分类投放、村级分类收集、县级市场化转运、市级焚烧处理”模式，</w:t>
      </w:r>
      <w:r>
        <w:rPr>
          <w:rFonts w:ascii="Times New Roman" w:hAnsi="Times New Roman" w:eastAsia="仿宋_GB2312" w:cs="Times New Roman"/>
          <w:color w:val="auto"/>
          <w:sz w:val="32"/>
          <w:szCs w:val="32"/>
          <w:highlight w:val="none"/>
        </w:rPr>
        <w:t>推进农村生活垃圾分类减量与资源化利用</w:t>
      </w:r>
      <w:r>
        <w:rPr>
          <w:rFonts w:hint="eastAsia" w:ascii="Times New Roman" w:hAnsi="Times New Roman" w:eastAsia="仿宋_GB2312" w:cs="Times New Roman"/>
          <w:color w:val="auto"/>
          <w:sz w:val="32"/>
          <w:szCs w:val="32"/>
          <w:highlight w:val="none"/>
          <w:lang w:eastAsia="zh-CN"/>
        </w:rPr>
        <w:t>，提升农村生活垃圾治理水平</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坚持数量服从质量、进度服从实效、求好不求快的工作总基调，因地制宜，分区分类施策推进</w:t>
      </w:r>
      <w:r>
        <w:rPr>
          <w:rFonts w:hint="default" w:ascii="Times New Roman" w:hAnsi="Times New Roman" w:eastAsia="仿宋_GB2312" w:cs="Times New Roman"/>
          <w:color w:val="auto"/>
          <w:sz w:val="32"/>
          <w:szCs w:val="32"/>
          <w:highlight w:val="none"/>
          <w:lang w:val="en-US" w:eastAsia="zh-CN"/>
        </w:rPr>
        <w:t>厕所</w:t>
      </w:r>
      <w:r>
        <w:rPr>
          <w:rFonts w:hint="default" w:ascii="Times New Roman" w:hAnsi="Times New Roman" w:eastAsia="仿宋_GB2312" w:cs="Times New Roman"/>
          <w:color w:val="auto"/>
          <w:sz w:val="32"/>
          <w:szCs w:val="32"/>
          <w:highlight w:val="none"/>
        </w:rPr>
        <w:t>改造、问题整改、管护服务与资源化利用</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rPr>
        <w:t>坚持建设、运营、管护同步推进，生态、乡风、文化互促共进，健全完善农村人居环境常态长效机制，从基础设施、村庄环境、农户庭院等“看得见”的硬设施入手，向村规民约、村风民俗等“看不见”的软环境延伸。</w:t>
      </w:r>
    </w:p>
    <w:p w14:paraId="2B66AF87">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持续推进农村住房改造。</w:t>
      </w:r>
      <w:r>
        <w:rPr>
          <w:rFonts w:ascii="Times New Roman" w:hAnsi="Times New Roman" w:eastAsia="仿宋_GB2312" w:cs="Times New Roman"/>
          <w:color w:val="auto"/>
          <w:sz w:val="32"/>
          <w:szCs w:val="32"/>
          <w:highlight w:val="none"/>
        </w:rPr>
        <w:t>按照“安全宜居、节能低碳、风貌协调”的原则，推动农村住房从“住有所居”向“住有优居”升级。完善农房建设管理机制，规范农村住房建设管理，提高农房设计和建造水平，引导农村居民有序开展房屋翻新改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加强农房质量安全监督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实施农村危房动态清零工程，对排查出的危房户分类施策、应改尽改，确保住房安全全覆盖。</w:t>
      </w:r>
      <w:r>
        <w:rPr>
          <w:rFonts w:hint="eastAsia" w:ascii="Times New Roman" w:hAnsi="Times New Roman" w:eastAsia="仿宋_GB2312" w:cs="Times New Roman"/>
          <w:color w:val="auto"/>
          <w:sz w:val="32"/>
          <w:szCs w:val="32"/>
          <w:highlight w:val="none"/>
        </w:rPr>
        <w:t>盘活农村闲置房屋资源</w:t>
      </w:r>
      <w:r>
        <w:rPr>
          <w:rFonts w:ascii="Times New Roman" w:hAnsi="Times New Roman" w:eastAsia="仿宋_GB2312" w:cs="Times New Roman"/>
          <w:color w:val="auto"/>
          <w:sz w:val="32"/>
          <w:szCs w:val="32"/>
          <w:highlight w:val="none"/>
        </w:rPr>
        <w:t>，开展老房屋、老窑洞修葺，打造创客基地、乡村民宿等新业态，实现闲置资产资源化利用。聚焦农村住房功能短板，完善水、电、气、厕配套附属设施，推广绿色节能建材与被动式节能技术，建设低碳环保农房。</w:t>
      </w:r>
    </w:p>
    <w:p w14:paraId="643FD58C">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推动乡村风貌及特色塑造。</w:t>
      </w:r>
      <w:r>
        <w:rPr>
          <w:rFonts w:ascii="Times New Roman" w:hAnsi="Times New Roman" w:eastAsia="仿宋_GB2312" w:cs="Times New Roman"/>
          <w:color w:val="auto"/>
          <w:sz w:val="32"/>
          <w:szCs w:val="32"/>
          <w:highlight w:val="none"/>
        </w:rPr>
        <w:t>加强规划引领，推动城乡风貌协同，让乡村既有乡土韵味又具有现代品质。优化乡村生活空间布局，加强</w:t>
      </w:r>
      <w:r>
        <w:rPr>
          <w:rFonts w:hint="eastAsia" w:ascii="Times New Roman" w:hAnsi="Times New Roman" w:eastAsia="仿宋_GB2312" w:cs="Times New Roman"/>
          <w:color w:val="auto"/>
          <w:sz w:val="32"/>
          <w:szCs w:val="32"/>
          <w:highlight w:val="none"/>
          <w:lang w:eastAsia="zh-CN"/>
        </w:rPr>
        <w:t>神垕</w:t>
      </w:r>
      <w:r>
        <w:rPr>
          <w:rFonts w:ascii="Times New Roman" w:hAnsi="Times New Roman" w:eastAsia="仿宋_GB2312" w:cs="Times New Roman"/>
          <w:color w:val="auto"/>
          <w:sz w:val="32"/>
          <w:szCs w:val="32"/>
          <w:highlight w:val="none"/>
        </w:rPr>
        <w:t>镇、浅井镇等历史文化名镇名村、传统村落保护与利用，分类推进特色村镇、居民集中居住点等规划建设，打造特色鲜明、协调联动的和美乡村片区。</w:t>
      </w:r>
      <w:r>
        <w:rPr>
          <w:rFonts w:hint="eastAsia" w:ascii="Times New Roman" w:hAnsi="Times New Roman" w:eastAsia="仿宋_GB2312" w:cs="Times New Roman"/>
          <w:color w:val="auto"/>
          <w:sz w:val="32"/>
          <w:szCs w:val="32"/>
        </w:rPr>
        <w:t>突出乡土特色，挖掘地域文化资源，将三国文化、钧瓷文化、农耕文化融入乡村建设，加大对农村特色农房、院落、井泉等乡村元素的保护，重点保护修缮古民居、古桥、古树名木等乡愁载体，塑造“一村一韵、各具特色”的和美乡村风貌</w:t>
      </w:r>
      <w:r>
        <w:rPr>
          <w:rFonts w:ascii="Times New Roman" w:hAnsi="Times New Roman" w:eastAsia="仿宋_GB2312" w:cs="Times New Roman"/>
          <w:color w:val="auto"/>
          <w:sz w:val="32"/>
          <w:szCs w:val="32"/>
        </w:rPr>
        <w:t>。</w:t>
      </w:r>
    </w:p>
    <w:p w14:paraId="3B16E984">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40" w:name="_Toc215133902"/>
      <w:r>
        <w:rPr>
          <w:rFonts w:ascii="Times New Roman" w:hAnsi="Times New Roman" w:eastAsia="宋体" w:cs="Times New Roman"/>
          <w:b/>
          <w:bCs/>
          <w:color w:val="auto"/>
          <w:sz w:val="32"/>
          <w:szCs w:val="32"/>
          <w:highlight w:val="none"/>
        </w:rPr>
        <w:t>第三节  促进农业农村绿色低碳发展</w:t>
      </w:r>
      <w:bookmarkEnd w:id="40"/>
    </w:p>
    <w:p w14:paraId="3564D61A">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统筹推进农业绿色生产、农民品质生活与农村宜居建设，加大绿色循环技术应用，推动农业废弃物循环利用，提升农村生态文明建设水平，构建农业农村绿色低碳发展新格局。</w:t>
      </w:r>
    </w:p>
    <w:p w14:paraId="50811EC9">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促进全产业链绿色低碳转型。</w:t>
      </w:r>
      <w:r>
        <w:rPr>
          <w:rFonts w:ascii="Times New Roman" w:hAnsi="Times New Roman" w:eastAsia="仿宋_GB2312" w:cs="Times New Roman"/>
          <w:color w:val="auto"/>
          <w:sz w:val="32"/>
          <w:szCs w:val="32"/>
          <w:highlight w:val="none"/>
        </w:rPr>
        <w:t>把绿色发展理念贯穿农业生产全过程，发展资源节约型、环境友好型农业，实现增加供给、提高收入、保护生态的有机统一。加大农业绿色发展相关知识培训力度，引导农户、农民合作社、家庭农场、农业企业等经营主体树立绿色发展理念，推广应用节水灌溉、科学施肥用药等绿色技术，自觉培肥地力、使用绿色生产资料、清洁产地环境，促进绿色生产方式广泛应用。构建绿色低碳农业全产业链体系，推动加工环节减损增效、流通环节降本提效、质量管控全程升级，实现生态价值与经济价值协同提升。</w:t>
      </w:r>
    </w:p>
    <w:p w14:paraId="6703BE2D">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推动农业废弃物全量利用。</w:t>
      </w:r>
      <w:r>
        <w:rPr>
          <w:rFonts w:ascii="Times New Roman" w:hAnsi="Times New Roman" w:eastAsia="仿宋_GB2312" w:cs="Times New Roman"/>
          <w:color w:val="auto"/>
          <w:sz w:val="32"/>
          <w:szCs w:val="32"/>
          <w:highlight w:val="none"/>
        </w:rPr>
        <w:t>按照“应收尽收、就地利用、高值利用”的原则，加快构建农业废弃物循环利用体系，提高农业废弃物资源化利用率。以禹州</w:t>
      </w:r>
      <w:r>
        <w:rPr>
          <w:rFonts w:hint="eastAsia" w:ascii="Times New Roman" w:hAnsi="Times New Roman" w:eastAsia="仿宋_GB2312" w:cs="Times New Roman"/>
          <w:color w:val="auto"/>
          <w:sz w:val="32"/>
          <w:szCs w:val="32"/>
          <w:highlight w:val="none"/>
        </w:rPr>
        <w:t>、襄城</w:t>
      </w:r>
      <w:r>
        <w:rPr>
          <w:rFonts w:ascii="Times New Roman" w:hAnsi="Times New Roman" w:eastAsia="仿宋_GB2312" w:cs="Times New Roman"/>
          <w:color w:val="auto"/>
          <w:sz w:val="32"/>
          <w:szCs w:val="32"/>
          <w:highlight w:val="none"/>
        </w:rPr>
        <w:t>等畜牧大</w:t>
      </w:r>
      <w:r>
        <w:rPr>
          <w:rFonts w:hint="eastAsia" w:ascii="Times New Roman" w:hAnsi="Times New Roman" w:eastAsia="仿宋_GB2312" w:cs="Times New Roman"/>
          <w:color w:val="auto"/>
          <w:sz w:val="32"/>
          <w:szCs w:val="32"/>
          <w:highlight w:val="none"/>
        </w:rPr>
        <w:t>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区）为重点，整建制开展畜禽粪污资源化利用，构建全链条利用体系。支持规模化养殖场（户）配套建设粪污处理设施，推进固体粪便轻简化堆肥、液体粪污贮存发酵，支持购置施肥机和田间贮存、输送管网等还田利用装备，促进粪肥就地就近还田利用。以长葛市、建安区等粮食生产核心区为主体，全面推进秸秆综合利用。分区域、分作物推进秸秆科学还田，提升耕地质量。健全农膜回收激励机制，支持建设废旧农膜加工利用设施，推进地膜专业化回收利用，分类处置废旧农膜。</w:t>
      </w:r>
    </w:p>
    <w:p w14:paraId="11FBE6DB">
      <w:pPr>
        <w:pStyle w:val="4"/>
        <w:keepNext w:val="0"/>
        <w:overflowPunct w:val="0"/>
        <w:spacing w:before="300" w:after="300" w:line="600" w:lineRule="exact"/>
        <w:ind w:firstLine="0" w:firstLineChars="0"/>
        <w:jc w:val="center"/>
        <w:rPr>
          <w:rFonts w:ascii="Times New Roman" w:hAnsi="Times New Roman" w:eastAsia="方正小标宋简体" w:cs="Times New Roman"/>
          <w:b w:val="0"/>
          <w:bCs w:val="0"/>
          <w:color w:val="auto"/>
          <w:sz w:val="32"/>
          <w:szCs w:val="32"/>
          <w:highlight w:val="none"/>
        </w:rPr>
      </w:pPr>
      <w:bookmarkStart w:id="41" w:name="_Toc215133910"/>
      <w:r>
        <w:rPr>
          <w:rFonts w:ascii="Times New Roman" w:hAnsi="Times New Roman" w:eastAsia="方正小标宋简体" w:cs="Times New Roman"/>
          <w:b w:val="0"/>
          <w:bCs w:val="0"/>
          <w:color w:val="auto"/>
          <w:sz w:val="32"/>
          <w:szCs w:val="32"/>
          <w:highlight w:val="none"/>
        </w:rPr>
        <w:t>第九章  强化基层党建引领，促进城乡治理联动高效</w:t>
      </w:r>
      <w:bookmarkEnd w:id="41"/>
    </w:p>
    <w:p w14:paraId="07D42ACA">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加强乡村治理体系和治理能力建设，提升党建引领基层治理效能，努力提升乡村善治和乡风文明水平，促进城乡治理同向同频，让乡村成为农民安居乐业的幸福家园、人人心向往之的“诗意田园”。</w:t>
      </w:r>
    </w:p>
    <w:p w14:paraId="717A48F1">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42" w:name="_Toc215133911"/>
      <w:r>
        <w:rPr>
          <w:rFonts w:ascii="Times New Roman" w:hAnsi="Times New Roman" w:eastAsia="宋体" w:cs="Times New Roman"/>
          <w:b/>
          <w:bCs/>
          <w:color w:val="auto"/>
          <w:sz w:val="32"/>
          <w:szCs w:val="32"/>
          <w:highlight w:val="none"/>
        </w:rPr>
        <w:t>第一节  健全乡村治理组织体系</w:t>
      </w:r>
      <w:bookmarkEnd w:id="42"/>
    </w:p>
    <w:p w14:paraId="7B4D4347">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推进“三治”与“数智”融合，健全完善以党的基层组织为核心、村民自治和村务监督组织为基础、集体经济组织和农民合作组织为纽带、各种社会服务组织为补充的农村组织体系，切实提高新时代农民社会组织化水平。</w:t>
      </w:r>
    </w:p>
    <w:p w14:paraId="309CD273">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坚持以党建引领基层治理。</w:t>
      </w:r>
      <w:r>
        <w:rPr>
          <w:rFonts w:ascii="Times New Roman" w:hAnsi="Times New Roman" w:eastAsia="仿宋_GB2312" w:cs="Times New Roman"/>
          <w:color w:val="auto"/>
          <w:sz w:val="32"/>
          <w:szCs w:val="32"/>
          <w:highlight w:val="none"/>
        </w:rPr>
        <w:t>加强农村基层党组织建设，选优配强村级党组织班子，</w:t>
      </w:r>
      <w:r>
        <w:rPr>
          <w:rFonts w:hint="eastAsia" w:ascii="Times New Roman" w:hAnsi="Times New Roman" w:eastAsia="仿宋_GB2312" w:cs="Times New Roman"/>
          <w:color w:val="auto"/>
          <w:sz w:val="32"/>
          <w:szCs w:val="32"/>
          <w:highlight w:val="none"/>
        </w:rPr>
        <w:t>加大向脱贫村、乡村振兴任务重的村、软弱涣散村选派驻村第一书记力度</w:t>
      </w:r>
      <w:r>
        <w:rPr>
          <w:rFonts w:ascii="Times New Roman" w:hAnsi="Times New Roman" w:eastAsia="仿宋_GB2312" w:cs="Times New Roman"/>
          <w:color w:val="auto"/>
          <w:sz w:val="32"/>
          <w:szCs w:val="32"/>
          <w:highlight w:val="none"/>
        </w:rPr>
        <w:t>，充分发挥农村党支部的领导核心和战斗堡垒作用。</w:t>
      </w:r>
      <w:r>
        <w:rPr>
          <w:rFonts w:hint="eastAsia" w:ascii="Times New Roman" w:hAnsi="Times New Roman" w:eastAsia="仿宋_GB2312" w:cs="Times New Roman"/>
          <w:color w:val="auto"/>
          <w:sz w:val="32"/>
          <w:szCs w:val="32"/>
          <w:highlight w:val="none"/>
          <w:lang w:val="en-US" w:eastAsia="zh-CN"/>
        </w:rPr>
        <w:t>积极</w:t>
      </w:r>
      <w:r>
        <w:rPr>
          <w:rFonts w:hint="eastAsia" w:ascii="Times New Roman" w:hAnsi="Times New Roman" w:eastAsia="仿宋_GB2312" w:cs="Times New Roman"/>
          <w:color w:val="auto"/>
          <w:sz w:val="32"/>
          <w:szCs w:val="32"/>
          <w:highlight w:val="none"/>
        </w:rPr>
        <w:t>推广“联组强村、微网实格”机制，推动</w:t>
      </w:r>
      <w:r>
        <w:rPr>
          <w:rFonts w:hint="eastAsia" w:ascii="Times New Roman" w:hAnsi="Times New Roman" w:eastAsia="仿宋_GB2312" w:cs="Times New Roman"/>
          <w:color w:val="auto"/>
          <w:sz w:val="32"/>
          <w:szCs w:val="32"/>
          <w:highlight w:val="none"/>
          <w:lang w:val="en-US" w:eastAsia="zh-CN"/>
        </w:rPr>
        <w:t>基层</w:t>
      </w:r>
      <w:r>
        <w:rPr>
          <w:rFonts w:hint="eastAsia" w:ascii="Times New Roman" w:hAnsi="Times New Roman" w:eastAsia="仿宋_GB2312" w:cs="Times New Roman"/>
          <w:color w:val="auto"/>
          <w:sz w:val="32"/>
          <w:szCs w:val="32"/>
          <w:highlight w:val="none"/>
        </w:rPr>
        <w:t>党组织质效提升、村（社区）“干部”赋能成长、驻村干部尖兵作用发挥、网格精细化服务提标扩面，全面增强基层党组织政治功能和组织功能。</w:t>
      </w:r>
      <w:r>
        <w:rPr>
          <w:rFonts w:ascii="Times New Roman" w:hAnsi="Times New Roman" w:eastAsia="仿宋_GB2312" w:cs="Times New Roman"/>
          <w:color w:val="auto"/>
          <w:sz w:val="32"/>
          <w:szCs w:val="32"/>
          <w:highlight w:val="none"/>
        </w:rPr>
        <w:t>加强农村带头人选拔培养，鼓励和支持乐于为村民服务的农村致富能手、返乡创业人员、农民专业合作组织负责人、退伍军人等担任村干部。加强村民自治组织建设，完善村民代表会议制度，健全村务监督机构，将民主决策、民主监督落到实处。支持农民合作社、专业技术协会、统防统治组织等农村正规社会组织发展，发挥其在组织群众、发展生产、提供服务等方面的作用。建设乡村数字政务平台，推动政务服务“一网通办”，运用大数据分析研判乡村治理热点难点，提升治理精准性和有效性。</w:t>
      </w:r>
      <w:r>
        <w:rPr>
          <w:rFonts w:hint="eastAsia" w:ascii="Times New Roman" w:hAnsi="Times New Roman" w:eastAsia="仿宋_GB2312" w:cs="Times New Roman"/>
          <w:color w:val="auto"/>
          <w:sz w:val="32"/>
          <w:szCs w:val="32"/>
          <w:highlight w:val="none"/>
        </w:rPr>
        <w:t>加大对村巡察力度，持续推动解决群众急难愁盼问题和体制机制问题。</w:t>
      </w:r>
    </w:p>
    <w:p w14:paraId="4AF0E7D5">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完善党领导下的村民自治制度。</w:t>
      </w:r>
      <w:r>
        <w:rPr>
          <w:rFonts w:hint="eastAsia" w:ascii="Times New Roman" w:hAnsi="Times New Roman" w:eastAsia="仿宋_GB2312" w:cs="Times New Roman"/>
          <w:color w:val="auto"/>
          <w:sz w:val="32"/>
          <w:szCs w:val="32"/>
          <w:highlight w:val="none"/>
        </w:rPr>
        <w:t>扎实做好村（社区）“两委”换届工作</w:t>
      </w:r>
      <w:r>
        <w:rPr>
          <w:rFonts w:ascii="Times New Roman" w:hAnsi="Times New Roman" w:eastAsia="仿宋_GB2312" w:cs="Times New Roman"/>
          <w:color w:val="auto"/>
          <w:sz w:val="32"/>
          <w:szCs w:val="32"/>
          <w:highlight w:val="none"/>
        </w:rPr>
        <w:t>，引导广大村民珍惜自己的民主权利，将想干事、能干事的农村能人选到村委会班子。理顺村</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社区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委会与其他村级组织的关系。结合农村集体产权制度改革，准确界定村民与农村集体经济组织成员的各自范围、村委会（村民小组）与农村集体经济组织的各自职能，实现政经分开。适应城乡人口双向流动趋势，探索户籍村民和非户籍常住村民共同参与民主管理的有效途径。加强和规范村级财务管理，切实保障农民群众的决策权、参与权、知情权与监督权。加强农村集体财务审计监督，开展对村干部任期和离任经济责任、集体资产和资源、农民负担、村级债权债务等专项审计，对集体土地征收补偿费和涉农财政资金进行重点审计。</w:t>
      </w:r>
    </w:p>
    <w:p w14:paraId="16FABD55">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强化农业农村法治建设。</w:t>
      </w:r>
      <w:r>
        <w:rPr>
          <w:rFonts w:ascii="Times New Roman" w:hAnsi="Times New Roman" w:eastAsia="仿宋_GB2312" w:cs="Times New Roman"/>
          <w:color w:val="auto"/>
          <w:sz w:val="32"/>
          <w:szCs w:val="32"/>
          <w:highlight w:val="none"/>
        </w:rPr>
        <w:t>深化农业领域行政执法体制改革，深入推进综合执法。全面提升行政执法人员政治素质和业务水平，加大执法装备和执法经费保障力度，健全部门间、区域间执法协作机制，依法严厉惩处涉农违法犯罪行为。深化司法体制综合配套改革，</w:t>
      </w:r>
      <w:r>
        <w:rPr>
          <w:rFonts w:hint="eastAsia" w:ascii="Times New Roman" w:hAnsi="Times New Roman" w:eastAsia="仿宋_GB2312" w:cs="Times New Roman"/>
          <w:color w:val="auto"/>
          <w:sz w:val="32"/>
          <w:szCs w:val="32"/>
          <w:highlight w:val="none"/>
        </w:rPr>
        <w:t>落实和完善</w:t>
      </w:r>
      <w:r>
        <w:rPr>
          <w:rFonts w:ascii="Times New Roman" w:hAnsi="Times New Roman" w:eastAsia="仿宋_GB2312" w:cs="Times New Roman"/>
          <w:color w:val="auto"/>
          <w:sz w:val="32"/>
          <w:szCs w:val="32"/>
          <w:highlight w:val="none"/>
        </w:rPr>
        <w:t>司法责任制，按照公开、公正、便民的原则审理涉农纠纷，让农民群众在司法案件中感受到公平正义。</w:t>
      </w:r>
      <w:r>
        <w:rPr>
          <w:rFonts w:hint="eastAsia" w:ascii="Times New Roman" w:hAnsi="Times New Roman" w:eastAsia="仿宋_GB2312" w:cs="Times New Roman"/>
          <w:color w:val="auto"/>
          <w:sz w:val="32"/>
          <w:szCs w:val="32"/>
          <w:highlight w:val="none"/>
        </w:rPr>
        <w:t>完善涉农部门领导班子定期学法制度，增强领导干部和工作人员尊法学法守法用法意识，提升运用法治思维和法治方式推动工作的能力水平</w:t>
      </w:r>
      <w:r>
        <w:rPr>
          <w:rFonts w:ascii="Times New Roman" w:hAnsi="Times New Roman" w:eastAsia="仿宋_GB2312" w:cs="Times New Roman"/>
          <w:color w:val="auto"/>
          <w:sz w:val="32"/>
          <w:szCs w:val="32"/>
          <w:highlight w:val="none"/>
        </w:rPr>
        <w:t>。落实“谁执法谁普法”普法责任制，将普法融入农业农村管理、监督执法和公共服务各环节和全过程，提高农村干部群众依法提出诉求、依法解决纠纷、依法维护权益的意识和能力。</w:t>
      </w:r>
    </w:p>
    <w:p w14:paraId="2C3E2F63">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持续整治形式主义为基层减负。</w:t>
      </w:r>
      <w:r>
        <w:rPr>
          <w:rFonts w:ascii="Times New Roman" w:hAnsi="Times New Roman" w:eastAsia="仿宋_GB2312" w:cs="Times New Roman"/>
          <w:color w:val="auto"/>
          <w:sz w:val="32"/>
          <w:szCs w:val="32"/>
          <w:highlight w:val="none"/>
        </w:rPr>
        <w:t>全面建立乡镇（街道）履行职责事项清单，强化执行情况监督评估，健全动态调整机制。探索建立村级工作事务指导目录和社区基本公共服务、社会公益服务、便民利民服务清单，健全村（社区）工作</w:t>
      </w:r>
      <w:r>
        <w:rPr>
          <w:rFonts w:hint="eastAsia" w:ascii="Times New Roman" w:hAnsi="Times New Roman" w:eastAsia="仿宋_GB2312" w:cs="Times New Roman"/>
          <w:color w:val="auto"/>
          <w:sz w:val="32"/>
          <w:szCs w:val="32"/>
          <w:highlight w:val="none"/>
          <w:lang w:eastAsia="zh-CN"/>
        </w:rPr>
        <w:t>事项</w:t>
      </w:r>
      <w:r>
        <w:rPr>
          <w:rFonts w:ascii="Times New Roman" w:hAnsi="Times New Roman" w:eastAsia="仿宋_GB2312" w:cs="Times New Roman"/>
          <w:color w:val="auto"/>
          <w:sz w:val="32"/>
          <w:szCs w:val="32"/>
          <w:highlight w:val="none"/>
        </w:rPr>
        <w:t>准入制度，确保权责一致、责能一致。健全县乡借调工作人员从严管控长效机制。严格控制对基层开展督查检查考核，精简优化涉农考核。巩固“一票否决”和签订责任状事项清理成果。推行非现场、智慧型、穿透式执法，做到对守法者无事不扰。清理整合面向基层的政务应用程序，持续深化整治“屏幕中的形式主义”“指尖上的形式主义”。推进农村基层网格化治理“多格合一”。通过“减上补下”等方式推动编制资源向乡镇（街道）倾斜，加强分类管理、统筹使用。</w:t>
      </w:r>
    </w:p>
    <w:p w14:paraId="68ACA3B5">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43" w:name="_Toc215133912"/>
      <w:r>
        <w:rPr>
          <w:rFonts w:ascii="Times New Roman" w:hAnsi="Times New Roman" w:eastAsia="宋体" w:cs="Times New Roman"/>
          <w:b/>
          <w:bCs/>
          <w:color w:val="auto"/>
          <w:sz w:val="32"/>
          <w:szCs w:val="32"/>
          <w:highlight w:val="none"/>
        </w:rPr>
        <w:t>第二节  加强文明善治乡村建设</w:t>
      </w:r>
      <w:bookmarkEnd w:id="43"/>
    </w:p>
    <w:p w14:paraId="4211402E">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以文明乡风建设促进乡村全面振兴，弘扬社会主义核心价值观，着力解决各类违背公序良俗的突出问题，提高乡村社会文明程度。</w:t>
      </w:r>
    </w:p>
    <w:p w14:paraId="2AD7EDFE">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加强文明乡风建设。</w:t>
      </w:r>
      <w:r>
        <w:rPr>
          <w:rFonts w:ascii="Times New Roman" w:hAnsi="Times New Roman" w:eastAsia="仿宋_GB2312" w:cs="Times New Roman"/>
          <w:color w:val="auto"/>
          <w:sz w:val="32"/>
          <w:szCs w:val="32"/>
          <w:highlight w:val="none"/>
        </w:rPr>
        <w:t>加强新时代农村精神文明建设，深入实施文明乡风建设工程，持续拓展文明单位、文明村镇、文明校园、文明家庭等群众性精神文明创建活动，传播正能量、弘扬新风尚。深化“我为群众办实事”等实践活动，推进和睦家庭与和谐邻里建设。</w:t>
      </w:r>
      <w:r>
        <w:rPr>
          <w:rFonts w:hint="eastAsia" w:ascii="Times New Roman" w:hAnsi="Times New Roman" w:eastAsia="仿宋_GB2312"/>
          <w:color w:val="auto"/>
          <w:sz w:val="32"/>
          <w:szCs w:val="32"/>
          <w:highlight w:val="none"/>
        </w:rPr>
        <w:t>坚持铸牢中华民族共同体意识，加强民族团结进步</w:t>
      </w:r>
      <w:r>
        <w:rPr>
          <w:rFonts w:hint="eastAsia" w:ascii="Times New Roman" w:hAnsi="Times New Roman" w:eastAsia="仿宋_GB2312" w:cs="Times New Roman"/>
          <w:color w:val="auto"/>
          <w:sz w:val="32"/>
          <w:szCs w:val="32"/>
          <w:highlight w:val="none"/>
        </w:rPr>
        <w:t>宣传教育，推进中华民族共同体建设。</w:t>
      </w:r>
      <w:r>
        <w:rPr>
          <w:rFonts w:ascii="Times New Roman" w:hAnsi="Times New Roman" w:eastAsia="仿宋_GB2312" w:cs="Times New Roman"/>
          <w:color w:val="auto"/>
          <w:sz w:val="32"/>
          <w:szCs w:val="32"/>
          <w:highlight w:val="none"/>
        </w:rPr>
        <w:t>发挥道德规范明导向、正民心、树新风的积极作用</w:t>
      </w:r>
      <w:r>
        <w:rPr>
          <w:rFonts w:ascii="Times New Roman" w:hAnsi="Times New Roman" w:eastAsia="仿宋_GB2312" w:cs="Times New Roman"/>
          <w:color w:val="auto"/>
          <w:sz w:val="32"/>
          <w:szCs w:val="32"/>
        </w:rPr>
        <w:t>，细化实化具体化村规民约、家规家训。</w:t>
      </w:r>
      <w:r>
        <w:rPr>
          <w:rFonts w:ascii="Times New Roman" w:hAnsi="Times New Roman" w:eastAsia="仿宋_GB2312" w:cs="Times New Roman"/>
          <w:color w:val="auto"/>
          <w:sz w:val="32"/>
          <w:szCs w:val="32"/>
          <w:highlight w:val="none"/>
        </w:rPr>
        <w:t>坚持党员干部带头，充分发挥党风政风对村风民风的示范带动作用，切实做到讲党性、重品行、作表率。强化道德约束，</w:t>
      </w:r>
      <w:r>
        <w:rPr>
          <w:rFonts w:hint="eastAsia" w:ascii="Times New Roman" w:hAnsi="Times New Roman" w:eastAsia="仿宋_GB2312" w:cs="Times New Roman"/>
          <w:color w:val="auto"/>
          <w:sz w:val="32"/>
          <w:szCs w:val="32"/>
        </w:rPr>
        <w:t>持续开展</w:t>
      </w:r>
      <w:r>
        <w:rPr>
          <w:rFonts w:ascii="Times New Roman" w:hAnsi="Times New Roman" w:eastAsia="仿宋_GB2312" w:cs="Times New Roman"/>
          <w:color w:val="auto"/>
          <w:sz w:val="32"/>
          <w:szCs w:val="32"/>
        </w:rPr>
        <w:t>公评公议、文明户评选，</w:t>
      </w:r>
      <w:r>
        <w:rPr>
          <w:rFonts w:ascii="Times New Roman" w:hAnsi="Times New Roman" w:eastAsia="仿宋_GB2312" w:cs="Times New Roman"/>
          <w:color w:val="auto"/>
          <w:sz w:val="32"/>
          <w:szCs w:val="32"/>
          <w:highlight w:val="none"/>
        </w:rPr>
        <w:t>把道德规范与农民群众的日常生产生活联系起来。加强农村个人诚信体系建设，对优良信用个人提供更多服务便利，对严重失信个人实施联合惩戒。</w:t>
      </w:r>
    </w:p>
    <w:p w14:paraId="38D1F57A">
      <w:pPr>
        <w:overflowPunct w:val="0"/>
        <w:spacing w:line="600" w:lineRule="exact"/>
        <w:ind w:firstLine="643" w:firstLineChars="200"/>
        <w:rPr>
          <w:rFonts w:ascii="Times New Roman" w:hAnsi="Times New Roman" w:eastAsia="仿宋_GB2312" w:cs="Times New Roman"/>
          <w:color w:val="auto"/>
          <w:sz w:val="32"/>
          <w:szCs w:val="32"/>
          <w:highlight w:val="none"/>
        </w:rPr>
      </w:pPr>
      <w:bookmarkStart w:id="44" w:name="OLE_LINK3"/>
      <w:r>
        <w:rPr>
          <w:rFonts w:ascii="Times New Roman" w:hAnsi="Times New Roman" w:eastAsia="仿宋_GB2312" w:cs="Times New Roman"/>
          <w:b/>
          <w:color w:val="auto"/>
          <w:sz w:val="32"/>
          <w:szCs w:val="32"/>
          <w:highlight w:val="none"/>
        </w:rPr>
        <w:t>丰富农村文化供给</w:t>
      </w:r>
      <w:bookmarkEnd w:id="44"/>
      <w:r>
        <w:rPr>
          <w:rFonts w:ascii="Times New Roman" w:hAnsi="Times New Roman" w:eastAsia="仿宋_GB2312" w:cs="Times New Roman"/>
          <w:b/>
          <w:color w:val="auto"/>
          <w:sz w:val="32"/>
          <w:szCs w:val="32"/>
          <w:highlight w:val="none"/>
        </w:rPr>
        <w:t>。</w:t>
      </w:r>
      <w:r>
        <w:rPr>
          <w:rFonts w:ascii="Times New Roman" w:hAnsi="Times New Roman" w:eastAsia="仿宋_GB2312" w:cs="Times New Roman"/>
          <w:color w:val="auto"/>
          <w:sz w:val="32"/>
          <w:szCs w:val="32"/>
          <w:highlight w:val="none"/>
        </w:rPr>
        <w:t>建立优质文化资源直达基层机制，持续做好“舞台艺术送基层”、文艺轻骑兵、戏曲进景区、进社区、进校园等文艺惠民演出活动，突出抓好群众合唱、广场舞比赛、咱村有戏、四季“村晚”、市民夜校、街头艺术秀、文峰新六艺等品牌文化活动，促进群众性文体活动健康发展，打造一批具有许昌特色的文化品牌。加强基层文化队伍建设，深化基层文化“三员”工作机制、乡镇文化联盟、乡村文化合作社建设成果，加强乡土文化能人培育和扶持，提振农民群众精神风貌。充分挖掘本地的历史传统、英雄人物、道德模范等人文资源，开展形式多样的社会公德、职业道德、家庭美德、个人品德教育活动，以润物无声的方式使农民群众明礼知耻、崇德</w:t>
      </w:r>
      <w:r>
        <w:rPr>
          <w:rFonts w:hint="eastAsia" w:ascii="Times New Roman" w:hAnsi="Times New Roman" w:eastAsia="仿宋_GB2312" w:cs="Times New Roman"/>
          <w:color w:val="auto"/>
          <w:sz w:val="32"/>
          <w:szCs w:val="32"/>
          <w:highlight w:val="none"/>
        </w:rPr>
        <w:t>向善。深入实施乡村文物保护维修及环境整治工程</w:t>
      </w:r>
      <w:r>
        <w:rPr>
          <w:rFonts w:ascii="Times New Roman" w:hAnsi="Times New Roman" w:eastAsia="仿宋_GB2312" w:cs="Times New Roman"/>
          <w:color w:val="auto"/>
          <w:sz w:val="32"/>
          <w:szCs w:val="32"/>
          <w:highlight w:val="none"/>
        </w:rPr>
        <w:t>，推进传统村落特色保护区建设，培育钧瓷、霍庄社火、中药炮制、发制品、蜂产品、金丝楠木文创等非遗特色项目，持续做好重要农业文化遗产和乡村文化遗产认定、保护、传承和开发利用。</w:t>
      </w:r>
    </w:p>
    <w:p w14:paraId="69C318BE">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推进农村移风易俗。</w:t>
      </w:r>
      <w:r>
        <w:rPr>
          <w:rFonts w:ascii="Times New Roman" w:hAnsi="Times New Roman" w:eastAsia="仿宋_GB2312" w:cs="Times New Roman"/>
          <w:color w:val="auto"/>
          <w:sz w:val="32"/>
          <w:szCs w:val="32"/>
          <w:highlight w:val="none"/>
        </w:rPr>
        <w:t>推进农村高额彩礼问题综合治理，发挥妇联、共青团等组织作用，加强对农村适婚群体的公益性婚恋服务和关心关爱。加大对婚托婚骗等违法行为的打击力度。加强宗祠规范管理。深化殡葬改革，持续整治人情攀比、大操大办、厚葬薄养、散埋乱葬等突出问题，推进公益性生态安葬设施建设。规范农村演出市场，深入整治低俗表演活动。</w:t>
      </w:r>
      <w:r>
        <w:rPr>
          <w:rFonts w:hint="eastAsia" w:ascii="Times New Roman" w:hAnsi="Times New Roman" w:eastAsia="仿宋_GB2312" w:cs="Times New Roman"/>
          <w:color w:val="auto"/>
          <w:sz w:val="32"/>
          <w:szCs w:val="32"/>
          <w:highlight w:val="none"/>
        </w:rPr>
        <w:t>强化农村科普公共服务供给，加强农村科普阵地建设。强化反邪教警示教育，反对封建迷信，破除大</w:t>
      </w:r>
      <w:r>
        <w:rPr>
          <w:rFonts w:ascii="Times New Roman" w:hAnsi="Times New Roman" w:eastAsia="仿宋_GB2312" w:cs="Times New Roman"/>
          <w:color w:val="auto"/>
          <w:sz w:val="32"/>
          <w:szCs w:val="32"/>
          <w:highlight w:val="none"/>
        </w:rPr>
        <w:t>操大办、铺张浪费等不良风气。充分发挥村民议事会、道德评议会、红白理事会等群众组织作用，引导村民自我管理、自我教育和自我服务，使移风易俗成为农民群众的自觉行为。</w:t>
      </w:r>
    </w:p>
    <w:p w14:paraId="76B9E225">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45" w:name="_Toc215133913"/>
      <w:r>
        <w:rPr>
          <w:rFonts w:ascii="Times New Roman" w:hAnsi="Times New Roman" w:eastAsia="宋体" w:cs="Times New Roman"/>
          <w:b/>
          <w:bCs/>
          <w:color w:val="auto"/>
          <w:sz w:val="32"/>
          <w:szCs w:val="32"/>
          <w:highlight w:val="none"/>
        </w:rPr>
        <w:t>第三节  深化平安乡村建设</w:t>
      </w:r>
      <w:bookmarkEnd w:id="45"/>
    </w:p>
    <w:p w14:paraId="5425A5DE">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强化数智技术运用，开展平安创建，加快完善立体化、信息化社会治安防控体系，全面提高乡村人民群众的安全感。</w:t>
      </w:r>
    </w:p>
    <w:p w14:paraId="43591C60">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rPr>
        <w:t>加强乡村治安综合治理</w:t>
      </w:r>
      <w:r>
        <w:rPr>
          <w:rFonts w:ascii="Times New Roman" w:hAnsi="Times New Roman" w:eastAsia="仿宋_GB2312" w:cs="Times New Roman"/>
          <w:b/>
          <w:color w:val="auto"/>
          <w:sz w:val="32"/>
          <w:szCs w:val="32"/>
        </w:rPr>
        <w:t>。</w:t>
      </w:r>
      <w:r>
        <w:rPr>
          <w:rFonts w:ascii="Times New Roman" w:hAnsi="Times New Roman" w:eastAsia="仿宋_GB2312" w:cs="Times New Roman"/>
          <w:color w:val="auto"/>
          <w:sz w:val="32"/>
          <w:szCs w:val="32"/>
        </w:rPr>
        <w:t>依法打击村霸、恶霸等黑恶势力和“黄赌毒”等各类违法行为，推动扫黑除恶专项斗争常态化。依法严</w:t>
      </w:r>
      <w:r>
        <w:rPr>
          <w:rFonts w:hint="eastAsia" w:ascii="Times New Roman" w:hAnsi="Times New Roman" w:eastAsia="仿宋_GB2312" w:cs="Times New Roman"/>
          <w:color w:val="auto"/>
          <w:sz w:val="32"/>
          <w:szCs w:val="32"/>
          <w:lang w:eastAsia="zh-CN"/>
        </w:rPr>
        <w:t>密</w:t>
      </w:r>
      <w:r>
        <w:rPr>
          <w:rFonts w:ascii="Times New Roman" w:hAnsi="Times New Roman" w:eastAsia="仿宋_GB2312" w:cs="Times New Roman"/>
          <w:color w:val="auto"/>
          <w:sz w:val="32"/>
          <w:szCs w:val="32"/>
          <w:highlight w:val="none"/>
        </w:rPr>
        <w:t>防范、严厉打击各类违法犯罪活动，有效防范暴力恐怖犯罪、个人极端犯罪，坚决遏制群死群伤公共安全事故、多发性治安等突出问题。加强对</w:t>
      </w:r>
      <w:r>
        <w:rPr>
          <w:rFonts w:hint="eastAsia" w:ascii="Times New Roman" w:hAnsi="Times New Roman" w:eastAsia="仿宋_GB2312" w:cs="Times New Roman"/>
          <w:color w:val="auto"/>
          <w:sz w:val="32"/>
          <w:szCs w:val="32"/>
          <w:highlight w:val="none"/>
        </w:rPr>
        <w:t>安置帮教期内的刑满释放人员、社区矫正对象</w:t>
      </w:r>
      <w:r>
        <w:rPr>
          <w:rFonts w:ascii="Times New Roman" w:hAnsi="Times New Roman" w:eastAsia="仿宋_GB2312" w:cs="Times New Roman"/>
          <w:color w:val="auto"/>
          <w:sz w:val="32"/>
          <w:szCs w:val="32"/>
          <w:highlight w:val="none"/>
        </w:rPr>
        <w:t>、精神病患者、吸毒人员、留守儿童、问题青少年等特殊人群关怀帮扶力度，提供精准化、精细化服务。</w:t>
      </w:r>
    </w:p>
    <w:p w14:paraId="4CA269D6">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构建多元矛盾纠纷化解机制。</w:t>
      </w:r>
      <w:r>
        <w:rPr>
          <w:rFonts w:ascii="Times New Roman" w:hAnsi="Times New Roman" w:eastAsia="仿宋_GB2312" w:cs="Times New Roman"/>
          <w:color w:val="auto"/>
          <w:sz w:val="32"/>
          <w:szCs w:val="32"/>
          <w:highlight w:val="none"/>
        </w:rPr>
        <w:t>坚持和发展新时代“枫桥经验”，完善“源头预防、多元化解、闭环处置”的纠纷解决体</w:t>
      </w:r>
      <w:r>
        <w:rPr>
          <w:rFonts w:hint="eastAsia" w:ascii="Times New Roman" w:hAnsi="Times New Roman" w:eastAsia="仿宋_GB2312" w:cs="Times New Roman"/>
          <w:color w:val="auto"/>
          <w:sz w:val="32"/>
          <w:szCs w:val="32"/>
          <w:highlight w:val="none"/>
        </w:rPr>
        <w:t>系。针对</w:t>
      </w:r>
      <w:r>
        <w:rPr>
          <w:rFonts w:ascii="Times New Roman" w:hAnsi="Times New Roman" w:eastAsia="仿宋_GB2312" w:cs="Times New Roman"/>
          <w:color w:val="auto"/>
          <w:sz w:val="32"/>
          <w:szCs w:val="32"/>
          <w:highlight w:val="none"/>
        </w:rPr>
        <w:t>征地拆迁、劳动就业、欠资欠薪等复杂纠纷，实行“一案一专班”处置。依托综治信息平台，建立矛盾纠纷线上排查上报系统，实现纠纷登记、分流、调处、反馈全流程数字化管理。强化</w:t>
      </w:r>
      <w:r>
        <w:rPr>
          <w:rFonts w:hint="eastAsia" w:ascii="Times New Roman" w:hAnsi="Times New Roman" w:eastAsia="仿宋_GB2312" w:cs="Times New Roman"/>
          <w:color w:val="auto"/>
          <w:sz w:val="32"/>
          <w:szCs w:val="32"/>
          <w:highlight w:val="none"/>
        </w:rPr>
        <w:t>法治</w:t>
      </w:r>
      <w:r>
        <w:rPr>
          <w:rFonts w:ascii="Times New Roman" w:hAnsi="Times New Roman" w:eastAsia="仿宋_GB2312" w:cs="Times New Roman"/>
          <w:color w:val="auto"/>
          <w:sz w:val="32"/>
          <w:szCs w:val="32"/>
          <w:highlight w:val="none"/>
        </w:rPr>
        <w:t>保障支撑，开展“一村一法律顾问”全覆盖行动从源头减少矛盾纠纷。</w:t>
      </w:r>
    </w:p>
    <w:p w14:paraId="0DC32437">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建立治安防控长效机制。</w:t>
      </w:r>
      <w:r>
        <w:rPr>
          <w:rFonts w:ascii="Times New Roman" w:hAnsi="Times New Roman" w:eastAsia="仿宋_GB2312" w:cs="Times New Roman"/>
          <w:color w:val="auto"/>
          <w:sz w:val="32"/>
          <w:szCs w:val="32"/>
          <w:highlight w:val="none"/>
        </w:rPr>
        <w:t>坚持专群结合、群防群治，构建问题联治、工作联动、平安联创的工作机制，形成社会治安防控工作合力。健全扫黑除恶常态化机制，推动扫黑除恶专项斗</w:t>
      </w:r>
      <w:r>
        <w:rPr>
          <w:rFonts w:hint="eastAsia" w:ascii="Times New Roman" w:hAnsi="Times New Roman" w:eastAsia="仿宋_GB2312" w:cs="Times New Roman"/>
          <w:color w:val="auto"/>
          <w:sz w:val="32"/>
          <w:szCs w:val="32"/>
          <w:highlight w:val="none"/>
        </w:rPr>
        <w:t>争向</w:t>
      </w:r>
      <w:r>
        <w:rPr>
          <w:rFonts w:ascii="Times New Roman" w:hAnsi="Times New Roman" w:eastAsia="仿宋_GB2312" w:cs="Times New Roman"/>
          <w:color w:val="auto"/>
          <w:sz w:val="32"/>
          <w:szCs w:val="32"/>
          <w:highlight w:val="none"/>
        </w:rPr>
        <w:t>纵深开展。持续完善形势定期研判机制，提高对各类风险的预测预警预防能力。强化社会治安重点地区排查整治，提高对大要案件、多发性案件的处置效率。健全平安建设考核评价体系，全面建成平安建设协调机制。</w:t>
      </w:r>
      <w:r>
        <w:rPr>
          <w:rFonts w:hint="eastAsia" w:ascii="Times New Roman" w:hAnsi="Times New Roman" w:eastAsia="仿宋_GB2312" w:cs="Times New Roman"/>
          <w:color w:val="auto"/>
          <w:sz w:val="32"/>
          <w:szCs w:val="32"/>
          <w:highlight w:val="none"/>
        </w:rPr>
        <w:t>发挥好街道（乡镇）、社区（村）人民调解委员会作用，规范调解经费保障制度</w:t>
      </w:r>
      <w:r>
        <w:rPr>
          <w:rFonts w:ascii="Times New Roman" w:hAnsi="Times New Roman" w:eastAsia="仿宋_GB2312" w:cs="Times New Roman"/>
          <w:color w:val="auto"/>
          <w:sz w:val="32"/>
          <w:szCs w:val="32"/>
          <w:highlight w:val="none"/>
        </w:rPr>
        <w:t>。</w:t>
      </w:r>
    </w:p>
    <w:p w14:paraId="125113EC">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强化数智赋能。</w:t>
      </w:r>
      <w:r>
        <w:rPr>
          <w:rFonts w:ascii="Times New Roman" w:hAnsi="Times New Roman" w:eastAsia="仿宋_GB2312" w:cs="Times New Roman"/>
          <w:color w:val="auto"/>
          <w:sz w:val="32"/>
          <w:szCs w:val="32"/>
          <w:highlight w:val="none"/>
        </w:rPr>
        <w:t>推动智慧乡村建设，开展乡村社会治安的监测、预警、协调、指挥、分析、决策、评价全过程管理，切实提高农村社会治安智能化水平。升级乡村综治信息平台，整合网格管理、特殊人员服务、重点区域监控等功能模块，建立人口、房屋、矛盾等基础数据库，实现“数据一网通享、事件一网处置”。</w:t>
      </w:r>
      <w:r>
        <w:rPr>
          <w:rFonts w:hint="eastAsia" w:ascii="Times New Roman" w:hAnsi="Times New Roman" w:eastAsia="仿宋_GB2312" w:cs="Times New Roman"/>
          <w:color w:val="auto"/>
          <w:sz w:val="32"/>
          <w:szCs w:val="32"/>
        </w:rPr>
        <w:t>全面实施“雪亮工程”，加快推进公共安全视频监控共享云建设，推进农村视频监控扩面、提质、上云，提高农村视频监控建设、联网、应用的整体效能</w:t>
      </w:r>
      <w:r>
        <w:rPr>
          <w:rFonts w:ascii="Times New Roman" w:hAnsi="Times New Roman" w:eastAsia="仿宋_GB2312" w:cs="Times New Roman"/>
          <w:color w:val="auto"/>
          <w:sz w:val="32"/>
          <w:szCs w:val="32"/>
        </w:rPr>
        <w:t>。</w:t>
      </w:r>
    </w:p>
    <w:p w14:paraId="4B75F237">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bookmarkStart w:id="46" w:name="_Toc215133914"/>
      <w:r>
        <w:rPr>
          <w:rFonts w:ascii="Times New Roman" w:hAnsi="Times New Roman" w:eastAsia="宋体" w:cs="Times New Roman"/>
          <w:b/>
          <w:bCs/>
          <w:color w:val="auto"/>
          <w:sz w:val="32"/>
          <w:szCs w:val="32"/>
          <w:highlight w:val="none"/>
        </w:rPr>
        <w:t>第四节  推进韧性乡村建设</w:t>
      </w:r>
      <w:bookmarkEnd w:id="46"/>
    </w:p>
    <w:p w14:paraId="06DA0BA4">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坚持分步实施、重点突破，补齐建设短板，注重系统协同，强化数字赋能，全面提升乡村抵御风险、应对冲击、恢复发展的能力。</w:t>
      </w:r>
    </w:p>
    <w:p w14:paraId="75FD3604">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构筑防洪排涝安全工程体系。</w:t>
      </w:r>
      <w:r>
        <w:rPr>
          <w:rFonts w:ascii="Times New Roman" w:hAnsi="Times New Roman" w:eastAsia="仿宋_GB2312" w:cs="Times New Roman"/>
          <w:color w:val="auto"/>
          <w:sz w:val="32"/>
          <w:szCs w:val="32"/>
          <w:highlight w:val="none"/>
        </w:rPr>
        <w:t>加大投入力度，结合“一中心五组团”农业空间布局，系统升级乡村防洪排涝硬件设施。围绕河道、水库布设智能水位监测设备，建立流域统筹的防汛监测网络，实现雨情水情实时预警。聚焦禹州山区、襄城沿河流域等重点区域，实施中小河流治理提质工程，进行清淤疏浚、岸坡加固，提升行洪泄洪能力。优化乡村排水管网布局，开展雨污分流改造，配建小型雨水调蓄设施，缓解汛期内涝压力。聚焦山洪地质灾害易发区，推广禹州市浅井镇“安全屋”建设经验，确保群众15分钟内抵达安全区域。</w:t>
      </w:r>
    </w:p>
    <w:p w14:paraId="0E0E3470">
      <w:pPr>
        <w:overflowPunct w:val="0"/>
        <w:spacing w:line="60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完善综合防灾减灾硬件设施。</w:t>
      </w:r>
      <w:r>
        <w:rPr>
          <w:rFonts w:ascii="Times New Roman" w:hAnsi="Times New Roman" w:eastAsia="仿宋_GB2312" w:cs="Times New Roman"/>
          <w:color w:val="auto"/>
          <w:sz w:val="32"/>
          <w:szCs w:val="32"/>
          <w:highlight w:val="none"/>
        </w:rPr>
        <w:t>实施乡村基础设施抗灾加固工程，对农村公路、供水供电、通信基站等关键设施开展抗震、抗风、抗涝改造，确保灾害发生后“生命线”畅通。围绕</w:t>
      </w:r>
      <w:r>
        <w:rPr>
          <w:rFonts w:hint="eastAsia" w:ascii="Times New Roman" w:hAnsi="Times New Roman" w:eastAsia="仿宋_GB2312" w:cs="Times New Roman"/>
          <w:color w:val="auto"/>
          <w:sz w:val="32"/>
          <w:szCs w:val="32"/>
          <w:highlight w:val="none"/>
          <w:lang w:eastAsia="zh-CN"/>
        </w:rPr>
        <w:t>各</w:t>
      </w:r>
      <w:r>
        <w:rPr>
          <w:rFonts w:ascii="Times New Roman" w:hAnsi="Times New Roman" w:eastAsia="仿宋_GB2312" w:cs="Times New Roman"/>
          <w:color w:val="auto"/>
          <w:sz w:val="32"/>
          <w:szCs w:val="32"/>
          <w:highlight w:val="none"/>
        </w:rPr>
        <w:t>乡镇建设标准化应急救援站，配备消防、破拆、救援等设备，组建基层应急队伍，实现半小时内快速响应。结合村庄分类规划，围绕人口密集村建设集应急指挥、物资储备、医疗救护于一体的综合应急服务中心，配套建设应急停机坪、物资运输通道等设施。加强宣传培训硬件建设，在每个行政村建设应急科普宣传栏，定期开展防灾演练，推动硬件升级与机制完善相结合，全面筑牢乡村安全发展根基。</w:t>
      </w:r>
    </w:p>
    <w:p w14:paraId="7C991F8A">
      <w:pPr>
        <w:overflowPunct w:val="0"/>
        <w:spacing w:line="600" w:lineRule="exact"/>
        <w:ind w:firstLine="643" w:firstLineChars="200"/>
        <w:rPr>
          <w:rFonts w:ascii="Times New Roman" w:hAnsi="Times New Roman" w:cs="Times New Roman"/>
          <w:color w:val="auto"/>
          <w:highlight w:val="none"/>
        </w:rPr>
      </w:pPr>
      <w:r>
        <w:rPr>
          <w:rFonts w:ascii="Times New Roman" w:hAnsi="Times New Roman" w:eastAsia="仿宋_GB2312" w:cs="Times New Roman"/>
          <w:b/>
          <w:color w:val="auto"/>
          <w:sz w:val="32"/>
          <w:szCs w:val="32"/>
          <w:highlight w:val="none"/>
        </w:rPr>
        <w:t>完善农业生物安全防控体系。</w:t>
      </w:r>
      <w:r>
        <w:rPr>
          <w:rFonts w:ascii="Times New Roman" w:hAnsi="Times New Roman" w:eastAsia="仿宋_GB2312" w:cs="Times New Roman"/>
          <w:color w:val="auto"/>
          <w:sz w:val="32"/>
          <w:szCs w:val="32"/>
          <w:highlight w:val="none"/>
        </w:rPr>
        <w:t>以保障粮食安全和特色产业发展为核心，构建“监测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防控</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处置”一体化生物安全硬件体系。依托市农业科学院技术优势，建设市级农业生物灾害监测预警中心，在小麦主产区、花木基地、中药材种植区等布局监测站点，实现重大病虫害早发现、早预警。强化检疫防疫基础设施建设</w:t>
      </w:r>
      <w:r>
        <w:rPr>
          <w:rFonts w:hint="eastAsia" w:ascii="Times New Roman" w:hAnsi="Times New Roman" w:eastAsia="仿宋_GB2312" w:cs="Times New Roman"/>
          <w:color w:val="auto"/>
          <w:sz w:val="32"/>
          <w:szCs w:val="32"/>
          <w:highlight w:val="none"/>
        </w:rPr>
        <w:t>，在主要</w:t>
      </w:r>
      <w:r>
        <w:rPr>
          <w:rFonts w:ascii="Times New Roman" w:hAnsi="Times New Roman" w:eastAsia="仿宋_GB2312" w:cs="Times New Roman"/>
          <w:color w:val="auto"/>
          <w:sz w:val="32"/>
          <w:szCs w:val="32"/>
          <w:highlight w:val="none"/>
        </w:rPr>
        <w:t>交通枢纽及农产品物流园区建设植物检疫查验站，严防外来有害生物传入。针对“粮食、畜牧”两大主导产业和花木、中药材、烟叶等特色产业，建设区域性应急防控物资储备库，确保暴发性病虫害处置得到快速响应。推动数字技术与生物防控融合，搭建全市农业生物安全大数据平台。</w:t>
      </w:r>
    </w:p>
    <w:p w14:paraId="7420CF91">
      <w:pPr>
        <w:pStyle w:val="4"/>
        <w:keepNext w:val="0"/>
        <w:overflowPunct w:val="0"/>
        <w:spacing w:before="300" w:after="300" w:line="600" w:lineRule="exact"/>
        <w:ind w:firstLine="0" w:firstLineChars="0"/>
        <w:jc w:val="center"/>
        <w:rPr>
          <w:rFonts w:ascii="Times New Roman" w:hAnsi="Times New Roman" w:eastAsia="方正小标宋简体" w:cs="Times New Roman"/>
          <w:b w:val="0"/>
          <w:bCs w:val="0"/>
          <w:color w:val="auto"/>
          <w:sz w:val="32"/>
          <w:szCs w:val="32"/>
          <w:highlight w:val="none"/>
        </w:rPr>
      </w:pPr>
      <w:bookmarkStart w:id="47" w:name="_Toc215133915"/>
      <w:r>
        <w:rPr>
          <w:rFonts w:ascii="Times New Roman" w:hAnsi="Times New Roman" w:eastAsia="方正小标宋简体" w:cs="Times New Roman"/>
          <w:b w:val="0"/>
          <w:bCs w:val="0"/>
          <w:color w:val="auto"/>
          <w:sz w:val="32"/>
          <w:szCs w:val="32"/>
          <w:highlight w:val="none"/>
        </w:rPr>
        <w:t>第十章  规划实施保障</w:t>
      </w:r>
      <w:bookmarkEnd w:id="47"/>
    </w:p>
    <w:p w14:paraId="29C7D7A0">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坚持和完善党领导推进城乡融合发展的体制机制，加强统筹管理和衔接协调，强化要素保障和政策协同，确保完成规划确定的各项目标任务。</w:t>
      </w:r>
    </w:p>
    <w:p w14:paraId="72A7E8F8">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r>
        <w:rPr>
          <w:color w:val="auto"/>
          <w:highlight w:val="none"/>
        </w:rPr>
        <w:fldChar w:fldCharType="begin"/>
      </w:r>
      <w:r>
        <w:rPr>
          <w:color w:val="auto"/>
          <w:highlight w:val="none"/>
        </w:rPr>
        <w:instrText xml:space="preserve"> HYPERLINK \l "_Toc10578" </w:instrText>
      </w:r>
      <w:r>
        <w:rPr>
          <w:color w:val="auto"/>
          <w:highlight w:val="none"/>
        </w:rPr>
        <w:fldChar w:fldCharType="separate"/>
      </w:r>
      <w:bookmarkStart w:id="48" w:name="_Toc215133916"/>
      <w:r>
        <w:rPr>
          <w:rFonts w:ascii="Times New Roman" w:hAnsi="Times New Roman" w:eastAsia="宋体" w:cs="Times New Roman"/>
          <w:b/>
          <w:bCs/>
          <w:color w:val="auto"/>
          <w:sz w:val="32"/>
          <w:szCs w:val="32"/>
          <w:highlight w:val="none"/>
        </w:rPr>
        <w:t>第一节  全面加强</w:t>
      </w:r>
      <w:r>
        <w:rPr>
          <w:rFonts w:ascii="Times New Roman" w:hAnsi="Times New Roman" w:eastAsia="宋体" w:cs="Times New Roman"/>
          <w:b/>
          <w:bCs/>
          <w:color w:val="auto"/>
          <w:sz w:val="32"/>
          <w:szCs w:val="32"/>
          <w:highlight w:val="none"/>
        </w:rPr>
        <w:fldChar w:fldCharType="end"/>
      </w:r>
      <w:r>
        <w:rPr>
          <w:rFonts w:ascii="Times New Roman" w:hAnsi="Times New Roman" w:eastAsia="宋体" w:cs="Times New Roman"/>
          <w:b/>
          <w:bCs/>
          <w:color w:val="auto"/>
          <w:sz w:val="32"/>
          <w:szCs w:val="32"/>
          <w:highlight w:val="none"/>
        </w:rPr>
        <w:t>党的领导</w:t>
      </w:r>
      <w:bookmarkEnd w:id="48"/>
    </w:p>
    <w:p w14:paraId="2EA155C0">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深入贯彻新时代党的建设总要求，全面加强党的集中统一领导，形成党委领导、政府抓总、部门协同、区县（市）联动、合力攻坚的城乡融合发展工作新格局。全面加强基层党组织和基层政权建设，充分发挥基层党组织战斗堡垒作用和党员先锋模范作用，促进组织共建、资源共享、机制衔接，为城乡融合发展提供坚强政治保证和组织保障。</w:t>
      </w:r>
    </w:p>
    <w:p w14:paraId="7E6370B3">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r>
        <w:rPr>
          <w:color w:val="auto"/>
          <w:highlight w:val="none"/>
        </w:rPr>
        <w:fldChar w:fldCharType="begin"/>
      </w:r>
      <w:r>
        <w:rPr>
          <w:color w:val="auto"/>
          <w:highlight w:val="none"/>
        </w:rPr>
        <w:instrText xml:space="preserve"> HYPERLINK \l "_Toc18997" </w:instrText>
      </w:r>
      <w:r>
        <w:rPr>
          <w:color w:val="auto"/>
          <w:highlight w:val="none"/>
        </w:rPr>
        <w:fldChar w:fldCharType="separate"/>
      </w:r>
      <w:bookmarkStart w:id="49" w:name="_Toc215133917"/>
      <w:r>
        <w:rPr>
          <w:rFonts w:ascii="Times New Roman" w:hAnsi="Times New Roman" w:eastAsia="宋体" w:cs="Times New Roman"/>
          <w:b/>
          <w:bCs/>
          <w:color w:val="auto"/>
          <w:sz w:val="32"/>
          <w:szCs w:val="32"/>
          <w:highlight w:val="none"/>
        </w:rPr>
        <w:t>第二节  健全规划实施机制</w:t>
      </w:r>
      <w:bookmarkEnd w:id="49"/>
      <w:r>
        <w:rPr>
          <w:rFonts w:ascii="Times New Roman" w:hAnsi="Times New Roman" w:eastAsia="宋体" w:cs="Times New Roman"/>
          <w:b/>
          <w:bCs/>
          <w:color w:val="auto"/>
          <w:sz w:val="32"/>
          <w:szCs w:val="32"/>
          <w:highlight w:val="none"/>
        </w:rPr>
        <w:fldChar w:fldCharType="end"/>
      </w:r>
    </w:p>
    <w:p w14:paraId="47E78DF2">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认真贯彻落实《中华人民共和国国家发展规划法》，强化本规划与国民经济和社会发展规划、国土空间规划等的衔接性，构建定位准确、边界清晰、功能互补、统一衔接的规划体系。加强规划实施的组织、协调和督导，编制城乡融合发展年度重点任务，将规划确定的主要指标分解纳入年度指标体系并做好年度间综合平衡。加强对规划实施情况的监测评估，完善规划中期评估和末期全面评估制度。</w:t>
      </w:r>
    </w:p>
    <w:p w14:paraId="193D4DC4">
      <w:pPr>
        <w:keepLines/>
        <w:overflowPunct w:val="0"/>
        <w:spacing w:before="120" w:after="120" w:line="600" w:lineRule="exact"/>
        <w:jc w:val="center"/>
        <w:outlineLvl w:val="1"/>
        <w:rPr>
          <w:rFonts w:ascii="Times New Roman" w:hAnsi="Times New Roman" w:eastAsia="宋体" w:cs="Times New Roman"/>
          <w:b/>
          <w:bCs/>
          <w:color w:val="auto"/>
          <w:sz w:val="32"/>
          <w:szCs w:val="32"/>
          <w:highlight w:val="none"/>
        </w:rPr>
      </w:pPr>
      <w:r>
        <w:rPr>
          <w:color w:val="auto"/>
          <w:highlight w:val="none"/>
        </w:rPr>
        <w:fldChar w:fldCharType="begin"/>
      </w:r>
      <w:r>
        <w:rPr>
          <w:color w:val="auto"/>
          <w:highlight w:val="none"/>
        </w:rPr>
        <w:instrText xml:space="preserve"> HYPERLINK \l "_Toc7516" </w:instrText>
      </w:r>
      <w:r>
        <w:rPr>
          <w:color w:val="auto"/>
          <w:highlight w:val="none"/>
        </w:rPr>
        <w:fldChar w:fldCharType="separate"/>
      </w:r>
      <w:bookmarkStart w:id="50" w:name="_Toc215133918"/>
      <w:r>
        <w:rPr>
          <w:rFonts w:ascii="Times New Roman" w:hAnsi="Times New Roman" w:eastAsia="宋体" w:cs="Times New Roman"/>
          <w:b/>
          <w:bCs/>
          <w:color w:val="auto"/>
          <w:sz w:val="32"/>
          <w:szCs w:val="32"/>
          <w:highlight w:val="none"/>
        </w:rPr>
        <w:t>第三节  强化要素保障能力</w:t>
      </w:r>
      <w:bookmarkEnd w:id="50"/>
      <w:r>
        <w:rPr>
          <w:rFonts w:ascii="Times New Roman" w:hAnsi="Times New Roman" w:eastAsia="宋体" w:cs="Times New Roman"/>
          <w:b/>
          <w:bCs/>
          <w:color w:val="auto"/>
          <w:sz w:val="32"/>
          <w:szCs w:val="32"/>
          <w:highlight w:val="none"/>
        </w:rPr>
        <w:fldChar w:fldCharType="end"/>
      </w:r>
    </w:p>
    <w:p w14:paraId="2D435803">
      <w:pPr>
        <w:overflowPunct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优化财政支出结构和政府投资结构，加强财政投入绩效跟踪，切实提高政府提供公共产品和服务能力。引导金融要素积极支持规划明确的重点领域和薄弱环节，综合利用政府投资补助、贷款贴息等多种方式，吸引社会资金参与项目建设。统筹安排用地计划指标，盘活利用存量建设用地，用足用好增减挂钩等项目用地指标政策。对纳入规划、行动计划、年度计划的重点项目，落实绿色通道制度，优先保障规划选址、土地供应和融资安排，确保如期完成。</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FE7974-CBF7-48BF-88FB-5662DABFBF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12A9D16-8908-41DD-8BED-66062F6179EB}"/>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F9A3668C-7A74-4921-BB40-E5A1BC6C59A8}"/>
  </w:font>
  <w:font w:name="楷体_GB2312">
    <w:panose1 w:val="02010609030101010101"/>
    <w:charset w:val="86"/>
    <w:family w:val="auto"/>
    <w:pitch w:val="default"/>
    <w:sig w:usb0="00000001" w:usb1="080E0000" w:usb2="00000000" w:usb3="00000000" w:csb0="00040000" w:csb1="00000000"/>
    <w:embedRegular r:id="rId4" w:fontKey="{AFA6FD5A-0B0D-4DA1-A062-E443268A56F6}"/>
  </w:font>
  <w:font w:name="FangSong_GB2312">
    <w:altName w:val="仿宋_GB2312"/>
    <w:panose1 w:val="02010609030101010101"/>
    <w:charset w:val="86"/>
    <w:family w:val="modern"/>
    <w:pitch w:val="default"/>
    <w:sig w:usb0="00000000" w:usb1="00000000" w:usb2="00000000" w:usb3="00000000" w:csb0="00040000" w:csb1="00000000"/>
    <w:embedRegular r:id="rId5" w:fontKey="{A9F31E6D-516D-455A-954B-EC9E6FC354D5}"/>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842B">
    <w:pPr>
      <w:pStyle w:val="1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8A78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B8A78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F25D">
    <w:pPr>
      <w:pStyle w:val="12"/>
      <w:ind w:firstLine="0" w:firstLineChars="0"/>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90"/>
                          </w:sdtPr>
                          <w:sdtEndPr>
                            <w:rPr>
                              <w:rFonts w:ascii="Times New Roman" w:hAnsi="Times New Roman" w:cs="Times New Roman"/>
                              <w:sz w:val="24"/>
                              <w:szCs w:val="24"/>
                            </w:rPr>
                          </w:sdtEndPr>
                          <w:sdtContent>
                            <w:p w14:paraId="0F5E3CD4">
                              <w:pPr>
                                <w:pStyle w:val="12"/>
                                <w:ind w:firstLine="0" w:firstLineChars="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I</w:t>
                              </w:r>
                              <w:r>
                                <w:rPr>
                                  <w:rFonts w:ascii="Times New Roman" w:hAnsi="Times New Roman" w:cs="Times New Roman"/>
                                  <w:sz w:val="24"/>
                                  <w:szCs w:val="24"/>
                                </w:rPr>
                                <w:fldChar w:fldCharType="end"/>
                              </w:r>
                            </w:p>
                          </w:sdtContent>
                        </w:sdt>
                        <w:p w14:paraId="1B42D59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5790"/>
                    </w:sdtPr>
                    <w:sdtEndPr>
                      <w:rPr>
                        <w:rFonts w:ascii="Times New Roman" w:hAnsi="Times New Roman" w:cs="Times New Roman"/>
                        <w:sz w:val="24"/>
                        <w:szCs w:val="24"/>
                      </w:rPr>
                    </w:sdtEndPr>
                    <w:sdtContent>
                      <w:p w14:paraId="0F5E3CD4">
                        <w:pPr>
                          <w:pStyle w:val="12"/>
                          <w:ind w:firstLine="0" w:firstLineChars="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I</w:t>
                        </w:r>
                        <w:r>
                          <w:rPr>
                            <w:rFonts w:ascii="Times New Roman" w:hAnsi="Times New Roman" w:cs="Times New Roman"/>
                            <w:sz w:val="24"/>
                            <w:szCs w:val="24"/>
                          </w:rPr>
                          <w:fldChar w:fldCharType="end"/>
                        </w:r>
                      </w:p>
                    </w:sdtContent>
                  </w:sdt>
                  <w:p w14:paraId="1B42D593">
                    <w:pPr>
                      <w:pStyle w:val="2"/>
                    </w:pPr>
                  </w:p>
                </w:txbxContent>
              </v:textbox>
            </v:shape>
          </w:pict>
        </mc:Fallback>
      </mc:AlternateContent>
    </w:r>
  </w:p>
  <w:p w14:paraId="645FBECC">
    <w:pPr>
      <w:pStyle w:val="12"/>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29EC">
    <w:pPr>
      <w:pStyle w:val="12"/>
      <w:ind w:firstLine="0" w:firstLineChars="0"/>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233"/>
                          </w:sdtPr>
                          <w:sdtEndPr>
                            <w:rPr>
                              <w:rFonts w:ascii="Times New Roman" w:hAnsi="Times New Roman" w:cs="Times New Roman"/>
                              <w:sz w:val="24"/>
                              <w:szCs w:val="24"/>
                            </w:rPr>
                          </w:sdtEndPr>
                          <w:sdtContent>
                            <w:p w14:paraId="0DD01537">
                              <w:pPr>
                                <w:pStyle w:val="12"/>
                                <w:ind w:firstLine="0" w:firstLineChars="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14:paraId="3FC0C23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6233"/>
                    </w:sdtPr>
                    <w:sdtEndPr>
                      <w:rPr>
                        <w:rFonts w:ascii="Times New Roman" w:hAnsi="Times New Roman" w:cs="Times New Roman"/>
                        <w:sz w:val="24"/>
                        <w:szCs w:val="24"/>
                      </w:rPr>
                    </w:sdtEndPr>
                    <w:sdtContent>
                      <w:p w14:paraId="0DD01537">
                        <w:pPr>
                          <w:pStyle w:val="12"/>
                          <w:ind w:firstLine="0" w:firstLineChars="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14:paraId="3FC0C236">
                    <w:pPr>
                      <w:pStyle w:val="2"/>
                    </w:pPr>
                  </w:p>
                </w:txbxContent>
              </v:textbox>
            </v:shape>
          </w:pict>
        </mc:Fallback>
      </mc:AlternateContent>
    </w:r>
  </w:p>
  <w:p w14:paraId="3AE9EE7F">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D31AF">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C0"/>
    <w:rsid w:val="00023F89"/>
    <w:rsid w:val="00026F0C"/>
    <w:rsid w:val="00033BC4"/>
    <w:rsid w:val="00045E1E"/>
    <w:rsid w:val="00060B21"/>
    <w:rsid w:val="000715A1"/>
    <w:rsid w:val="00095B9A"/>
    <w:rsid w:val="00096979"/>
    <w:rsid w:val="000C4F95"/>
    <w:rsid w:val="000D2C0E"/>
    <w:rsid w:val="00103698"/>
    <w:rsid w:val="00115B20"/>
    <w:rsid w:val="00122DEB"/>
    <w:rsid w:val="00137DC9"/>
    <w:rsid w:val="001451AE"/>
    <w:rsid w:val="0016245A"/>
    <w:rsid w:val="001706C0"/>
    <w:rsid w:val="001A4612"/>
    <w:rsid w:val="001C17EA"/>
    <w:rsid w:val="001C55D2"/>
    <w:rsid w:val="001D6B3B"/>
    <w:rsid w:val="001E4C4A"/>
    <w:rsid w:val="001F4CFF"/>
    <w:rsid w:val="001F702C"/>
    <w:rsid w:val="00222608"/>
    <w:rsid w:val="002243AF"/>
    <w:rsid w:val="002326AD"/>
    <w:rsid w:val="00246810"/>
    <w:rsid w:val="002541D3"/>
    <w:rsid w:val="002571B9"/>
    <w:rsid w:val="00262814"/>
    <w:rsid w:val="002946FE"/>
    <w:rsid w:val="00297D7F"/>
    <w:rsid w:val="002A0F13"/>
    <w:rsid w:val="002E692D"/>
    <w:rsid w:val="002F0C47"/>
    <w:rsid w:val="00305B96"/>
    <w:rsid w:val="0031193E"/>
    <w:rsid w:val="00323698"/>
    <w:rsid w:val="00326369"/>
    <w:rsid w:val="00333FA8"/>
    <w:rsid w:val="00342CCB"/>
    <w:rsid w:val="003508C7"/>
    <w:rsid w:val="0036642F"/>
    <w:rsid w:val="0039462D"/>
    <w:rsid w:val="003A5674"/>
    <w:rsid w:val="003D1E80"/>
    <w:rsid w:val="003F7409"/>
    <w:rsid w:val="00400F5C"/>
    <w:rsid w:val="00414E64"/>
    <w:rsid w:val="004162D3"/>
    <w:rsid w:val="00452542"/>
    <w:rsid w:val="004562A4"/>
    <w:rsid w:val="004713C2"/>
    <w:rsid w:val="004A1217"/>
    <w:rsid w:val="004C0BFD"/>
    <w:rsid w:val="004D071B"/>
    <w:rsid w:val="004E5CDB"/>
    <w:rsid w:val="00507942"/>
    <w:rsid w:val="00536439"/>
    <w:rsid w:val="0054346B"/>
    <w:rsid w:val="00554239"/>
    <w:rsid w:val="00554E41"/>
    <w:rsid w:val="0055658C"/>
    <w:rsid w:val="0059290A"/>
    <w:rsid w:val="005B3542"/>
    <w:rsid w:val="005B663A"/>
    <w:rsid w:val="005D1840"/>
    <w:rsid w:val="005E7AAE"/>
    <w:rsid w:val="0061125F"/>
    <w:rsid w:val="00626034"/>
    <w:rsid w:val="006434E8"/>
    <w:rsid w:val="006455D9"/>
    <w:rsid w:val="00691321"/>
    <w:rsid w:val="00692EF6"/>
    <w:rsid w:val="006A2AB4"/>
    <w:rsid w:val="006B39D3"/>
    <w:rsid w:val="006E2EFC"/>
    <w:rsid w:val="006F0283"/>
    <w:rsid w:val="00725B34"/>
    <w:rsid w:val="0073202F"/>
    <w:rsid w:val="007430E9"/>
    <w:rsid w:val="00743A07"/>
    <w:rsid w:val="00755EA9"/>
    <w:rsid w:val="00757486"/>
    <w:rsid w:val="00766701"/>
    <w:rsid w:val="00775723"/>
    <w:rsid w:val="007855C5"/>
    <w:rsid w:val="00795459"/>
    <w:rsid w:val="007A4F29"/>
    <w:rsid w:val="007B2A10"/>
    <w:rsid w:val="007C08BB"/>
    <w:rsid w:val="007D164F"/>
    <w:rsid w:val="007D5095"/>
    <w:rsid w:val="007D7128"/>
    <w:rsid w:val="007E00E4"/>
    <w:rsid w:val="0084107B"/>
    <w:rsid w:val="00841E49"/>
    <w:rsid w:val="00843E29"/>
    <w:rsid w:val="0085488B"/>
    <w:rsid w:val="008B7BA8"/>
    <w:rsid w:val="008C49CA"/>
    <w:rsid w:val="008F218B"/>
    <w:rsid w:val="008F6DF5"/>
    <w:rsid w:val="008F6EDB"/>
    <w:rsid w:val="00914409"/>
    <w:rsid w:val="009218BB"/>
    <w:rsid w:val="009339B5"/>
    <w:rsid w:val="009408DF"/>
    <w:rsid w:val="009542B8"/>
    <w:rsid w:val="00954B36"/>
    <w:rsid w:val="00963F4F"/>
    <w:rsid w:val="00967D1B"/>
    <w:rsid w:val="00993518"/>
    <w:rsid w:val="00993EC0"/>
    <w:rsid w:val="009B1319"/>
    <w:rsid w:val="009B2CFC"/>
    <w:rsid w:val="009C3457"/>
    <w:rsid w:val="009E17EC"/>
    <w:rsid w:val="009E65E0"/>
    <w:rsid w:val="009F1912"/>
    <w:rsid w:val="00A2456C"/>
    <w:rsid w:val="00A27BF0"/>
    <w:rsid w:val="00A3594F"/>
    <w:rsid w:val="00A43DA3"/>
    <w:rsid w:val="00A44BD2"/>
    <w:rsid w:val="00A70EBD"/>
    <w:rsid w:val="00A96438"/>
    <w:rsid w:val="00A9675D"/>
    <w:rsid w:val="00AA4508"/>
    <w:rsid w:val="00AA6628"/>
    <w:rsid w:val="00AB6145"/>
    <w:rsid w:val="00AC08AD"/>
    <w:rsid w:val="00AE1C3C"/>
    <w:rsid w:val="00AF1669"/>
    <w:rsid w:val="00AF2F8D"/>
    <w:rsid w:val="00AF50E7"/>
    <w:rsid w:val="00B102AB"/>
    <w:rsid w:val="00B17486"/>
    <w:rsid w:val="00B22AE6"/>
    <w:rsid w:val="00B3393A"/>
    <w:rsid w:val="00B6370C"/>
    <w:rsid w:val="00BB641A"/>
    <w:rsid w:val="00BD6B65"/>
    <w:rsid w:val="00BE44C5"/>
    <w:rsid w:val="00C0603E"/>
    <w:rsid w:val="00C1552E"/>
    <w:rsid w:val="00CA0693"/>
    <w:rsid w:val="00CA40A9"/>
    <w:rsid w:val="00CA7170"/>
    <w:rsid w:val="00CC1C4E"/>
    <w:rsid w:val="00CF4D6E"/>
    <w:rsid w:val="00D06A03"/>
    <w:rsid w:val="00D17EE8"/>
    <w:rsid w:val="00D45A84"/>
    <w:rsid w:val="00D6673F"/>
    <w:rsid w:val="00D74E79"/>
    <w:rsid w:val="00D9254C"/>
    <w:rsid w:val="00D94E53"/>
    <w:rsid w:val="00DB349D"/>
    <w:rsid w:val="00DB7256"/>
    <w:rsid w:val="00DD3869"/>
    <w:rsid w:val="00DF0190"/>
    <w:rsid w:val="00E32EB3"/>
    <w:rsid w:val="00E3547A"/>
    <w:rsid w:val="00E4366A"/>
    <w:rsid w:val="00E73C13"/>
    <w:rsid w:val="00E7774B"/>
    <w:rsid w:val="00E85816"/>
    <w:rsid w:val="00E957CA"/>
    <w:rsid w:val="00F04555"/>
    <w:rsid w:val="00F100E1"/>
    <w:rsid w:val="00F15C59"/>
    <w:rsid w:val="00F15FCE"/>
    <w:rsid w:val="00F261A3"/>
    <w:rsid w:val="00F9432B"/>
    <w:rsid w:val="00F94E03"/>
    <w:rsid w:val="00F97EE0"/>
    <w:rsid w:val="00FC6011"/>
    <w:rsid w:val="00FD3255"/>
    <w:rsid w:val="00FE0014"/>
    <w:rsid w:val="00FE7F87"/>
    <w:rsid w:val="010F14C9"/>
    <w:rsid w:val="0165655A"/>
    <w:rsid w:val="016D4D19"/>
    <w:rsid w:val="01FDEACB"/>
    <w:rsid w:val="024C61BE"/>
    <w:rsid w:val="031E276F"/>
    <w:rsid w:val="03605B9C"/>
    <w:rsid w:val="03CC21CB"/>
    <w:rsid w:val="04003C23"/>
    <w:rsid w:val="041A0F22"/>
    <w:rsid w:val="04F73278"/>
    <w:rsid w:val="05157BA2"/>
    <w:rsid w:val="058D7738"/>
    <w:rsid w:val="05922FA0"/>
    <w:rsid w:val="05EC0902"/>
    <w:rsid w:val="05F652DD"/>
    <w:rsid w:val="069D39AB"/>
    <w:rsid w:val="06D753FF"/>
    <w:rsid w:val="06EC66E0"/>
    <w:rsid w:val="072365A6"/>
    <w:rsid w:val="07550729"/>
    <w:rsid w:val="077A1F3E"/>
    <w:rsid w:val="07944DAE"/>
    <w:rsid w:val="07CB4548"/>
    <w:rsid w:val="07F9B220"/>
    <w:rsid w:val="07FB4F0F"/>
    <w:rsid w:val="08DC142B"/>
    <w:rsid w:val="09616F12"/>
    <w:rsid w:val="09750C0F"/>
    <w:rsid w:val="09DA6CC4"/>
    <w:rsid w:val="0A426D43"/>
    <w:rsid w:val="0A670558"/>
    <w:rsid w:val="0A7315F2"/>
    <w:rsid w:val="0A876E4C"/>
    <w:rsid w:val="0BC1638D"/>
    <w:rsid w:val="0BC83278"/>
    <w:rsid w:val="0C1110C3"/>
    <w:rsid w:val="0CC47A23"/>
    <w:rsid w:val="0D186481"/>
    <w:rsid w:val="0D38267F"/>
    <w:rsid w:val="0D98663B"/>
    <w:rsid w:val="0DEB5944"/>
    <w:rsid w:val="0DF41772"/>
    <w:rsid w:val="0E330220"/>
    <w:rsid w:val="0E4532A6"/>
    <w:rsid w:val="0EA77ABC"/>
    <w:rsid w:val="0ECC4B86"/>
    <w:rsid w:val="0ED01D0F"/>
    <w:rsid w:val="0F0102EF"/>
    <w:rsid w:val="0FCB1589"/>
    <w:rsid w:val="0FEB7CC7"/>
    <w:rsid w:val="0FFA00C0"/>
    <w:rsid w:val="10142F30"/>
    <w:rsid w:val="10431D60"/>
    <w:rsid w:val="10FE773C"/>
    <w:rsid w:val="11365128"/>
    <w:rsid w:val="114710E3"/>
    <w:rsid w:val="11511F61"/>
    <w:rsid w:val="116752E1"/>
    <w:rsid w:val="116E48C1"/>
    <w:rsid w:val="11867E5D"/>
    <w:rsid w:val="11A42091"/>
    <w:rsid w:val="128F2D41"/>
    <w:rsid w:val="12F903B1"/>
    <w:rsid w:val="138E1F8E"/>
    <w:rsid w:val="14181987"/>
    <w:rsid w:val="14830684"/>
    <w:rsid w:val="14F25809"/>
    <w:rsid w:val="150317C5"/>
    <w:rsid w:val="15595889"/>
    <w:rsid w:val="155E4C4D"/>
    <w:rsid w:val="156B07AE"/>
    <w:rsid w:val="15B66837"/>
    <w:rsid w:val="16C136E5"/>
    <w:rsid w:val="170F4451"/>
    <w:rsid w:val="175E473E"/>
    <w:rsid w:val="17681DB3"/>
    <w:rsid w:val="176D1177"/>
    <w:rsid w:val="1776627E"/>
    <w:rsid w:val="177B3894"/>
    <w:rsid w:val="17D15BAA"/>
    <w:rsid w:val="18A961DF"/>
    <w:rsid w:val="18BF3C55"/>
    <w:rsid w:val="18E5190D"/>
    <w:rsid w:val="19436634"/>
    <w:rsid w:val="195B397D"/>
    <w:rsid w:val="195C76F5"/>
    <w:rsid w:val="198F3627"/>
    <w:rsid w:val="1A2D1EBC"/>
    <w:rsid w:val="1A642D06"/>
    <w:rsid w:val="1B6034CD"/>
    <w:rsid w:val="1B920007"/>
    <w:rsid w:val="1BBC26CD"/>
    <w:rsid w:val="1BFBB8D2"/>
    <w:rsid w:val="1C0D0EB0"/>
    <w:rsid w:val="1CE1063D"/>
    <w:rsid w:val="1DB96EC4"/>
    <w:rsid w:val="1E35361B"/>
    <w:rsid w:val="1E9B0CC0"/>
    <w:rsid w:val="1EA336D1"/>
    <w:rsid w:val="1EF36406"/>
    <w:rsid w:val="1EFB7BF1"/>
    <w:rsid w:val="1F13327A"/>
    <w:rsid w:val="202F5687"/>
    <w:rsid w:val="20B00A53"/>
    <w:rsid w:val="20C22EE1"/>
    <w:rsid w:val="20C444FE"/>
    <w:rsid w:val="210D7225"/>
    <w:rsid w:val="213D605E"/>
    <w:rsid w:val="215B0293"/>
    <w:rsid w:val="21723F5A"/>
    <w:rsid w:val="22857CBD"/>
    <w:rsid w:val="22F83FEB"/>
    <w:rsid w:val="230A6A3F"/>
    <w:rsid w:val="234F006D"/>
    <w:rsid w:val="236478D2"/>
    <w:rsid w:val="23C4486B"/>
    <w:rsid w:val="24482D50"/>
    <w:rsid w:val="2460453E"/>
    <w:rsid w:val="24C52063"/>
    <w:rsid w:val="25733559"/>
    <w:rsid w:val="25A94457"/>
    <w:rsid w:val="2654255E"/>
    <w:rsid w:val="26A1499A"/>
    <w:rsid w:val="279544FE"/>
    <w:rsid w:val="28C01A4F"/>
    <w:rsid w:val="29430F3E"/>
    <w:rsid w:val="2A077209"/>
    <w:rsid w:val="2A202079"/>
    <w:rsid w:val="2A3328A2"/>
    <w:rsid w:val="2A8B7E3A"/>
    <w:rsid w:val="2A9A007E"/>
    <w:rsid w:val="2AEA2DB3"/>
    <w:rsid w:val="2B1240B8"/>
    <w:rsid w:val="2B6A4C51"/>
    <w:rsid w:val="2B7D3C27"/>
    <w:rsid w:val="2BEF49DC"/>
    <w:rsid w:val="2C4C35F9"/>
    <w:rsid w:val="2D0A773C"/>
    <w:rsid w:val="2DA07DEB"/>
    <w:rsid w:val="2DA76D39"/>
    <w:rsid w:val="2DF6792A"/>
    <w:rsid w:val="2E513149"/>
    <w:rsid w:val="2E7C6418"/>
    <w:rsid w:val="2E9774DC"/>
    <w:rsid w:val="2F462582"/>
    <w:rsid w:val="2FDF9CBD"/>
    <w:rsid w:val="2FE04785"/>
    <w:rsid w:val="304A52CE"/>
    <w:rsid w:val="304A60A2"/>
    <w:rsid w:val="310653E5"/>
    <w:rsid w:val="31D2634F"/>
    <w:rsid w:val="320F1351"/>
    <w:rsid w:val="32A7158A"/>
    <w:rsid w:val="32A95302"/>
    <w:rsid w:val="330E33B7"/>
    <w:rsid w:val="335E5CD2"/>
    <w:rsid w:val="3366F68D"/>
    <w:rsid w:val="33D44600"/>
    <w:rsid w:val="33FE78CF"/>
    <w:rsid w:val="340C51AB"/>
    <w:rsid w:val="34496D9C"/>
    <w:rsid w:val="34806536"/>
    <w:rsid w:val="34A02734"/>
    <w:rsid w:val="34AD3F1F"/>
    <w:rsid w:val="34C72DAC"/>
    <w:rsid w:val="34CA77B1"/>
    <w:rsid w:val="35472BB0"/>
    <w:rsid w:val="36457D32"/>
    <w:rsid w:val="36545584"/>
    <w:rsid w:val="373EC6A6"/>
    <w:rsid w:val="375241BA"/>
    <w:rsid w:val="37ED03F2"/>
    <w:rsid w:val="380D00E1"/>
    <w:rsid w:val="382A0C93"/>
    <w:rsid w:val="399D7242"/>
    <w:rsid w:val="39C3314D"/>
    <w:rsid w:val="3B5953EB"/>
    <w:rsid w:val="3BA51585"/>
    <w:rsid w:val="3BEDD985"/>
    <w:rsid w:val="3C2F4ACA"/>
    <w:rsid w:val="3CC571DC"/>
    <w:rsid w:val="3D204412"/>
    <w:rsid w:val="3D76024B"/>
    <w:rsid w:val="3DB9628C"/>
    <w:rsid w:val="3E2B12C1"/>
    <w:rsid w:val="3F324BDA"/>
    <w:rsid w:val="3F4E08C2"/>
    <w:rsid w:val="3FEFA161"/>
    <w:rsid w:val="3FFE837F"/>
    <w:rsid w:val="40D7773B"/>
    <w:rsid w:val="41235D41"/>
    <w:rsid w:val="4124618C"/>
    <w:rsid w:val="417D2480"/>
    <w:rsid w:val="42823479"/>
    <w:rsid w:val="43CF48D0"/>
    <w:rsid w:val="4584231A"/>
    <w:rsid w:val="462C207A"/>
    <w:rsid w:val="468D1386"/>
    <w:rsid w:val="46F54B62"/>
    <w:rsid w:val="46F762E6"/>
    <w:rsid w:val="47085B5F"/>
    <w:rsid w:val="47CA1B4A"/>
    <w:rsid w:val="47FFE257"/>
    <w:rsid w:val="49097D64"/>
    <w:rsid w:val="490E1F0B"/>
    <w:rsid w:val="49175A7A"/>
    <w:rsid w:val="494616A5"/>
    <w:rsid w:val="497376D1"/>
    <w:rsid w:val="4A77763C"/>
    <w:rsid w:val="4AA91EEB"/>
    <w:rsid w:val="4AD4683C"/>
    <w:rsid w:val="4B1B446B"/>
    <w:rsid w:val="4B272E10"/>
    <w:rsid w:val="4B5B1653"/>
    <w:rsid w:val="4BFA6AB7"/>
    <w:rsid w:val="4BFE4B94"/>
    <w:rsid w:val="4C455C43"/>
    <w:rsid w:val="4C8C73CE"/>
    <w:rsid w:val="4D2770F7"/>
    <w:rsid w:val="4D3A1520"/>
    <w:rsid w:val="4E323FA5"/>
    <w:rsid w:val="4E3A3F44"/>
    <w:rsid w:val="4EDA1286"/>
    <w:rsid w:val="4F443F90"/>
    <w:rsid w:val="4F5D25C0"/>
    <w:rsid w:val="4F6C34E7"/>
    <w:rsid w:val="4F7C5E20"/>
    <w:rsid w:val="5075461D"/>
    <w:rsid w:val="5077157C"/>
    <w:rsid w:val="508A1E77"/>
    <w:rsid w:val="50D024A2"/>
    <w:rsid w:val="514E559A"/>
    <w:rsid w:val="51864D34"/>
    <w:rsid w:val="52320A18"/>
    <w:rsid w:val="527B23BF"/>
    <w:rsid w:val="53095C1D"/>
    <w:rsid w:val="530D30CB"/>
    <w:rsid w:val="53CB2ED2"/>
    <w:rsid w:val="54071A30"/>
    <w:rsid w:val="540B32CF"/>
    <w:rsid w:val="54477162"/>
    <w:rsid w:val="55085A60"/>
    <w:rsid w:val="559317CE"/>
    <w:rsid w:val="55F33D67"/>
    <w:rsid w:val="56150435"/>
    <w:rsid w:val="56725887"/>
    <w:rsid w:val="568C0709"/>
    <w:rsid w:val="568E01E7"/>
    <w:rsid w:val="572C62B1"/>
    <w:rsid w:val="57563655"/>
    <w:rsid w:val="57715504"/>
    <w:rsid w:val="57A71560"/>
    <w:rsid w:val="57ACAE58"/>
    <w:rsid w:val="57AE4196"/>
    <w:rsid w:val="57D4431F"/>
    <w:rsid w:val="589046EA"/>
    <w:rsid w:val="58A3441E"/>
    <w:rsid w:val="58B06B3A"/>
    <w:rsid w:val="58B959EF"/>
    <w:rsid w:val="599B46D7"/>
    <w:rsid w:val="59C56616"/>
    <w:rsid w:val="59E66B9F"/>
    <w:rsid w:val="5A0E3B19"/>
    <w:rsid w:val="5AA41B43"/>
    <w:rsid w:val="5B307ABF"/>
    <w:rsid w:val="5B3F2F6F"/>
    <w:rsid w:val="5B8E73ED"/>
    <w:rsid w:val="5BD3501A"/>
    <w:rsid w:val="5D8A795A"/>
    <w:rsid w:val="5DA01B06"/>
    <w:rsid w:val="5DE16134"/>
    <w:rsid w:val="5E29270A"/>
    <w:rsid w:val="5E4F681F"/>
    <w:rsid w:val="5E7BCB21"/>
    <w:rsid w:val="5EA67CBE"/>
    <w:rsid w:val="5F6D12E1"/>
    <w:rsid w:val="5F740E47"/>
    <w:rsid w:val="5F7ED580"/>
    <w:rsid w:val="5F8EE429"/>
    <w:rsid w:val="5FB55566"/>
    <w:rsid w:val="5FD7E694"/>
    <w:rsid w:val="5FF2052B"/>
    <w:rsid w:val="5FFF5845"/>
    <w:rsid w:val="5FFF9E70"/>
    <w:rsid w:val="6062071A"/>
    <w:rsid w:val="615C785F"/>
    <w:rsid w:val="619D030E"/>
    <w:rsid w:val="61F5736C"/>
    <w:rsid w:val="622F6D22"/>
    <w:rsid w:val="642108EC"/>
    <w:rsid w:val="645A795A"/>
    <w:rsid w:val="65314B5F"/>
    <w:rsid w:val="653528A1"/>
    <w:rsid w:val="65A62B50"/>
    <w:rsid w:val="65AE7F5E"/>
    <w:rsid w:val="65B7A269"/>
    <w:rsid w:val="67112E9A"/>
    <w:rsid w:val="67207643"/>
    <w:rsid w:val="672F0CA5"/>
    <w:rsid w:val="67B62060"/>
    <w:rsid w:val="67FFEE28"/>
    <w:rsid w:val="68550B65"/>
    <w:rsid w:val="68E5638C"/>
    <w:rsid w:val="68E65C61"/>
    <w:rsid w:val="68EF4B15"/>
    <w:rsid w:val="69005A5E"/>
    <w:rsid w:val="69272501"/>
    <w:rsid w:val="696DD6CC"/>
    <w:rsid w:val="698C6808"/>
    <w:rsid w:val="6A1D56B2"/>
    <w:rsid w:val="6A7554EE"/>
    <w:rsid w:val="6A9E4A45"/>
    <w:rsid w:val="6ABA55F7"/>
    <w:rsid w:val="6B0074AE"/>
    <w:rsid w:val="6B3D1BDA"/>
    <w:rsid w:val="6B57365C"/>
    <w:rsid w:val="6B79224C"/>
    <w:rsid w:val="6B9E6F0F"/>
    <w:rsid w:val="6B9F5272"/>
    <w:rsid w:val="6BFE5DB3"/>
    <w:rsid w:val="6C1F3DDC"/>
    <w:rsid w:val="6C296590"/>
    <w:rsid w:val="6C8CD197"/>
    <w:rsid w:val="6CA16A6E"/>
    <w:rsid w:val="6CB467A2"/>
    <w:rsid w:val="6CBA368C"/>
    <w:rsid w:val="6CF9240B"/>
    <w:rsid w:val="6D34343E"/>
    <w:rsid w:val="6D3B39D0"/>
    <w:rsid w:val="6D6D6950"/>
    <w:rsid w:val="6E3000AA"/>
    <w:rsid w:val="6E535B46"/>
    <w:rsid w:val="6EF9118A"/>
    <w:rsid w:val="6EFF6723"/>
    <w:rsid w:val="6EFF8C47"/>
    <w:rsid w:val="6F174DC6"/>
    <w:rsid w:val="6F36779E"/>
    <w:rsid w:val="6F457B85"/>
    <w:rsid w:val="6F480C24"/>
    <w:rsid w:val="6F7A7208"/>
    <w:rsid w:val="6F7B9EC6"/>
    <w:rsid w:val="6F7F4377"/>
    <w:rsid w:val="6F810491"/>
    <w:rsid w:val="6FE550F0"/>
    <w:rsid w:val="6FF11ABB"/>
    <w:rsid w:val="6FFFF7B0"/>
    <w:rsid w:val="70473489"/>
    <w:rsid w:val="704F75C6"/>
    <w:rsid w:val="70A1528F"/>
    <w:rsid w:val="71041022"/>
    <w:rsid w:val="711F4406"/>
    <w:rsid w:val="71551BD5"/>
    <w:rsid w:val="715D270E"/>
    <w:rsid w:val="716D8574"/>
    <w:rsid w:val="726B5B54"/>
    <w:rsid w:val="73E6B85C"/>
    <w:rsid w:val="73F97190"/>
    <w:rsid w:val="74387CB8"/>
    <w:rsid w:val="744D441D"/>
    <w:rsid w:val="74D629BE"/>
    <w:rsid w:val="74DF0134"/>
    <w:rsid w:val="762201BD"/>
    <w:rsid w:val="768C7E47"/>
    <w:rsid w:val="77130569"/>
    <w:rsid w:val="77135965"/>
    <w:rsid w:val="775F37AE"/>
    <w:rsid w:val="777032C5"/>
    <w:rsid w:val="77B05DB7"/>
    <w:rsid w:val="77BC29AE"/>
    <w:rsid w:val="77BF3850"/>
    <w:rsid w:val="77C95C4E"/>
    <w:rsid w:val="77FFFFD4"/>
    <w:rsid w:val="78526E6F"/>
    <w:rsid w:val="785D5F3F"/>
    <w:rsid w:val="790C1713"/>
    <w:rsid w:val="79D12015"/>
    <w:rsid w:val="79E32474"/>
    <w:rsid w:val="7A04063C"/>
    <w:rsid w:val="7A173ECC"/>
    <w:rsid w:val="7A4D1FE3"/>
    <w:rsid w:val="7AA47A7D"/>
    <w:rsid w:val="7B182183"/>
    <w:rsid w:val="7B56391E"/>
    <w:rsid w:val="7B67DBA4"/>
    <w:rsid w:val="7B7A2964"/>
    <w:rsid w:val="7BCBD0AC"/>
    <w:rsid w:val="7BF1074D"/>
    <w:rsid w:val="7C0466D2"/>
    <w:rsid w:val="7C525687"/>
    <w:rsid w:val="7C907F65"/>
    <w:rsid w:val="7CCF6CE0"/>
    <w:rsid w:val="7CEFDD6A"/>
    <w:rsid w:val="7D163065"/>
    <w:rsid w:val="7D20753B"/>
    <w:rsid w:val="7D5F8350"/>
    <w:rsid w:val="7D6FB468"/>
    <w:rsid w:val="7D711B45"/>
    <w:rsid w:val="7DDBA239"/>
    <w:rsid w:val="7DEF34CF"/>
    <w:rsid w:val="7DF772BE"/>
    <w:rsid w:val="7DFB0E43"/>
    <w:rsid w:val="7DFB885B"/>
    <w:rsid w:val="7DFF08C2"/>
    <w:rsid w:val="7E7B7706"/>
    <w:rsid w:val="7EA877E8"/>
    <w:rsid w:val="7EB7F456"/>
    <w:rsid w:val="7ED3711D"/>
    <w:rsid w:val="7EED5B43"/>
    <w:rsid w:val="7EF40C80"/>
    <w:rsid w:val="7EFD64F0"/>
    <w:rsid w:val="7EFD9A9B"/>
    <w:rsid w:val="7F2805B4"/>
    <w:rsid w:val="7F4F235A"/>
    <w:rsid w:val="7F7F20D0"/>
    <w:rsid w:val="7F89F266"/>
    <w:rsid w:val="7FD3253E"/>
    <w:rsid w:val="7FE42AA2"/>
    <w:rsid w:val="7FEFB038"/>
    <w:rsid w:val="7FF4E36E"/>
    <w:rsid w:val="7FF5E005"/>
    <w:rsid w:val="7FFF9F68"/>
    <w:rsid w:val="83EEC78E"/>
    <w:rsid w:val="87772AE4"/>
    <w:rsid w:val="97DF4DEC"/>
    <w:rsid w:val="9E5FDBB7"/>
    <w:rsid w:val="A4B41456"/>
    <w:rsid w:val="A7A75162"/>
    <w:rsid w:val="AEDF0AD7"/>
    <w:rsid w:val="AF3FBCFF"/>
    <w:rsid w:val="AFFFF83A"/>
    <w:rsid w:val="B53B2873"/>
    <w:rsid w:val="B66DCC01"/>
    <w:rsid w:val="B77B82BF"/>
    <w:rsid w:val="B7F32A2E"/>
    <w:rsid w:val="B7FC1675"/>
    <w:rsid w:val="BDD94D8B"/>
    <w:rsid w:val="BFF68F31"/>
    <w:rsid w:val="CA1FAF21"/>
    <w:rsid w:val="CFED8F8B"/>
    <w:rsid w:val="D7613D3E"/>
    <w:rsid w:val="DBBE85F6"/>
    <w:rsid w:val="DD354CE0"/>
    <w:rsid w:val="DF37FCBF"/>
    <w:rsid w:val="DF7FC1DD"/>
    <w:rsid w:val="E56E7A8C"/>
    <w:rsid w:val="E6FF35EA"/>
    <w:rsid w:val="E7BF79E6"/>
    <w:rsid w:val="E86A4D07"/>
    <w:rsid w:val="E89F64DA"/>
    <w:rsid w:val="EB5A131E"/>
    <w:rsid w:val="EBEF55B7"/>
    <w:rsid w:val="EDFDA822"/>
    <w:rsid w:val="EECDF816"/>
    <w:rsid w:val="EEDA9D89"/>
    <w:rsid w:val="EEFF169F"/>
    <w:rsid w:val="EF2F9339"/>
    <w:rsid w:val="EF8EC3F3"/>
    <w:rsid w:val="EFD3161B"/>
    <w:rsid w:val="EFE3BB3F"/>
    <w:rsid w:val="EFF73B25"/>
    <w:rsid w:val="EFFB2A83"/>
    <w:rsid w:val="F52463C3"/>
    <w:rsid w:val="F5F5D05D"/>
    <w:rsid w:val="F697A435"/>
    <w:rsid w:val="F7BE702C"/>
    <w:rsid w:val="F7D7FC2B"/>
    <w:rsid w:val="F7F82AE6"/>
    <w:rsid w:val="F7FD9BE2"/>
    <w:rsid w:val="F9FF4A6B"/>
    <w:rsid w:val="FA6F1114"/>
    <w:rsid w:val="FA7BB283"/>
    <w:rsid w:val="FAFD1DB2"/>
    <w:rsid w:val="FB6DABE6"/>
    <w:rsid w:val="FBDD10C0"/>
    <w:rsid w:val="FBE539CF"/>
    <w:rsid w:val="FD6E86EC"/>
    <w:rsid w:val="FD7B45A0"/>
    <w:rsid w:val="FD7BD480"/>
    <w:rsid w:val="FDD782DF"/>
    <w:rsid w:val="FDEF411C"/>
    <w:rsid w:val="FDF39A19"/>
    <w:rsid w:val="FDF7C494"/>
    <w:rsid w:val="FE333DD8"/>
    <w:rsid w:val="FEB99BCF"/>
    <w:rsid w:val="FEDF5A86"/>
    <w:rsid w:val="FEF09758"/>
    <w:rsid w:val="FF7FE47C"/>
    <w:rsid w:val="FFAD00DD"/>
    <w:rsid w:val="FFAFC09F"/>
    <w:rsid w:val="FFCFAFEE"/>
    <w:rsid w:val="FFEB947D"/>
    <w:rsid w:val="FFF9A4C4"/>
    <w:rsid w:val="FFFF587F"/>
    <w:rsid w:val="FFFFD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link w:val="23"/>
    <w:qFormat/>
    <w:uiPriority w:val="9"/>
    <w:pPr>
      <w:keepNext/>
      <w:keepLines/>
      <w:spacing w:before="340" w:after="330" w:line="578" w:lineRule="auto"/>
      <w:ind w:firstLine="200" w:firstLineChars="200"/>
      <w:outlineLvl w:val="0"/>
    </w:pPr>
    <w:rPr>
      <w:rFonts w:eastAsia="仿宋_GB2312"/>
      <w:b/>
      <w:bCs/>
      <w:kern w:val="44"/>
      <w:sz w:val="44"/>
      <w:szCs w:val="44"/>
    </w:rPr>
  </w:style>
  <w:style w:type="paragraph" w:styleId="5">
    <w:name w:val="heading 2"/>
    <w:basedOn w:val="1"/>
    <w:next w:val="1"/>
    <w:link w:val="24"/>
    <w:unhideWhenUsed/>
    <w:qFormat/>
    <w:uiPriority w:val="9"/>
    <w:pPr>
      <w:keepNext/>
      <w:keepLines/>
      <w:spacing w:before="260" w:after="260" w:line="416" w:lineRule="auto"/>
      <w:ind w:firstLine="200" w:firstLineChars="200"/>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unhideWhenUsed/>
    <w:qFormat/>
    <w:uiPriority w:val="99"/>
    <w:pPr>
      <w:spacing w:after="120" w:line="360" w:lineRule="auto"/>
      <w:ind w:firstLine="200" w:firstLineChars="200"/>
    </w:pPr>
    <w:rPr>
      <w:rFonts w:eastAsia="仿宋_GB2312"/>
      <w:sz w:val="32"/>
      <w:szCs w:val="24"/>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Normal Indent"/>
    <w:basedOn w:val="1"/>
    <w:next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Indent"/>
    <w:basedOn w:val="1"/>
    <w:next w:val="6"/>
    <w:qFormat/>
    <w:uiPriority w:val="0"/>
    <w:pPr>
      <w:ind w:firstLine="640" w:firstLineChars="200"/>
    </w:pPr>
    <w:rPr>
      <w:kern w:val="0"/>
    </w:rPr>
  </w:style>
  <w:style w:type="paragraph" w:styleId="9">
    <w:name w:val="Plain Text"/>
    <w:basedOn w:val="1"/>
    <w:next w:val="10"/>
    <w:link w:val="25"/>
    <w:unhideWhenUsed/>
    <w:qFormat/>
    <w:uiPriority w:val="99"/>
    <w:rPr>
      <w:rFonts w:ascii="Courier New" w:hAnsi="Courier New" w:eastAsia="宋体" w:cs="Times New Roman"/>
      <w:szCs w:val="21"/>
    </w:rPr>
  </w:style>
  <w:style w:type="paragraph" w:styleId="10">
    <w:name w:val="header"/>
    <w:basedOn w:val="1"/>
    <w:link w:val="22"/>
    <w:unhideWhenUsed/>
    <w:qFormat/>
    <w:uiPriority w:val="99"/>
    <w:pPr>
      <w:pBdr>
        <w:bottom w:val="single" w:color="auto" w:sz="6" w:space="1"/>
      </w:pBdr>
      <w:tabs>
        <w:tab w:val="center" w:pos="4153"/>
        <w:tab w:val="right" w:pos="8306"/>
      </w:tabs>
      <w:snapToGrid w:val="0"/>
      <w:ind w:firstLine="200" w:firstLineChars="200"/>
      <w:jc w:val="center"/>
    </w:pPr>
    <w:rPr>
      <w:rFonts w:eastAsia="仿宋_GB2312"/>
      <w:sz w:val="18"/>
      <w:szCs w:val="18"/>
    </w:rPr>
  </w:style>
  <w:style w:type="paragraph" w:styleId="11">
    <w:name w:val="Balloon Text"/>
    <w:basedOn w:val="1"/>
    <w:link w:val="26"/>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ind w:firstLine="200" w:firstLineChars="200"/>
      <w:jc w:val="left"/>
    </w:pPr>
    <w:rPr>
      <w:rFonts w:eastAsia="仿宋_GB2312"/>
      <w:sz w:val="18"/>
      <w:szCs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Body Text First Indent 2"/>
    <w:basedOn w:val="8"/>
    <w:next w:val="1"/>
    <w:qFormat/>
    <w:uiPriority w:val="0"/>
    <w:pPr>
      <w:widowControl w:val="0"/>
      <w:ind w:firstLine="420" w:firstLineChars="200"/>
      <w:jc w:val="both"/>
    </w:pPr>
    <w:rPr>
      <w:rFonts w:ascii="Calibri" w:hAnsi="Calibri" w:eastAsia="仿宋" w:cs="Times New Roman"/>
      <w:kern w:val="0"/>
      <w:sz w:val="32"/>
      <w:lang w:val="en-US" w:eastAsia="zh-CN" w:bidi="ar-SA"/>
    </w:rPr>
  </w:style>
  <w:style w:type="character" w:styleId="18">
    <w:name w:val="Strong"/>
    <w:basedOn w:val="17"/>
    <w:qFormat/>
    <w:uiPriority w:val="22"/>
    <w:rPr>
      <w:b/>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customStyle="1" w:styleId="20">
    <w:name w:val="正文文本 字符"/>
    <w:basedOn w:val="17"/>
    <w:link w:val="2"/>
    <w:qFormat/>
    <w:uiPriority w:val="99"/>
    <w:rPr>
      <w:rFonts w:eastAsia="仿宋_GB2312"/>
      <w:sz w:val="32"/>
      <w:szCs w:val="24"/>
    </w:rPr>
  </w:style>
  <w:style w:type="character" w:customStyle="1" w:styleId="21">
    <w:name w:val="页脚 字符"/>
    <w:basedOn w:val="17"/>
    <w:link w:val="12"/>
    <w:qFormat/>
    <w:uiPriority w:val="99"/>
    <w:rPr>
      <w:rFonts w:eastAsia="仿宋_GB2312"/>
      <w:sz w:val="18"/>
      <w:szCs w:val="18"/>
    </w:rPr>
  </w:style>
  <w:style w:type="character" w:customStyle="1" w:styleId="22">
    <w:name w:val="页眉 字符"/>
    <w:basedOn w:val="17"/>
    <w:link w:val="10"/>
    <w:qFormat/>
    <w:uiPriority w:val="99"/>
    <w:rPr>
      <w:rFonts w:eastAsia="仿宋_GB2312"/>
      <w:sz w:val="18"/>
      <w:szCs w:val="18"/>
    </w:rPr>
  </w:style>
  <w:style w:type="character" w:customStyle="1" w:styleId="23">
    <w:name w:val="标题 1 字符"/>
    <w:basedOn w:val="17"/>
    <w:link w:val="4"/>
    <w:qFormat/>
    <w:uiPriority w:val="9"/>
    <w:rPr>
      <w:rFonts w:eastAsia="仿宋_GB2312"/>
      <w:b/>
      <w:bCs/>
      <w:kern w:val="44"/>
      <w:sz w:val="44"/>
      <w:szCs w:val="44"/>
    </w:rPr>
  </w:style>
  <w:style w:type="character" w:customStyle="1" w:styleId="24">
    <w:name w:val="标题 2 字符"/>
    <w:basedOn w:val="17"/>
    <w:link w:val="5"/>
    <w:qFormat/>
    <w:uiPriority w:val="9"/>
    <w:rPr>
      <w:rFonts w:asciiTheme="majorHAnsi" w:hAnsiTheme="majorHAnsi" w:eastAsiaTheme="majorEastAsia" w:cstheme="majorBidi"/>
      <w:b/>
      <w:bCs/>
      <w:sz w:val="32"/>
      <w:szCs w:val="32"/>
    </w:rPr>
  </w:style>
  <w:style w:type="character" w:customStyle="1" w:styleId="25">
    <w:name w:val="纯文本 字符"/>
    <w:basedOn w:val="17"/>
    <w:link w:val="9"/>
    <w:qFormat/>
    <w:uiPriority w:val="99"/>
    <w:rPr>
      <w:rFonts w:ascii="Courier New" w:hAnsi="Courier New" w:eastAsia="宋体" w:cs="Times New Roman"/>
      <w:kern w:val="2"/>
      <w:sz w:val="21"/>
      <w:szCs w:val="21"/>
    </w:rPr>
  </w:style>
  <w:style w:type="character" w:customStyle="1" w:styleId="26">
    <w:name w:val="批注框文本 字符"/>
    <w:basedOn w:val="17"/>
    <w:link w:val="11"/>
    <w:semiHidden/>
    <w:qFormat/>
    <w:uiPriority w:val="99"/>
    <w:rPr>
      <w:kern w:val="2"/>
      <w:sz w:val="18"/>
      <w:szCs w:val="18"/>
    </w:rPr>
  </w:style>
  <w:style w:type="paragraph" w:customStyle="1" w:styleId="27">
    <w:name w:val="正文文本 21"/>
    <w:basedOn w:val="1"/>
    <w:qFormat/>
    <w:uiPriority w:val="0"/>
    <w:pPr>
      <w:spacing w:after="120" w:afterLines="0" w:line="480" w:lineRule="auto"/>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4e3386cd-07e9-43cf-9b4e-327b2db30670</errorID>
      <errorWord>基本实现社会主义现代化</errorWord>
      <group>L1_Political</group>
      <groupName>政治性问题</groupName>
      <ability>L2_Keyword</ability>
      <abilityName>固定表述</abilityName>
      <candidateList>
        <item>为基本实现社会主义现代化</item>
      </candidateList>
      <explain>此处内容疑似含有固定表述相关错误，建议核查。</explain>
      <paraID>5E3621C5</paraID>
      <start>8</start>
      <end>19</end>
      <status>unmodified</status>
      <modifiedWord/>
      <trackRevisions>false</trackRevisions>
    </reviewItem>
    <reviewItem>
      <errorID>60c18c0b-e287-40d0-b007-d65d93504c47</errorID>
      <errorWord>达成</errorWord>
      <group>L1_Word</group>
      <groupName>字词问题</groupName>
      <ability>L2_Typo</ability>
      <abilityName>字词错误</abilityName>
      <candidateList>
        <item>取得</item>
      </candidateList>
      <explain/>
      <paraID>2244E9C5</paraID>
      <start>9</start>
      <end>11</end>
      <status>unmodified</status>
      <modifiedWord/>
      <trackRevisions>false</trackRevisions>
    </reviewItem>
    <reviewItem>
      <errorID>e9838bb2-29e6-4750-81b5-772d6d610858</errorID>
      <errorWord>基本实现社会主义现代化</errorWord>
      <group>L1_Political</group>
      <groupName>政治性问题</groupName>
      <ability>L2_Keyword</ability>
      <abilityName>固定表述</abilityName>
      <candidateList>
        <item>为基本实现社会主义现代化</item>
      </candidateList>
      <explain>此处内容疑似含有固定表述相关错误，建议核查。</explain>
      <paraID>45F5FB85</paraID>
      <start>8</start>
      <end>19</end>
      <status>unmodified</status>
      <modifiedWord/>
      <trackRevisions>false</trackRevisions>
    </reviewItem>
    <reviewItem>
      <errorID>cfa7baef-755f-4a08-b993-b1b778377bec</errorID>
      <errorWord>乡村全面振兴和新型城镇化</errorWord>
      <group>L1_Political</group>
      <groupName>政治性问题</groupName>
      <ability>L2_Keyword</ability>
      <abilityName>固定表述</abilityName>
      <candidateList>
        <item>新型城镇化和乡村全面振兴</item>
      </candidateList>
      <explain>词汇“新型城镇化和乡村全面振兴”在特定场景下为固定表述形式，请确认此处的“乡村全面振兴和新型城镇化”是否存在不当。</explain>
      <paraID> F372085</paraID>
      <start>151</start>
      <end>163</end>
      <status>unmodified</status>
      <modifiedWord/>
      <trackRevisions>false</trackRevisions>
    </reviewItem>
    <reviewItem>
      <errorID>67b9e416-62e8-4895-a94a-5d51b1fdfb3e</errorID>
      <errorWord>公</errorWord>
      <group>L1_Word</group>
      <groupName>字词问题</groupName>
      <ability>L2_Typo</ability>
      <abilityName>字词错误</abilityName>
      <candidateList>
        <item>公平</item>
      </candidateList>
      <explain/>
      <paraID> F372085</paraID>
      <start>291</start>
      <end>292</end>
      <status>unmodified</status>
      <modifiedWord/>
      <trackRevisions>false</trackRevisions>
    </reviewItem>
    <reviewItem>
      <errorID>7aba28e1-1507-4aad-beb7-2ddeea8537bb</errorID>
      <errorWord>亟需</errorWord>
      <group>L1_Word</group>
      <groupName>字词问题</groupName>
      <ability>L2_Typo</ability>
      <abilityName>字词错误</abilityName>
      <candidateList>
        <item>亟须</item>
      </candidateList>
      <explain/>
      <paraID>4AC8793A</paraID>
      <start>23</start>
      <end>25</end>
      <status>unmodified</status>
      <modifiedWord/>
      <trackRevisions>false</trackRevisions>
    </reviewItem>
    <reviewItem>
      <errorID>0c6fc0a6-ba47-4ba3-99d7-423653c3e973</errorID>
      <errorWord>科技成果入乡转化许昌</errorWord>
      <group>L1_Word</group>
      <groupName>字词问题</groupName>
      <ability>L2_Typo</ability>
      <abilityName>字词错误</abilityName>
      <candidateList>
        <item>许昌科技成果入乡转化</item>
      </candidateList>
      <explain/>
      <paraID>1BD47E9C</paraID>
      <start>71</start>
      <end>81</end>
      <status>unmodified</status>
      <modifiedWord/>
      <trackRevisions>false</trackRevisions>
    </reviewItem>
    <reviewItem>
      <errorID>dc0f5e6a-b716-4bf2-88fb-0ad34cd1e5ce</errorID>
      <errorWord>。</errorWord>
      <group>L1_Grammar</group>
      <groupName>语法问题</groupName>
      <ability>L2_Grammar</ability>
      <abilityName>语法错误</abilityName>
      <candidateList>
        <item>活动。</item>
      </candidateList>
      <explain/>
      <paraID>3A8F14A6</paraID>
      <start>194</start>
      <end>195</end>
      <status>unmodified</status>
      <modifiedWord/>
      <trackRevisions>false</trackRevisions>
    </reviewItem>
    <reviewItem>
      <errorID>a9e058d2-e529-4a91-8d93-a12d3c7ce08c</errorID>
      <errorWord>建设</errorWord>
      <group>L1_Word</group>
      <groupName>字词问题</groupName>
      <ability>L2_Typo</ability>
      <abilityName>字词错误</abilityName>
      <candidateList>
        <item>经营性</item>
      </candidateList>
      <explain/>
      <paraID>5B76AE0B</paraID>
      <start>42</start>
      <end>44</end>
      <status>unmodified</status>
      <modifiedWord/>
      <trackRevisions>false</trackRevisions>
    </reviewItem>
    <reviewItem>
      <errorID>72a1b014-0423-4ca6-9b75-b52919b6eaeb</errorID>
      <errorWord>人民群众的获得感幸福感安全感</errorWord>
      <group>L1_Political</group>
      <groupName>政治性问题</groupName>
      <ability>L2_Keyword</ability>
      <abilityName>固定表述</abilityName>
      <candidateList>
        <item>人民群众的获得感、幸福感、安全感</item>
      </candidateList>
      <explain>此处内容疑似含有固定表述相关错误，建议核查。</explain>
      <paraID>4A844A2E</paraID>
      <start>67</start>
      <end>81</end>
      <status>unmodified</status>
      <modifiedWord/>
      <trackRevisions>false</trackRevisions>
    </reviewItem>
    <reviewItem>
      <errorID>6c754638-e103-4e16-bb81-e80f900a8705</errorID>
      <errorWord>实施</errorWord>
      <group>L1_Word</group>
      <groupName>字词问题</groupName>
      <ability>L2_Typo</ability>
      <abilityName>字词错误</abilityName>
      <candidateList>
        <item>建立</item>
      </candidateList>
      <explain/>
      <paraID>592A5788</paraID>
      <start>95</start>
      <end>97</end>
      <status>unmodified</status>
      <modifiedWord/>
      <trackRevisions>false</trackRevisions>
    </reviewItem>
    <reviewItem>
      <errorID>1a326cfe-774d-466c-ae5b-9a57000ef633</errorID>
      <errorWord>名师</errorWord>
      <group>L1_Grammar</group>
      <groupName>语法问题</groupName>
      <ability>L2_Grammar</ability>
      <abilityName>语法错误</abilityName>
      <candidateList>
        <item>实现名师</item>
      </candidateList>
      <explain/>
      <paraID>3FDEFEB7</paraID>
      <start>134</start>
      <end>136</end>
      <status>unmodified</status>
      <modifiedWord/>
      <trackRevisions>false</trackRevisions>
    </reviewItem>
    <reviewItem>
      <errorID>fd297919-3825-459e-b662-a29d31a6c392</errorID>
      <errorWord>提高到</errorWord>
      <group>L1_Word</group>
      <groupName>字词问题</groupName>
      <ability>L2_Typo</ability>
      <abilityName>字词错误</abilityName>
      <candidateList>
        <item>达到</item>
      </candidateList>
      <explain/>
      <paraID>3FDEFEB7</paraID>
      <start>305</start>
      <end>308</end>
      <status>unmodified</status>
      <modifiedWord/>
      <trackRevisions>false</trackRevisions>
    </reviewItem>
    <reviewItem>
      <errorID>ab2332a9-4f33-4a54-846f-2169210fc10b</errorID>
      <errorWord>公平</errorWord>
      <group>L1_Word</group>
      <groupName>字词问题</groupName>
      <ability>L2_Typo</ability>
      <abilityName>字词错误</abilityName>
      <candidateList>
        <item>共享</item>
      </candidateList>
      <explain/>
      <paraID>3FDEFEB7</paraID>
      <start>459</start>
      <end>461</end>
      <status>unmodified</status>
      <modifiedWord/>
      <trackRevisions>false</trackRevisions>
    </reviewItem>
    <reviewItem>
      <errorID>6e5f89a4-ec5e-4081-8a4a-0d842d6f1323</errorID>
      <errorWord>2030</errorWord>
      <group>L1_Word</group>
      <groupName>字词问题</groupName>
      <ability>L2_Typo</ability>
      <abilityName>字词错误</abilityName>
      <candidateList>
        <item>到2030</item>
      </candidateList>
      <explain/>
      <paraID> 3C94BDB</paraID>
      <start>179</start>
      <end>183</end>
      <status>unmodified</status>
      <modifiedWord/>
      <trackRevisions>false</trackRevisions>
    </reviewItem>
    <reviewItem>
      <errorID>05fd8a9c-b47a-42d9-9a55-9410a2d0be24</errorID>
      <errorWord>，</errorWord>
      <group>L1_Grammar</group>
      <groupName>语法问题</groupName>
      <ability>L2_Grammar</ability>
      <abilityName>语法错误</abilityName>
      <candidateList>
        <item>机制，</item>
      </candidateList>
      <explain/>
      <paraID>7F0C76F2</paraID>
      <start>167</start>
      <end>168</end>
      <status>unmodified</status>
      <modifiedWord/>
      <trackRevisions>false</trackRevisions>
    </reviewItem>
    <reviewItem>
      <errorID>1dcd3d1c-993f-485e-b9ac-b18a76cdbd7e</errorID>
      <errorWord>、就</errorWord>
      <group>L1_Punc</group>
      <groupName>标点问题</groupName>
      <ability>L2_Punc_CN</ability>
      <abilityName>标点符号检查</abilityName>
      <candidateList>
        <item>，就</item>
      </candidateList>
      <explain>连接词前后不宜使用顿号，建议使用逗号。</explain>
      <paraID>6703BE2D</paraID>
      <start>19</start>
      <end>21</end>
      <status>unmodified</status>
      <modifiedWord/>
      <trackRevisions>false</trackRevisions>
    </reviewItem>
    <reviewItem>
      <errorID>1d37f9a9-e37d-46e3-bb4d-1e0fef9ea978</errorID>
      <errorWord>开展</errorWord>
      <group>L1_Word</group>
      <groupName>字词问题</groupName>
      <ability>L2_Typo</ability>
      <abilityName>字词错误</abilityName>
      <candidateList>
        <item>推进</item>
      </candidateList>
      <explain/>
      <paraID>6703BE2D</paraID>
      <start>87</start>
      <end>89</end>
      <status>unmodified</status>
      <modifiedWord/>
      <trackRevisions>false</trackRevisions>
    </reviewItem>
    <reviewItem>
      <errorID>7ca1b1c3-2f5f-4d1a-a105-441c388b990b</errorID>
      <errorWord>的形式主义”“指尖上</errorWord>
      <group>L1_Political</group>
      <groupName>政治性问题</groupName>
      <ability>L2_Keyword</ability>
      <abilityName>固定表述</abilityName>
      <candidateList>
        <item>“指尖上的形式主义”</item>
      </candidateList>
      <explain>词汇““指尖上的形式主义””在特定场景下为固定表述形式，请确认此处的“的形式主义”“指尖上”是否存在不当。</explain>
      <paraID>2C3E2F63</paraID>
      <start>239</start>
      <end>249</end>
      <status>unmodified</status>
      <modifiedWord/>
      <trackRevisions>false</trackRevisions>
    </reviewItem>
    <reviewItem>
      <errorID>d16a73d7-8e1f-447d-aa0d-58dfb2191b38</errorID>
      <errorWord>“我为群众办实事”等实践活动</errorWord>
      <group>L1_Political</group>
      <groupName>政治性问题</groupName>
      <ability>L2_Keyword</ability>
      <abilityName>固定表述</abilityName>
      <candidateList>
        <item>“我为群众办实事”实践活动</item>
      </candidateList>
      <explain>词汇““我为群众办实事”实践活动”在特定场景下为固定表述形式，请确认此处的““我为群众办实事”等实践活动”是否存在不当。</explain>
      <paraID>2AD7EDFE</paraID>
      <start>86</start>
      <end>100</end>
      <status>unmodified</status>
      <modifiedWord/>
      <trackRevisions>false</trackRevisions>
    </reviewItem>
    <reviewItem>
      <errorID>2a0002a4-5f2a-4a84-845b-c49704e31aff</errorID>
      <errorWord>一网通享</errorWord>
      <group>L1_Political</group>
      <groupName>政治性问题</groupName>
      <ability>L2_Keyword</ability>
      <abilityName>固定表述</abilityName>
      <candidateList>
        <item>‘一网通享’</item>
      </candidateList>
      <explain>注意检查当前固定表述标点是否使用规范。</explain>
      <paraID>125113EC</paraID>
      <start>126</start>
      <end>130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d3cb9-21fa-4b74-996f-e6d5696cb8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7690</Words>
  <Characters>7978</Characters>
  <Lines>288</Lines>
  <Paragraphs>81</Paragraphs>
  <TotalTime>9</TotalTime>
  <ScaleCrop>false</ScaleCrop>
  <LinksUpToDate>false</LinksUpToDate>
  <CharactersWithSpaces>8258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2025-11-29T15:38:00Z</dcterms:created>
  <dc:creator>Administrator</dc:creator>
  <cp:lastModifiedBy>张张张张张阿</cp:lastModifiedBy>
  <cp:lastPrinted>2026-06-01T00:38:00Z</cp:lastPrinted>
  <dcterms:modified xsi:type="dcterms:W3CDTF">2026-06-01T09:20:23Z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eyJoZGlkIjoiYjE5NGE3NzAwM2M0ZDU4NTY5MTU5OTJjYmVmYmY5Y2IiLCJ1c2VySWQiOiI0MTc3ODQ4MjIifQ==</vt:lpwstr>
  </property>
  <property fmtid="{D5CDD505-2E9C-101B-9397-08002B2CF9AE}" pid="3" name="KSOProductBuildVer">
    <vt:lpwstr>2052-12.1.0.26375</vt:lpwstr>
  </property>
  <property fmtid="{D5CDD505-2E9C-101B-9397-08002B2CF9AE}" pid="4" name="ICV">
    <vt:lpwstr>B4B8B326107F434CA959148D5F6B64C0_13</vt:lpwstr>
  </property>
</Properties>
</file>