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both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bookmarkStart w:id="1" w:name="_GoBack"/>
      <w:bookmarkEnd w:id="1"/>
      <w:bookmarkStart w:id="0" w:name="_Toc4230237"/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附</w:t>
      </w:r>
      <w:r>
        <w:rPr>
          <w:rFonts w:hint="eastAsia" w:eastAsia="黑体" w:cs="Times New Roman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件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jc w:val="center"/>
        <w:textAlignment w:val="auto"/>
        <w:outlineLvl w:val="9"/>
        <w:rPr>
          <w:rFonts w:hint="default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许昌</w:t>
      </w:r>
      <w:r>
        <w:rPr>
          <w:rFonts w:hint="default" w:eastAsia="方正小标宋简体" w:cs="Times New Roman"/>
          <w:sz w:val="44"/>
          <w:szCs w:val="44"/>
          <w:lang w:val="en-US" w:eastAsia="zh-CN"/>
        </w:rPr>
        <w:t>市</w:t>
      </w:r>
      <w:r>
        <w:rPr>
          <w:rFonts w:hint="eastAsia" w:eastAsia="方正小标宋简体" w:cs="Times New Roman"/>
          <w:sz w:val="44"/>
          <w:szCs w:val="44"/>
          <w:lang w:val="en-US" w:eastAsia="zh-CN"/>
        </w:rPr>
        <w:t>中心城区城镇</w:t>
      </w:r>
      <w:r>
        <w:rPr>
          <w:rFonts w:hint="default" w:eastAsia="方正小标宋简体" w:cs="Times New Roman"/>
          <w:sz w:val="44"/>
          <w:szCs w:val="44"/>
          <w:lang w:val="en-US" w:eastAsia="zh-CN"/>
        </w:rPr>
        <w:t>土地级别与基准地价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jc w:val="center"/>
        <w:textAlignment w:val="auto"/>
        <w:outlineLvl w:val="9"/>
        <w:rPr>
          <w:rFonts w:hint="eastAsia" w:eastAsia="方正小标宋简体" w:cs="Times New Roman"/>
          <w:sz w:val="44"/>
          <w:szCs w:val="44"/>
          <w:lang w:val="en-US" w:eastAsia="zh-CN"/>
        </w:rPr>
      </w:pPr>
      <w:r>
        <w:rPr>
          <w:rFonts w:hint="default" w:eastAsia="方正小标宋简体" w:cs="Times New Roman"/>
          <w:sz w:val="44"/>
          <w:szCs w:val="44"/>
          <w:lang w:val="en-US" w:eastAsia="zh-CN"/>
        </w:rPr>
        <w:t>更新</w:t>
      </w:r>
      <w:r>
        <w:rPr>
          <w:rFonts w:hint="eastAsia" w:eastAsia="方正小标宋简体" w:cs="Times New Roman"/>
          <w:sz w:val="44"/>
          <w:szCs w:val="44"/>
          <w:lang w:val="en-US" w:eastAsia="zh-CN"/>
        </w:rPr>
        <w:t>调整项目成果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/>
          <w:i w:val="0"/>
          <w:caps w:val="0"/>
          <w:color w:val="auto"/>
          <w:spacing w:val="0"/>
          <w:sz w:val="44"/>
          <w:szCs w:val="44"/>
          <w:shd w:val="clear" w:color="auto" w:fill="FFFFFF"/>
        </w:rPr>
        <w:t>（征求意见稿）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一、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基准地价内涵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outlineLvl w:val="9"/>
        <w:rPr>
          <w:rFonts w:hint="default" w:ascii="Times New Roman" w:hAnsi="Times New Roman" w:eastAsia="楷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楷体" w:cs="Times New Roman"/>
          <w:b/>
          <w:bCs/>
          <w:sz w:val="32"/>
          <w:szCs w:val="32"/>
          <w:lang w:val="en-US" w:eastAsia="zh-CN"/>
        </w:rPr>
        <w:t>（一）基准地价定义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基准地价是指在土地利用总体规划（或国土空间总体规划）确定的城镇可建设用地范围内，对平均开发利用条件下，不同级别或不同均质地域的建设用地，按照商业、住宅、工业等用途分别评估，并由政府确定的，某一估价基准日法定最高年期土地权利的区域平均价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outlineLvl w:val="9"/>
        <w:rPr>
          <w:rFonts w:hint="default" w:eastAsia="楷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楷体" w:cs="Times New Roman"/>
          <w:b/>
          <w:bCs/>
          <w:sz w:val="32"/>
          <w:szCs w:val="32"/>
          <w:lang w:val="en-US" w:eastAsia="zh-CN"/>
        </w:rPr>
        <w:t>（二）</w:t>
      </w:r>
      <w:r>
        <w:rPr>
          <w:rFonts w:hint="default" w:eastAsia="楷体" w:cs="Times New Roman"/>
          <w:b/>
          <w:bCs/>
          <w:sz w:val="32"/>
          <w:szCs w:val="32"/>
          <w:lang w:val="en-US" w:eastAsia="zh-CN"/>
        </w:rPr>
        <w:t>土地开发程度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仿宋_GB2312" w:cs="Times New Roman"/>
          <w:sz w:val="32"/>
          <w:szCs w:val="32"/>
          <w:lang w:val="en-US" w:eastAsia="zh-CN"/>
        </w:rPr>
        <w:t>许昌市中心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城区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设定为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七通一平，即通路、通电、通讯、通上水、通下水、通暖、通气及土地平整。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表1-1  许昌市</w:t>
      </w:r>
      <w:r>
        <w:rPr>
          <w:rFonts w:hint="eastAsia" w:cs="Times New Roman"/>
          <w:sz w:val="24"/>
          <w:lang w:val="en-US" w:eastAsia="zh-CN"/>
        </w:rPr>
        <w:t>中心城区</w:t>
      </w:r>
      <w:r>
        <w:rPr>
          <w:rFonts w:hint="default" w:ascii="Times New Roman" w:hAnsi="Times New Roman" w:cs="Times New Roman"/>
          <w:sz w:val="24"/>
        </w:rPr>
        <w:t>基础设施配套造价一览表（七通一平）</w:t>
      </w:r>
    </w:p>
    <w:tbl>
      <w:tblPr>
        <w:tblStyle w:val="9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3"/>
        <w:gridCol w:w="663"/>
        <w:gridCol w:w="886"/>
        <w:gridCol w:w="886"/>
        <w:gridCol w:w="663"/>
        <w:gridCol w:w="663"/>
        <w:gridCol w:w="663"/>
        <w:gridCol w:w="663"/>
        <w:gridCol w:w="1108"/>
        <w:gridCol w:w="6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76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设  施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通路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通上水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通下水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通电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通讯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通暖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通气</w:t>
            </w:r>
          </w:p>
        </w:tc>
        <w:tc>
          <w:tcPr>
            <w:tcW w:w="650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土地平整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76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费用</w:t>
            </w:r>
          </w:p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（元/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平方米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）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25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20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15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10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5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25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30</w:t>
            </w:r>
          </w:p>
        </w:tc>
        <w:tc>
          <w:tcPr>
            <w:tcW w:w="650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5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135</w:t>
            </w:r>
          </w:p>
        </w:tc>
      </w:tr>
    </w:tbl>
    <w:p>
      <w:pPr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br w:type="page"/>
      </w:r>
    </w:p>
    <w:p>
      <w:pPr>
        <w:pStyle w:val="2"/>
        <w:rPr>
          <w:rFonts w:hint="default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outlineLvl w:val="9"/>
        <w:rPr>
          <w:rFonts w:hint="default" w:eastAsia="楷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楷体" w:cs="Times New Roman"/>
          <w:b/>
          <w:bCs/>
          <w:sz w:val="32"/>
          <w:szCs w:val="32"/>
          <w:lang w:val="en-US" w:eastAsia="zh-CN"/>
        </w:rPr>
        <w:t>（三）</w:t>
      </w:r>
      <w:r>
        <w:rPr>
          <w:rFonts w:hint="default" w:eastAsia="楷体" w:cs="Times New Roman"/>
          <w:b/>
          <w:bCs/>
          <w:sz w:val="32"/>
          <w:szCs w:val="32"/>
          <w:lang w:val="en-US" w:eastAsia="zh-CN"/>
        </w:rPr>
        <w:t>土地</w:t>
      </w:r>
      <w:r>
        <w:rPr>
          <w:rFonts w:hint="eastAsia" w:eastAsia="楷体" w:cs="Times New Roman"/>
          <w:b/>
          <w:bCs/>
          <w:sz w:val="32"/>
          <w:szCs w:val="32"/>
          <w:lang w:val="en-US" w:eastAsia="zh-CN"/>
        </w:rPr>
        <w:t>标准</w:t>
      </w:r>
      <w:r>
        <w:rPr>
          <w:rFonts w:hint="default" w:eastAsia="楷体" w:cs="Times New Roman"/>
          <w:b/>
          <w:bCs/>
          <w:sz w:val="32"/>
          <w:szCs w:val="32"/>
          <w:lang w:val="en-US" w:eastAsia="zh-CN"/>
        </w:rPr>
        <w:t>容积率</w:t>
      </w:r>
    </w:p>
    <w:p>
      <w:pPr>
        <w:spacing w:line="360" w:lineRule="auto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表1-</w:t>
      </w:r>
      <w:r>
        <w:rPr>
          <w:rFonts w:hint="eastAsia" w:cs="Times New Roman"/>
          <w:sz w:val="24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</w:rPr>
        <w:t xml:space="preserve">  土地标准容积率表</w:t>
      </w:r>
    </w:p>
    <w:tbl>
      <w:tblPr>
        <w:tblStyle w:val="9"/>
        <w:tblW w:w="4999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259"/>
        <w:gridCol w:w="426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</w:trPr>
        <w:tc>
          <w:tcPr>
            <w:tcW w:w="249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15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用地类型</w:t>
            </w:r>
          </w:p>
        </w:tc>
        <w:tc>
          <w:tcPr>
            <w:tcW w:w="250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15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容积率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</w:trPr>
        <w:tc>
          <w:tcPr>
            <w:tcW w:w="249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15"/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  <w:t>商业用地</w:t>
            </w:r>
          </w:p>
        </w:tc>
        <w:tc>
          <w:tcPr>
            <w:tcW w:w="250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15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1.6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</w:trPr>
        <w:tc>
          <w:tcPr>
            <w:tcW w:w="249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15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商务金融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用地</w:t>
            </w:r>
          </w:p>
        </w:tc>
        <w:tc>
          <w:tcPr>
            <w:tcW w:w="250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15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2.0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</w:trPr>
        <w:tc>
          <w:tcPr>
            <w:tcW w:w="249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15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住宅用地</w:t>
            </w:r>
          </w:p>
        </w:tc>
        <w:tc>
          <w:tcPr>
            <w:tcW w:w="250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15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2.0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</w:trPr>
        <w:tc>
          <w:tcPr>
            <w:tcW w:w="249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15"/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  <w:t>工业用地</w:t>
            </w:r>
          </w:p>
        </w:tc>
        <w:tc>
          <w:tcPr>
            <w:tcW w:w="250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15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1.2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</w:trPr>
        <w:tc>
          <w:tcPr>
            <w:tcW w:w="249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15"/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  <w:t>公共管理与公共服务用地</w:t>
            </w:r>
          </w:p>
        </w:tc>
        <w:tc>
          <w:tcPr>
            <w:tcW w:w="250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15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1.8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</w:trPr>
        <w:tc>
          <w:tcPr>
            <w:tcW w:w="249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15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交通运输用地</w:t>
            </w:r>
          </w:p>
        </w:tc>
        <w:tc>
          <w:tcPr>
            <w:tcW w:w="250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15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</w:trPr>
        <w:tc>
          <w:tcPr>
            <w:tcW w:w="249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15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水域及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水利设施用地</w:t>
            </w:r>
          </w:p>
        </w:tc>
        <w:tc>
          <w:tcPr>
            <w:tcW w:w="250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15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</w:trPr>
        <w:tc>
          <w:tcPr>
            <w:tcW w:w="249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15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特殊用地</w:t>
            </w:r>
          </w:p>
        </w:tc>
        <w:tc>
          <w:tcPr>
            <w:tcW w:w="250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15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1.0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default" w:ascii="Times New Roman" w:hAnsi="Times New Roman" w:cs="Times New Roman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outlineLvl w:val="9"/>
        <w:rPr>
          <w:rFonts w:hint="default" w:eastAsia="楷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楷体" w:cs="Times New Roman"/>
          <w:b/>
          <w:bCs/>
          <w:sz w:val="32"/>
          <w:szCs w:val="32"/>
          <w:lang w:val="en-US" w:eastAsia="zh-CN"/>
        </w:rPr>
        <w:t>（四）</w:t>
      </w:r>
      <w:r>
        <w:rPr>
          <w:rFonts w:hint="default" w:eastAsia="楷体" w:cs="Times New Roman"/>
          <w:b/>
          <w:bCs/>
          <w:sz w:val="32"/>
          <w:szCs w:val="32"/>
          <w:lang w:val="en-US" w:eastAsia="zh-CN"/>
        </w:rPr>
        <w:t>土地使用权年限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表1-</w:t>
      </w:r>
      <w:r>
        <w:rPr>
          <w:rFonts w:hint="eastAsia" w:cs="Times New Roman"/>
          <w:sz w:val="24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</w:rPr>
        <w:t xml:space="preserve">  各类用地类型出让年限表</w:t>
      </w:r>
    </w:p>
    <w:tbl>
      <w:tblPr>
        <w:tblStyle w:val="9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1974"/>
        <w:gridCol w:w="2645"/>
        <w:gridCol w:w="177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用地类型</w:t>
            </w:r>
          </w:p>
        </w:tc>
        <w:tc>
          <w:tcPr>
            <w:tcW w:w="1974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出让年期</w:t>
            </w:r>
          </w:p>
        </w:tc>
        <w:tc>
          <w:tcPr>
            <w:tcW w:w="2645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用地类型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出让年期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商业用地</w:t>
            </w:r>
          </w:p>
        </w:tc>
        <w:tc>
          <w:tcPr>
            <w:tcW w:w="1974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40年</w:t>
            </w:r>
          </w:p>
        </w:tc>
        <w:tc>
          <w:tcPr>
            <w:tcW w:w="2645" w:type="dxa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公共管理与公共服务用地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50年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商务金融</w:t>
            </w:r>
            <w:r>
              <w:rPr>
                <w:kern w:val="0"/>
                <w:szCs w:val="21"/>
              </w:rPr>
              <w:t>用地</w:t>
            </w:r>
          </w:p>
        </w:tc>
        <w:tc>
          <w:tcPr>
            <w:tcW w:w="1974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40年</w:t>
            </w:r>
          </w:p>
        </w:tc>
        <w:tc>
          <w:tcPr>
            <w:tcW w:w="2645" w:type="dxa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交通运输用地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50年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住宅用地</w:t>
            </w:r>
          </w:p>
        </w:tc>
        <w:tc>
          <w:tcPr>
            <w:tcW w:w="1974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70年</w:t>
            </w:r>
          </w:p>
        </w:tc>
        <w:tc>
          <w:tcPr>
            <w:tcW w:w="2645" w:type="dxa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特殊用地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50年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工业用地</w:t>
            </w:r>
          </w:p>
        </w:tc>
        <w:tc>
          <w:tcPr>
            <w:tcW w:w="1974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50年</w:t>
            </w:r>
          </w:p>
        </w:tc>
        <w:tc>
          <w:tcPr>
            <w:tcW w:w="2645" w:type="dxa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水域及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水利设施用地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50年</w:t>
            </w:r>
          </w:p>
        </w:tc>
      </w:tr>
    </w:tbl>
    <w:p>
      <w:pPr>
        <w:pStyle w:val="2"/>
        <w:rPr>
          <w:rFonts w:hint="default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outlineLvl w:val="9"/>
        <w:rPr>
          <w:rFonts w:hint="default" w:eastAsia="楷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楷体" w:cs="Times New Roman"/>
          <w:b/>
          <w:bCs/>
          <w:sz w:val="32"/>
          <w:szCs w:val="32"/>
          <w:lang w:val="en-US" w:eastAsia="zh-CN"/>
        </w:rPr>
        <w:t>（五）</w:t>
      </w:r>
      <w:r>
        <w:rPr>
          <w:rFonts w:hint="default" w:eastAsia="楷体" w:cs="Times New Roman"/>
          <w:b/>
          <w:bCs/>
          <w:sz w:val="32"/>
          <w:szCs w:val="32"/>
          <w:lang w:val="en-US" w:eastAsia="zh-CN"/>
        </w:rPr>
        <w:t>基准地价估价基准日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cs="Times New Roman"/>
          <w:color w:val="auto"/>
          <w:sz w:val="32"/>
          <w:szCs w:val="32"/>
          <w:lang w:val="en-US" w:eastAsia="zh-CN"/>
        </w:rPr>
        <w:t>本轮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基准地价估价基准日为202</w:t>
      </w:r>
      <w:r>
        <w:rPr>
          <w:rFonts w:hint="eastAsia" w:ascii="Times New Roman" w:cs="Times New Roman"/>
          <w:color w:val="auto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年1月1日。</w:t>
      </w: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二、基准地价成果表</w:t>
      </w:r>
    </w:p>
    <w:p>
      <w:pPr>
        <w:spacing w:line="360" w:lineRule="auto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表</w:t>
      </w:r>
      <w:r>
        <w:rPr>
          <w:rFonts w:hint="eastAsia" w:cs="Times New Roman"/>
          <w:sz w:val="24"/>
          <w:lang w:val="en-US" w:eastAsia="zh-CN"/>
        </w:rPr>
        <w:t>2-</w:t>
      </w:r>
      <w:r>
        <w:rPr>
          <w:rFonts w:hint="default" w:ascii="Times New Roman" w:hAnsi="Times New Roman" w:cs="Times New Roman"/>
          <w:sz w:val="24"/>
        </w:rPr>
        <w:t>1  许昌市</w:t>
      </w:r>
      <w:r>
        <w:rPr>
          <w:rFonts w:hint="eastAsia" w:cs="Times New Roman"/>
          <w:sz w:val="24"/>
          <w:lang w:val="en-US" w:eastAsia="zh-CN"/>
        </w:rPr>
        <w:t>中心城区</w:t>
      </w:r>
      <w:r>
        <w:rPr>
          <w:rFonts w:hint="default" w:ascii="Times New Roman" w:hAnsi="Times New Roman" w:cs="Times New Roman"/>
          <w:sz w:val="24"/>
        </w:rPr>
        <w:t>基准地价成果一览表</w:t>
      </w:r>
    </w:p>
    <w:p>
      <w:pPr>
        <w:spacing w:line="360" w:lineRule="auto"/>
        <w:ind w:firstLine="525" w:firstLineChars="250"/>
        <w:jc w:val="right"/>
        <w:rPr>
          <w:rFonts w:hint="eastAsia" w:ascii="Times New Roman" w:hAnsi="Times New Roman" w:eastAsia="宋体" w:cs="Times New Roman"/>
          <w:szCs w:val="21"/>
          <w:lang w:eastAsia="zh-CN"/>
        </w:rPr>
      </w:pPr>
      <w:r>
        <w:rPr>
          <w:rFonts w:hint="default" w:ascii="Times New Roman" w:hAnsi="Times New Roman" w:cs="Times New Roman"/>
          <w:szCs w:val="21"/>
        </w:rPr>
        <w:t>单位：元/</w:t>
      </w:r>
      <w:r>
        <w:rPr>
          <w:rFonts w:hint="eastAsia" w:cs="Times New Roman"/>
          <w:szCs w:val="21"/>
          <w:lang w:val="en-US" w:eastAsia="zh-CN"/>
        </w:rPr>
        <w:t>平方米</w:t>
      </w:r>
    </w:p>
    <w:tbl>
      <w:tblPr>
        <w:tblStyle w:val="9"/>
        <w:tblW w:w="5283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3"/>
        <w:gridCol w:w="927"/>
        <w:gridCol w:w="927"/>
        <w:gridCol w:w="928"/>
        <w:gridCol w:w="928"/>
        <w:gridCol w:w="928"/>
        <w:gridCol w:w="928"/>
        <w:gridCol w:w="928"/>
        <w:gridCol w:w="9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</w:trPr>
        <w:tc>
          <w:tcPr>
            <w:tcW w:w="2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级  别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一级地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二级地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三级地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四级地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五级地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六级地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七级地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  <w:lang w:eastAsia="zh-CN"/>
              </w:rPr>
            </w:pPr>
            <w:r>
              <w:rPr>
                <w:rFonts w:hint="default" w:ascii="Times New Roman" w:hAnsi="Times New Roman" w:cs="Times New Roman"/>
                <w:lang w:eastAsia="zh-CN"/>
              </w:rPr>
              <w:t>商业用地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上限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平均值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2190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1680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下限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ind w:firstLine="0" w:firstLineChars="0"/>
              <w:rPr>
                <w:rFonts w:hint="default"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商务金融</w:t>
            </w:r>
            <w:r>
              <w:rPr>
                <w:rFonts w:hint="default" w:ascii="Times New Roman" w:hAnsi="Times New Roman" w:cs="Times New Roman"/>
              </w:rPr>
              <w:t>用地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ind w:firstLine="0" w:firstLineChars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上限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ind w:firstLine="0" w:firstLineChars="0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ind w:firstLine="0" w:firstLineChars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平均值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2775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1425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ind w:firstLine="0" w:firstLineChars="0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ind w:firstLine="0" w:firstLineChars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下限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住宅用地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上限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平均值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3420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2580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1425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下限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  <w:lang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工业</w:t>
            </w:r>
            <w:r>
              <w:rPr>
                <w:rFonts w:hint="default" w:ascii="Times New Roman" w:hAnsi="Times New Roman" w:cs="Times New Roman"/>
                <w:lang w:eastAsia="zh-CN"/>
              </w:rPr>
              <w:t>用地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上限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平均值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735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525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345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315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下限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311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公共管理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与公共服务</w:t>
            </w:r>
            <w:r>
              <w:rPr>
                <w:rFonts w:hint="default" w:ascii="Times New Roman" w:hAnsi="Times New Roman" w:cs="Times New Roman"/>
              </w:rPr>
              <w:t>用地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上限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平均值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705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下限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交通运输用地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上限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平均值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1590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下限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特殊用地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上限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平均值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735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下限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水利设施用地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上限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835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605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平均值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975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705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525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下限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　</w:t>
            </w:r>
          </w:p>
        </w:tc>
      </w:tr>
    </w:tbl>
    <w:p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注：商务金融用地级别和商业用地级别一致。</w:t>
      </w:r>
    </w:p>
    <w:p>
      <w:pPr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br w:type="page"/>
      </w:r>
    </w:p>
    <w:p>
      <w:pPr>
        <w:numPr>
          <w:ilvl w:val="0"/>
          <w:numId w:val="1"/>
        </w:numPr>
        <w:spacing w:line="360" w:lineRule="auto"/>
        <w:jc w:val="left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地价图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drawing>
          <wp:inline distT="0" distB="0" distL="114300" distR="114300">
            <wp:extent cx="5443220" cy="6480175"/>
            <wp:effectExtent l="0" t="0" r="5080" b="15875"/>
            <wp:docPr id="1" name="图片 1" descr="F:/000路正/01基准地价/06许昌市/08公开征求意见/征求意见240119/商业办公.jpg商业办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/000路正/01基准地价/06许昌市/08公开征求意见/征求意见240119/商业办公.jpg商业办公"/>
                    <pic:cNvPicPr>
                      <a:picLocks noChangeAspect="true"/>
                    </pic:cNvPicPr>
                  </pic:nvPicPr>
                  <pic:blipFill>
                    <a:blip r:embed="rId5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</w:p>
    <w:p>
      <w:pPr>
        <w:pStyle w:val="7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</w:p>
    <w:p>
      <w:pPr>
        <w:pStyle w:val="7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</w:p>
    <w:p>
      <w:pPr>
        <w:pStyle w:val="7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</w:p>
    <w:p>
      <w:pPr>
        <w:pStyle w:val="7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</w:p>
    <w:p>
      <w:pPr>
        <w:pStyle w:val="7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</w:p>
    <w:p>
      <w:pPr>
        <w:pStyle w:val="7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lang w:eastAsia="zh-CN"/>
        </w:rPr>
        <w:drawing>
          <wp:inline distT="0" distB="0" distL="114300" distR="114300">
            <wp:extent cx="5443220" cy="6480175"/>
            <wp:effectExtent l="0" t="0" r="5080" b="15875"/>
            <wp:docPr id="2" name="图片 2" descr="住宅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住宅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</w:p>
    <w:p>
      <w:pPr>
        <w:pStyle w:val="7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</w:p>
    <w:p>
      <w:pPr>
        <w:pStyle w:val="7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</w:p>
    <w:p>
      <w:pPr>
        <w:pStyle w:val="7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</w:p>
    <w:p>
      <w:pPr>
        <w:pStyle w:val="7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</w:p>
    <w:p>
      <w:pPr>
        <w:pStyle w:val="7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</w:p>
    <w:p>
      <w:pPr>
        <w:pStyle w:val="7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</w:rPr>
      </w:pPr>
    </w:p>
    <w:p>
      <w:pPr>
        <w:pStyle w:val="7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</w:rPr>
      </w:pPr>
    </w:p>
    <w:p>
      <w:pPr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5254625" cy="6255385"/>
            <wp:effectExtent l="0" t="0" r="3175" b="12065"/>
            <wp:docPr id="3" name="图片 3" descr="工业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工业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6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5254625" cy="6255385"/>
            <wp:effectExtent l="0" t="0" r="3175" b="12065"/>
            <wp:docPr id="4" name="图片 4" descr="公共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公共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6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5254625" cy="6255385"/>
            <wp:effectExtent l="0" t="0" r="3175" b="12065"/>
            <wp:docPr id="5" name="图片 5" descr="交通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交通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6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4625" cy="6255385"/>
            <wp:effectExtent l="0" t="0" r="3175" b="12065"/>
            <wp:docPr id="7" name="图片 7" descr="特殊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特殊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6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43855" cy="6480175"/>
            <wp:effectExtent l="0" t="0" r="4445" b="15875"/>
            <wp:docPr id="6" name="图片 6" descr="水利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水利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5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5B8967"/>
    <w:multiLevelType w:val="singleLevel"/>
    <w:tmpl w:val="BF5B896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NjNDliZmY1NmM4M2Y2N2RmMzQyM2U2OTM3Y2Q4YjEifQ=="/>
  </w:docVars>
  <w:rsids>
    <w:rsidRoot w:val="00127AA5"/>
    <w:rsid w:val="00127AA5"/>
    <w:rsid w:val="0018708E"/>
    <w:rsid w:val="00204C01"/>
    <w:rsid w:val="00432A2C"/>
    <w:rsid w:val="0050223E"/>
    <w:rsid w:val="008B55DB"/>
    <w:rsid w:val="00BC422A"/>
    <w:rsid w:val="00C64750"/>
    <w:rsid w:val="0A652FFF"/>
    <w:rsid w:val="0C3F2EB8"/>
    <w:rsid w:val="0F350BE0"/>
    <w:rsid w:val="13E60EB5"/>
    <w:rsid w:val="177BE14A"/>
    <w:rsid w:val="19CF4278"/>
    <w:rsid w:val="246A6E1B"/>
    <w:rsid w:val="24CA2AA9"/>
    <w:rsid w:val="2BAD4654"/>
    <w:rsid w:val="30B20D73"/>
    <w:rsid w:val="3682306B"/>
    <w:rsid w:val="3CF814A7"/>
    <w:rsid w:val="4389069F"/>
    <w:rsid w:val="469F0EB4"/>
    <w:rsid w:val="4BFD5F9F"/>
    <w:rsid w:val="4DA97163"/>
    <w:rsid w:val="57D333BE"/>
    <w:rsid w:val="5BE7DB80"/>
    <w:rsid w:val="5F8D3732"/>
    <w:rsid w:val="67783D5E"/>
    <w:rsid w:val="7359E675"/>
    <w:rsid w:val="78EF0802"/>
    <w:rsid w:val="7BDF4C28"/>
    <w:rsid w:val="8A7F911A"/>
    <w:rsid w:val="CF9EE600"/>
    <w:rsid w:val="F5CB6BB0"/>
    <w:rsid w:val="F8BFC1D9"/>
    <w:rsid w:val="FF5DB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3"/>
    <w:qFormat/>
    <w:uiPriority w:val="0"/>
    <w:pPr>
      <w:keepNext/>
      <w:keepLines/>
      <w:spacing w:before="340" w:after="330" w:line="360" w:lineRule="auto"/>
      <w:outlineLvl w:val="0"/>
    </w:pPr>
    <w:rPr>
      <w:rFonts w:eastAsia="楷体_GB2312"/>
      <w:b/>
      <w:bCs/>
      <w:kern w:val="44"/>
      <w:sz w:val="36"/>
      <w:szCs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rFonts w:ascii="Arial" w:hAnsi="Arial"/>
    </w:rPr>
  </w:style>
  <w:style w:type="paragraph" w:styleId="4">
    <w:name w:val="Plain Text"/>
    <w:basedOn w:val="1"/>
    <w:qFormat/>
    <w:uiPriority w:val="0"/>
    <w:pPr>
      <w:tabs>
        <w:tab w:val="left" w:pos="180"/>
        <w:tab w:val="left" w:pos="1980"/>
      </w:tabs>
      <w:ind w:firstLine="0" w:firstLineChars="0"/>
      <w:jc w:val="center"/>
    </w:pPr>
    <w:rPr>
      <w:rFonts w:cs="Times New Roman" w:asciiTheme="minorEastAsia" w:hAnsiTheme="minorEastAsia"/>
      <w:color w:val="444444"/>
      <w:sz w:val="21"/>
    </w:rPr>
  </w:style>
  <w:style w:type="paragraph" w:styleId="5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Body Text Indent 3"/>
    <w:basedOn w:val="1"/>
    <w:link w:val="14"/>
    <w:qFormat/>
    <w:uiPriority w:val="0"/>
    <w:pPr>
      <w:spacing w:line="500" w:lineRule="exact"/>
      <w:ind w:firstLine="420"/>
    </w:pPr>
    <w:rPr>
      <w:rFonts w:ascii="仿宋_GB2312" w:eastAsia="仿宋_GB2312"/>
      <w:color w:val="FF0000"/>
      <w:sz w:val="24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11">
    <w:name w:val="页眉 Char"/>
    <w:basedOn w:val="10"/>
    <w:link w:val="6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10"/>
    <w:link w:val="5"/>
    <w:semiHidden/>
    <w:qFormat/>
    <w:uiPriority w:val="99"/>
    <w:rPr>
      <w:sz w:val="18"/>
      <w:szCs w:val="18"/>
    </w:rPr>
  </w:style>
  <w:style w:type="character" w:customStyle="1" w:styleId="13">
    <w:name w:val="标题 1 Char"/>
    <w:basedOn w:val="10"/>
    <w:link w:val="3"/>
    <w:qFormat/>
    <w:uiPriority w:val="0"/>
    <w:rPr>
      <w:rFonts w:ascii="Times New Roman" w:hAnsi="Times New Roman" w:eastAsia="楷体_GB2312" w:cs="Times New Roman"/>
      <w:b/>
      <w:bCs/>
      <w:kern w:val="44"/>
      <w:sz w:val="36"/>
      <w:szCs w:val="44"/>
    </w:rPr>
  </w:style>
  <w:style w:type="character" w:customStyle="1" w:styleId="14">
    <w:name w:val="正文文本缩进 3 Char"/>
    <w:basedOn w:val="10"/>
    <w:link w:val="7"/>
    <w:qFormat/>
    <w:uiPriority w:val="0"/>
    <w:rPr>
      <w:rFonts w:ascii="仿宋_GB2312" w:hAnsi="Times New Roman" w:eastAsia="仿宋_GB2312" w:cs="Times New Roman"/>
      <w:color w:val="FF0000"/>
      <w:sz w:val="24"/>
      <w:szCs w:val="24"/>
    </w:rPr>
  </w:style>
  <w:style w:type="paragraph" w:customStyle="1" w:styleId="15">
    <w:name w:val="表格内容"/>
    <w:basedOn w:val="4"/>
    <w:qFormat/>
    <w:uiPriority w:val="0"/>
    <w:pPr>
      <w:spacing w:line="240" w:lineRule="auto"/>
    </w:pPr>
    <w:rPr>
      <w:color w:val="000000" w:themeColor="text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286</Words>
  <Characters>1634</Characters>
  <Lines>13</Lines>
  <Paragraphs>3</Paragraphs>
  <TotalTime>12</TotalTime>
  <ScaleCrop>false</ScaleCrop>
  <LinksUpToDate>false</LinksUpToDate>
  <CharactersWithSpaces>1917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2022-06-28T17:13:00Z</dcterms:created>
  <dc:creator>Microsoft</dc:creator>
  <cp:lastModifiedBy>huanghe</cp:lastModifiedBy>
  <cp:lastPrinted>2024-01-23T03:38:00Z</cp:lastPrinted>
  <dcterms:modified xsi:type="dcterms:W3CDTF">2024-01-23T10:05:03Z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DF129F7F610744F18BA17AA61C6D203B_12</vt:lpwstr>
  </property>
</Properties>
</file>